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contextualSpacing/>
        <w:rPr/>
      </w:pPr>
      <w:r>
        <w:rPr/>
        <w:t>Aujourd'hui, c'est dimanche. Vous êtes donc bien sur Radio Périgord, je suis le Dendrobate Doctor et nous sommes ensemble pour faire l'état de la recherche sur l'épidémie de Covid-19 et le reste.</w:t>
      </w:r>
    </w:p>
    <w:p>
      <w:pPr>
        <w:pStyle w:val="NormalWeb"/>
        <w:spacing w:beforeAutospacing="0" w:before="0" w:afterAutospacing="0" w:after="0"/>
        <w:contextualSpacing/>
        <w:rPr/>
      </w:pPr>
      <w:r>
        <w:rPr>
          <w:rFonts w:eastAsia="Calibri" w:eastAsiaTheme="minorHAnsi"/>
          <w:lang w:eastAsia="en-US"/>
        </w:rPr>
        <w:t>Si elle disparaît, retrouvez la chronique sur le blog (https://www.the-dendrobate-doctor.fr/)</w:t>
      </w:r>
    </w:p>
    <w:p>
      <w:pPr>
        <w:pStyle w:val="NormalWeb"/>
        <w:spacing w:beforeAutospacing="0" w:before="0" w:afterAutospacing="0" w:after="0"/>
        <w:contextualSpacing/>
        <w:rPr/>
      </w:pPr>
      <w:r>
        <w:rPr>
          <w:lang w:eastAsia="en-US"/>
        </w:rPr>
        <w:t>Si vous aimez la chronique, vous pouvez nous soutenir sur KisskissBankbank (https://www.kisskissbankbank.com/fr/projects/the-dendrobate-doctor).</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t>Bienvenue à tous sur l’Écho des Labos.</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r>
        <w:rPr/>
        <w:t>***</w:t>
      </w:r>
    </w:p>
    <w:p>
      <w:pPr>
        <w:pStyle w:val="NormalWeb"/>
        <w:spacing w:beforeAutospacing="0" w:before="0" w:afterAutospacing="0" w:after="0"/>
        <w:contextualSpacing/>
        <w:rPr/>
      </w:pPr>
      <w:r>
        <w:rPr/>
      </w:r>
    </w:p>
    <w:p>
      <w:pPr>
        <w:pStyle w:val="Heading1"/>
        <w:rPr/>
      </w:pPr>
      <w:r>
        <w:rPr/>
        <w:br/>
        <w:t>FAKE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Dire qu’un fake est fake, est-ce que c’est comme le contre-uno ? J’en sais rien, mais cette semaine, Bobby Goau’ld Kennedy a sorti que finalement il n’y avait aucune preuve que le tylénol (donc le doliprane chez nous) cause l’autisme. Les gens qui ont un cerveau fonctionnel se disent qu’il y a rien de nouveau sous le soleil, ceux dont les deux uniques neurones se battent pour la troisième place sont maintenant répartis en deux camps : les conspis qui pensent qu’il s’est rétracté parce qu’il est à la solde de Big Pharma, et les antivax qui pensent qu’il a bien raison parce que c’est pas le doliprane mais les vaccins qui « donnent l’autisme ». Je songe sérieusement à vous donner la recette du pop-corn pour continuer à suivre tout ça de manière optimale.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DECOUVERTE DE LA SEMAINE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Aujourd’hui, on va traiter un très TRES gros morceau (et les autres rubriques seront donc un poil raccourcies, mais là, il faut que je prenne le temps). Après toutes les élucubrations absurdes sur le vaccin ARN qui causerait des cancers (voire comme disent certains des turbo-cancers, même si on sait pas bien ce que ça veut dire), il y a eu de la vraie science qui a été faite sur ce sujet-là. Et elle a été rudement bien faite, à tous les étages, donc c’est vraiment intéressant d’en parler (voyez un peu ça comme un Point méthode imbriqué dans la Découverte). On s’assoit tous, on respire à fond, et on va y aller.</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Des chercheurs viennent de démontrer que le vaccin ARN contre le Covid permet de combattre le cancer.</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Veuillez ignorer le bruit grinçant dans le fond, c’est le modérateur qui aiguise sa pelle. On va donc y aller par étape. Déjà, l’étude est à lire </w:t>
      </w:r>
      <w:hyperlink r:id="rId2">
        <w:r>
          <w:rPr>
            <w:rStyle w:val="Hyperlink"/>
          </w:rPr>
          <w:t>ici</w:t>
        </w:r>
      </w:hyperlink>
      <w:r>
        <w:rPr/>
        <w:t xml:space="preserve"> (https://www.nature.com/articles/s41586-025-09655-y) et, c’est assez rare pour être souligné, les chercheurs qui l’ont produite ont pensé qu’elle était trop importante pour rester derrière un paywall, ils ont financé sa disponibilité en open access. Et ça, c’est la marque de gens confiants dans leurs résultats mais aussi conscients de l’importance de ce qu’ils ont trouvé et de la nécessité que ce soit disponible au plus grand nombre. Et disponible dans Nature, donc niveau journal, on est sur du très lourd. On constate aussi que c’est pas un mec tout seul dans son coin qui a eu cette idée, ils sont au moins 62 auteurs sur le coup (et je dis « au moins » car un des auteurs listés est la D3CODE Team, qui sont plusieurs dizaines mais on ignore combien ont été affiliés au projet). Bref, il y a du taf. Et je préviens, s’ils sont aussi nombreux sur l’affaire c’est que le sujet est compliqué en maudit, alors je vais vulgariser comme s’il n’y avait point de lendemain, accrochez-vous.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A l’origine de tout cela, il y a des spécialistes de l’immunothérapie. En gros, lorsqu’une cellule est anormale, le système immunitaire inné lui explose la tête sans se poser de question, et dans 99.99% des cas c’est la fin de l’histoire. Mais dans de très, très, très rares cas, une cellule passe sous le radar, se multiplie et donne un cancer. L’idée de l’immunothérapie, c’est de recruter le système immunitaire acquis pour lui faire faire le boulot que l’inné n’a pas fait, un peu à la manière de la vaccination : on identifie dans la tumeur un marqueur qui la différencie des cellules normales, on indique au système qu’il doit buter ça et on espère qu’il attaque la tumeur avant qu’elle se répande partout. Malheureusement, certains patients ne répondent pas à cette thérapie, ou mal, et c’est notamment lié au fait que, lorsqu’elles commencent à se multiplier, les cellules cancéreuses savent qu’elles ont eu du bol de passer sous les radars du système inné une fois et déploient un genre de « brouillard de guerre » tout autour d’elles : le système immunitaire est aveugle à leur présence. Nos spécialistes de l’immunothérapie sont donc toujours en recherche de quelque chose qui permettrait de mieux diriger le système immunitaire sur sa cible.</w:t>
      </w:r>
    </w:p>
    <w:p>
      <w:pPr>
        <w:pStyle w:val="Normal"/>
        <w:spacing w:before="0" w:after="0"/>
        <w:contextualSpacing/>
        <w:rPr/>
      </w:pPr>
      <w:r>
        <w:rPr/>
        <w:t xml:space="preserve">Et c’est là qu’on reparle de l’échelle des preuves. Si vous vous souvenez, j’ai plusieurs fois expliqué que toutes les études ne se valent pas, qu’un essai contre placebo c’est plutôt solide, et qu’une étude de cas isolé ça ne l’est pas trop. Et peut-être vous êtes-vous demandé alors pourquoi les gens publiaient des trucs pas très solides : on va tomber sur un cas qui explique exactement pourquoi. En lisant la littérature, nos spécialistes tombent sur plusieurs publications d’études de cas (je vous en mets </w:t>
      </w:r>
      <w:hyperlink r:id="rId3">
        <w:r>
          <w:rPr>
            <w:rStyle w:val="Hyperlink"/>
          </w:rPr>
          <w:t>juste un là</w:t>
        </w:r>
      </w:hyperlink>
      <w:r>
        <w:rPr/>
        <w:t xml:space="preserve"> https://doi.org/10.1136/jitc-2021-004371 mais d’autres sont cités dans l’étude) où les médecins ont constaté la disparition ou la régression spontanée d’un cancer suite à une vaccination à ARNm. Et ça a titillé leur curiosité.</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Ils ont donc commencé par une étude assez généraliste, sur plein de patients avec plein de cancers différents, parmi lesquels 180 avaient reçu une injection ARN dans la fenêtre de 100 jours autour du démarrage de leur immunothérapie et 704 pour qui ça n’était pas le cas. Comme leurs patients étaient assez différents, ils ont égalisé près de 40 variables et facteurs de confusion (l’âge, le tabagisme, le sexe, le stade du cancer etc.), et une fois cela fait, les chiffres sont tombés : la survie moyenne de ces patients ayant reçu une injection ARN à proximité du lancement de leur immunothérapie était de 37,3 mois, contre 20,6 mois pour les autres (c’est presque un doublement de l’espérance de vie), et 3 ans après la thérapie, plus de 55% de ces mêmes patients étaient toujours en vie contre seulement un peu plus de 30% dans le groupe contrôle. La différence était énorme.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Tellement énorme qu’ils ont eu un doute, et ça c’est bien. Donc ils se sont dit « mmh… peut-être on devrait vérifier ça sur un plus petit échantillon mais plus homogène, genre des patients qui auraient tous le même cancer ». Ainsi donc ils jettent leur dévolu sur une cohorte de patients devant être traités pour un mélanome (un type de cancer de la peau) en phase métastatique (y a pas pire quoi). 43 patients reçoivent le vaccin dans la même fenêtre que précédemment, 167 ne le reçoivent pas, on harmonise en fonction du sexe, de l’âge et du parfum de glace préféré, et au bout de trois ans on compte les billes. Résultats, au bout de 3 ans plus des deux tiers des patients ayant reçu le vaccin ARN sont encore en vie contre moins de 45% des patients contrôle, l’espérance de vie moyenne de ces derniers étant de 26,67 mois alors que pour les autres elle n’a pas pu être calculée car il y a simplement « trop » de patients encore en vie (pour faire les stats, on s’entend, on leur souhaite évidemment le meilleur et que ça continue comme ça). La différence était, encore une fois, énorme.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Tellement énorme que les chercheurs, avant de publier, se sont dit que ce serait bien d’arriver à comprendre ce qu’il se passe en fait : quel rapport entre un vaccin qui cible une protéine du Covid et le fait qu’une thérapie immunitaire arrive à tuer plus efficacement des cellules humaines mutantes ? Ils ont donc essayé de reproduire leurs résultats sur des souris et de bidouiller un peu les paramètres pour comprendre ce qui se passait. Je vous passe cette partie parce qu’elle est vraiment, mais alors vraiment très technique. Mais en gros (c’est grossier un peu comme si, pour décrire un rhinocéros, je vous disais « imagine une licorne grise et obèse ») l’ARN messager a une propriété intrinsèque qui le lie à certains messagers chimiques immunitaires (sans doute du fait qu’il est censé rester dans la cellule et que s’il se balade dehors, ça veut dire que les cellules sont en train de mourir en masse et qu’il y a un problème), et lorsqu’il déclenche l’immunité de manière générale (dans le cas d’une vaccination), il permet à ces messagers de lever le « brouillard de guerre » qui entoure la tumeur, ce qui fait que, étrangement, ce n’est absolument pas l’immunité acquise, celle qui réagit à la vaccination normalement, qui entre en scène, mais l’immunité innée, qui s’aperçoit enfin que la tumeur existe, et tata yoyo.</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Il reste encore beaucoup à comprendre de ce mécanisme (nos soixante collègues le disent très clairement et en toutes lettres « However, the mechanism by which RNA-LNPs activate this sensor is unclear. »), mais c’est une très grande découverte ici, et les précautions prises par l’équipe font qu’on peut avoir plutôt confiance en sa robustesse : les vaccins ARNm vont devenir des alliés inattendus dans la lutte contre le cancer. Sérendipité, nom féminin…</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  </w:t>
      </w:r>
    </w:p>
    <w:p>
      <w:pPr>
        <w:pStyle w:val="Heading1"/>
        <w:rPr/>
      </w:pPr>
      <w:r>
        <w:rPr/>
        <w:t>PISTE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En vrai, ça fait déjà beaucoup pour cette semaine, alors pour se vider la tête, je vous conseille celle de </w:t>
      </w:r>
      <w:hyperlink r:id="rId4">
        <w:r>
          <w:rPr>
            <w:rStyle w:val="Hyperlink"/>
          </w:rPr>
          <w:t>Selli-Sillaotsa</w:t>
        </w:r>
      </w:hyperlink>
      <w:r>
        <w:rPr/>
        <w:t xml:space="preserve"> (https://rmk.ee/en/exploring-nature/where-to-go/selli-sillaotsa-study-trail-4-7-km/) qui s’enfonce à travers les marais estoniens. Ça vous oxygènera les neurones.</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Heading1"/>
        <w:rPr/>
      </w:pPr>
      <w:r>
        <w:rPr/>
        <w:t>IMPASSE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On parle des coupes budgétaires dans la recherche, et c’est souvent pour de mauvaises raisons (à savoir « on aimerait bien que vous fassiez en sorte qu’on soit une nation de pointe dans la recherche mondiale mais pour le prix d’un BigMac »), mais sur ce coup-ci, il va falloir être plus nuancés.</w:t>
      </w:r>
    </w:p>
    <w:p>
      <w:pPr>
        <w:pStyle w:val="Normal"/>
        <w:spacing w:before="0" w:after="0"/>
        <w:contextualSpacing/>
        <w:rPr/>
      </w:pPr>
      <w:r>
        <w:rPr/>
        <w:t>Un nouveau projet de loi sur la taxation de la recherche est en discussion, et plus précisément la taxation sur l’usage des animaux de laboratoire. Et j’ai un problème. J’ai un problème car des collègues ont publié une tribune expliquant que, vu la consommation animale de la recherche française, celle-ci ne va pas se remettre d’une taxation pareille. Et c’est vrai. Ils ajoutent également que cette consommation est nécessaire, déjà réduite et que les normes de bien-être animal dictées par l’Union Européenne sont parmi les plus sévères du monde. Et c’est aussi vrai. Ils appuient enfin en disant qu’il n’est pas possible de réduire plus et que lesdites normes de bien-être sont très suivies et suffisantes. Et ça, désolée, mais c’est faux.</w:t>
      </w:r>
    </w:p>
    <w:p>
      <w:pPr>
        <w:pStyle w:val="Normal"/>
        <w:spacing w:before="0" w:after="0"/>
        <w:contextualSpacing/>
        <w:rPr/>
      </w:pPr>
      <w:r>
        <w:rPr/>
        <w:t>Plus précisément, je ne pense pas que les collègues mentent, je pense juste que leur formation ne leur permet pas de se rendre compte à quel point ils sont à côté de la plaque en disant ça. Je vais le dire très brièvement, parce que je ne peux pas m’étendre sur le sujet pour des raisons de confidentialité : actuellement, j’ai une activité de consultante de recherche en bien-être animal et biodiversité, et j’ai parmi mes clients des équipes pour qui euthanasier 300 rats à l’âge de 6 mois alors qu’ils ont 2 à 3 ans d’espérance de vie, alors même que l’étude porte sur des pathologies du vieillissement, juste parce que les laisser atteindre leur mort naturelle et les autopsier après coûte trop cher, est une pratique de bien-être animal respectable.</w:t>
      </w:r>
    </w:p>
    <w:p>
      <w:pPr>
        <w:pStyle w:val="Normal"/>
        <w:spacing w:before="0" w:after="0"/>
        <w:contextualSpacing/>
        <w:rPr/>
      </w:pPr>
      <w:r>
        <w:rPr/>
        <w:t>Je ne dis pas que taxer l’usage des animaux dans la recherche est une bonne idée (je crois même plutôt le contraire), mais je pense qu’il va falloir des arguments plus honnêtes que ça.</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MAUVAISE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tabs>
          <w:tab w:val="clear" w:pos="708"/>
          <w:tab w:val="left" w:pos="1320" w:leader="none"/>
        </w:tabs>
        <w:spacing w:before="0" w:after="0"/>
        <w:contextualSpacing/>
        <w:rPr/>
      </w:pPr>
      <w:r>
        <w:rPr/>
        <w:t>Michael Osterholm est un type plutôt fiable lorsqu’il parle de deux choses : les épidémies et les crises majeures. Du coup quand il sort un bouquin expliquant que, si un nouveau coronavirus arrive une fois de plus à émerger, muter pour passer à l’humain, et déclencher une épidémie, il sera plus mortel mais aussi plus dévastateur parce qu’on aura rien appris de la gestion de ce genre de merdier, et bien je le crois sans problème. Et ça n’est pas une bonne nouvelle.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BONNE NOUVELLE DE LA SEMAINE</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Je suis partout (je ne sais pas si c’est une bonne nouvelle, mais vous êtes sur ma chronique donc vous allez me supporter), vous pouvez donc me trouver en </w:t>
      </w:r>
      <w:hyperlink r:id="rId5">
        <w:r>
          <w:rPr>
            <w:rStyle w:val="Hyperlink"/>
          </w:rPr>
          <w:t>replay de la Nuit Zététique ici</w:t>
        </w:r>
      </w:hyperlink>
      <w:r>
        <w:rPr/>
        <w:t xml:space="preserve"> https://www.youtube.com/live/snlQR0LdPK4?si=bg8DXlmYGG18cDBB (avant-dernière table-ronde, mais je vous encourage à les regarder toutes) et retrouver aussi le </w:t>
      </w:r>
      <w:hyperlink r:id="rId6">
        <w:r>
          <w:rPr>
            <w:rStyle w:val="Hyperlink"/>
          </w:rPr>
          <w:t>replay d’une de mes interventions au REC</w:t>
        </w:r>
      </w:hyperlink>
      <w:r>
        <w:rPr/>
        <w:t xml:space="preserve"> (https://www.youtube.com/watch?v=vHVhF59Gn9c) également, le timing est impeccable, sur la thématique de la science en danger.</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 QU’EST-CE QUE PUTAIN DE QUOI ? »</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Imaginez que vous êtes une femme (ça devrait pas demander beaucoup d’imagination à la moitié du lectorat, mais on va monter en puissance), que vous voulez absolument des enfants mais qu’on vous a diagnostiqué un cancer d’une zone proche de l’utérus (vessie, colon, vagin peut-être même) et que celui-ci doit, pour guérir, recevoir des doses de radiothérapie (donc être irradié) : comment faire pour que la machine à bébé ne soit pas complètement grillée elle aussi alors qu’elle est dans le chemin ?</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La réponse, c’est une équipe du Connecticut qui l’a trouvée (et l’a </w:t>
      </w:r>
      <w:hyperlink r:id="rId7">
        <w:r>
          <w:rPr>
            <w:rStyle w:val="Hyperlink"/>
          </w:rPr>
          <w:t>publiée</w:t>
        </w:r>
      </w:hyperlink>
      <w:r>
        <w:rPr/>
        <w:t xml:space="preserve"> https://journals.lww.com/greenjournal/fulltext/2025/11000/uterine_transposition_for_fertility_preservation.7.aspx), et ça a l’air stupide et génial à la fois : « Ben on enlève l’utérus, comme ça il est plus dans le chemin. – Mais la dame, elle en a besoin de son utérus. – Ben on lui remet après la radiothérapie, une fois qu’elle est guérie. - …mais c’est pas un Lego, tu peux pas juste l’enlever et le remettre des mois après comme ça, faut que ça reste connecté au flux sanguin et tout ! – Je sais bien, t’as qu’à l’enlever de sa place mais le reconnecter ailleurs, genre plus haut dans le ventre, un endroit pas touché par les rayons. - …mais tu sais qu’il est attaché à plein de trucs ? – Ah ben oui, on emmène les trompes et les ovaires avec, on est pas débiles, après on aura juste à le recoudre sur le col, ça on sait déjà faire. - …et tu es conscient que du coup, avec les ovaires et les trompes toujours fonctionnels, l’utérus va continuer à avoir des règles ? – Ben oui, la dame elle veut que ça marche quand on remet tout en place, alors on s’arrange pour que ça marche, évidemment. - … mais si c’est plus relié au col et au vagin, ton utérus, il évacue le sang où ? – Par le nombril, c’est pour ça qu’on le connecte dans le ventre mais plus haut, t’écoutes pas quand je parle en fait ? »</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C’est lunaire mais ça marche, donc ça n’est pas stupide. CQFD.</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POINT METHODE DE LA SEMAINE – la recette du pop-corn</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Par personne raisonnable (doublez les proportions les soirs où ça va pas). Versez une grosse cuillère à soupe d’huile de tournesol ou d’olive (je préfère) et 100g de grains de maïs crus. Mettez à chauffer pas trop fort pour pas que ça brûle. Couvrez bien pour que ça saute pas partout, secouez (ben oui, vous pouvez pas ouvrir pour remuer) deux ou trois fois la casserole en cours de cuisson en tenant bien le couvercle. Ecoutez les « pop » pour savoir quand c’est prêt. Pendant ce temps, mélangez 100g de sucre et 20g de beurre (salé, on est entre personnes respectables) dans une petite poêle à feu moyen. Lorsque la couleur est bien caramel, versez d’un coup sur les pop-corns et mélangez bien jusqu’à refroidissement. Savourez avec philosophie devant la beauté du monde et la bêtise humaine.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Vous étiez prévenus et je suis fatiguée.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Normal"/>
        <w:spacing w:before="0" w:after="0"/>
        <w:contextualSpacing/>
        <w:rPr/>
      </w:pPr>
      <w:r>
        <w:rPr/>
        <w:t>En espérant avoir pu apporter un peu de lumière dans le chaos ambiant, je rends l'antenne, et on y retourne la semaine prochaine, car l'épidémie ne se termine pas avec Halloween, même si vous recevez du pop-corn. En attendant, prenez soin de vous et des chercheurs qui bossent dur, et aimez la science, la vraie, et ceux qui la font. Bisous.</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Crédits : Matyo pour Pour la Science</w:t>
      </w:r>
    </w:p>
    <w:p>
      <w:pPr>
        <w:pStyle w:val="Normal"/>
        <w:spacing w:before="0" w:after="0"/>
        <w:contextualSpacing/>
        <w:rPr/>
      </w:pPr>
      <w:r>
        <w:rPr/>
      </w:r>
    </w:p>
    <w:p>
      <w:pPr>
        <w:pStyle w:val="Normal"/>
        <w:spacing w:before="0" w:after="0"/>
        <w:contextualSpacing/>
        <w:rPr/>
      </w:pPr>
      <w:r>
        <w:rPr/>
        <w:drawing>
          <wp:inline distT="0" distB="0" distL="0" distR="0">
            <wp:extent cx="5760720" cy="3279140"/>
            <wp:effectExtent l="0" t="0" r="0" b="0"/>
            <wp:docPr id="1" name="Image 1" descr="Le vaccin, la mort et le politique | Pour l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Le vaccin, la mort et le politique | Pour la Science"/>
                    <pic:cNvPicPr>
                      <a:picLocks noChangeAspect="1" noChangeArrowheads="1"/>
                    </pic:cNvPicPr>
                  </pic:nvPicPr>
                  <pic:blipFill>
                    <a:blip r:embed="rId8"/>
                    <a:stretch>
                      <a:fillRect/>
                    </a:stretch>
                  </pic:blipFill>
                  <pic:spPr bwMode="auto">
                    <a:xfrm>
                      <a:off x="0" y="0"/>
                      <a:ext cx="5760720" cy="3279140"/>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0"/>
      <w:sz w:val="24"/>
      <w:szCs w:val="24"/>
      <w:lang w:val="fr-FR" w:eastAsia="en-US" w:bidi="ar-SA"/>
    </w:rPr>
  </w:style>
  <w:style w:type="paragraph" w:styleId="Heading1">
    <w:name w:val="heading 1"/>
    <w:basedOn w:val="NormalWeb"/>
    <w:next w:val="Normal"/>
    <w:link w:val="Titre1Car"/>
    <w:autoRedefine/>
    <w:uiPriority w:val="9"/>
    <w:qFormat/>
    <w:rsid w:val="00b95907"/>
    <w:pPr>
      <w:spacing w:beforeAutospacing="0" w:before="0" w:afterAutospacing="0" w:after="0"/>
      <w:contextualSpacing/>
      <w:outlineLvl w:val="0"/>
    </w:pPr>
    <w:rPr/>
  </w:style>
  <w:style w:type="paragraph" w:styleId="Heading2">
    <w:name w:val="heading 2"/>
    <w:basedOn w:val="Normal"/>
    <w:next w:val="Normal"/>
    <w:link w:val="Titre2Car"/>
    <w:autoRedefine/>
    <w:uiPriority w:val="9"/>
    <w:unhideWhenUsed/>
    <w:qFormat/>
    <w:rsid w:val="00200a26"/>
    <w:pPr>
      <w:keepNext w:val="true"/>
      <w:keepLines/>
      <w:numPr>
        <w:ilvl w:val="1"/>
        <w:numId w:val="1"/>
      </w:numPr>
      <w:spacing w:before="40" w:after="0"/>
      <w:ind w:hanging="432" w:start="792"/>
      <w:outlineLvl w:val="1"/>
    </w:pPr>
    <w:rPr>
      <w:rFonts w:eastAsia="" w:cs="" w:cstheme="majorBidi" w:eastAsiaTheme="majorEastAsia"/>
      <w:sz w:val="26"/>
      <w:szCs w:val="26"/>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95907"/>
    <w:rPr>
      <w:rFonts w:eastAsia="Times New Roman"/>
      <w:lang w:eastAsia="fr-FR"/>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d2edcug0" w:customStyle="1">
    <w:name w:val="d2edcug0"/>
    <w:basedOn w:val="DefaultParagraphFont"/>
    <w:qFormat/>
    <w:rsid w:val="00d30bbd"/>
    <w:rPr/>
  </w:style>
  <w:style w:type="character" w:styleId="Hyperlink">
    <w:name w:val="Hyperlink"/>
    <w:basedOn w:val="DefaultParagraphFont"/>
    <w:uiPriority w:val="99"/>
    <w:unhideWhenUsed/>
    <w:rsid w:val="00d30bbd"/>
    <w:rPr>
      <w:color w:val="0000FF"/>
      <w:u w:val="single"/>
    </w:rPr>
  </w:style>
  <w:style w:type="character" w:styleId="tojvnm2t" w:customStyle="1">
    <w:name w:val="tojvnm2t"/>
    <w:basedOn w:val="DefaultParagraphFont"/>
    <w:qFormat/>
    <w:rsid w:val="00255cde"/>
    <w:rPr/>
  </w:style>
  <w:style w:type="character" w:styleId="UnresolvedMention">
    <w:name w:val="Unresolved Mention"/>
    <w:basedOn w:val="DefaultParagraphFont"/>
    <w:uiPriority w:val="99"/>
    <w:semiHidden/>
    <w:unhideWhenUsed/>
    <w:qFormat/>
    <w:rsid w:val="00255cde"/>
    <w:rPr>
      <w:color w:val="605E5C"/>
      <w:shd w:fill="E1DFDD" w:val="clear"/>
    </w:rPr>
  </w:style>
  <w:style w:type="character" w:styleId="En-tteCar" w:customStyle="1">
    <w:name w:val="En-tête Car"/>
    <w:basedOn w:val="DefaultParagraphFont"/>
    <w:link w:val="Header"/>
    <w:uiPriority w:val="99"/>
    <w:qFormat/>
    <w:rsid w:val="00071844"/>
    <w:rPr/>
  </w:style>
  <w:style w:type="character" w:styleId="PieddepageCar" w:customStyle="1">
    <w:name w:val="Pied de page Car"/>
    <w:basedOn w:val="DefaultParagraphFont"/>
    <w:link w:val="Footer"/>
    <w:uiPriority w:val="99"/>
    <w:qFormat/>
    <w:rsid w:val="00071844"/>
    <w:rPr/>
  </w:style>
  <w:style w:type="character" w:styleId="x193iq5w" w:customStyle="1">
    <w:name w:val="x193iq5w"/>
    <w:basedOn w:val="DefaultParagraphFont"/>
    <w:qFormat/>
    <w:rsid w:val="0081045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NormalWeb">
    <w:name w:val="Normal (Web)"/>
    <w:basedOn w:val="Normal"/>
    <w:uiPriority w:val="99"/>
    <w:semiHidden/>
    <w:unhideWhenUsed/>
    <w:qFormat/>
    <w:rsid w:val="000f4e2f"/>
    <w:pPr>
      <w:spacing w:beforeAutospacing="1" w:afterAutospacing="1"/>
    </w:pPr>
    <w:rPr>
      <w:rFonts w:eastAsia="Times New Roman"/>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71844"/>
    <w:pPr>
      <w:tabs>
        <w:tab w:val="clear" w:pos="708"/>
        <w:tab w:val="center" w:pos="4536" w:leader="none"/>
        <w:tab w:val="right" w:pos="9072" w:leader="none"/>
      </w:tabs>
    </w:pPr>
    <w:rPr/>
  </w:style>
  <w:style w:type="paragraph" w:styleId="Footer">
    <w:name w:val="footer"/>
    <w:basedOn w:val="Normal"/>
    <w:link w:val="PieddepageCar"/>
    <w:uiPriority w:val="99"/>
    <w:unhideWhenUsed/>
    <w:rsid w:val="00071844"/>
    <w:pPr>
      <w:tabs>
        <w:tab w:val="clear" w:pos="708"/>
        <w:tab w:val="center" w:pos="4536" w:leader="none"/>
        <w:tab w:val="right" w:pos="9072" w:leader="none"/>
      </w:tab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ture.com/articles/s41586-025-09655-y" TargetMode="External"/><Relationship Id="rId3" Type="http://schemas.openxmlformats.org/officeDocument/2006/relationships/hyperlink" Target="https://doi.org/10.1136/jitc-2021-004371" TargetMode="External"/><Relationship Id="rId4" Type="http://schemas.openxmlformats.org/officeDocument/2006/relationships/hyperlink" Target="https://rmk.ee/en/exploring-nature/where-to-go/selli-sillaotsa-study-trail-4-7-km/" TargetMode="External"/><Relationship Id="rId5" Type="http://schemas.openxmlformats.org/officeDocument/2006/relationships/hyperlink" Target="https://www.youtube.com/live/snlQR0LdPK4?si=bg8DXlmYGG18cDBB" TargetMode="External"/><Relationship Id="rId6" Type="http://schemas.openxmlformats.org/officeDocument/2006/relationships/hyperlink" Target="https://www.youtube.com/watch?v=vHVhF59Gn9c" TargetMode="External"/><Relationship Id="rId7" Type="http://schemas.openxmlformats.org/officeDocument/2006/relationships/hyperlink" Target="https://journals.lww.com/greenjournal/fulltext/2025/11000/uterine_transposition_for_fertility_preservation.7.aspx" TargetMode="External"/><Relationship Id="rId8" Type="http://schemas.openxmlformats.org/officeDocument/2006/relationships/image" Target="media/image1.jpe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146</TotalTime>
  <Application>LibreOffice/25.8.2.2$Linux_X86_64 LibreOffice_project/580$Build-2</Application>
  <AppVersion>15.0000</AppVersion>
  <Pages>6</Pages>
  <Words>2646</Words>
  <Characters>12880</Characters>
  <CharactersWithSpaces>16139</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2025-10-31T16:28:00Z</dcterms:created>
  <dc:creator>Asus</dc:creator>
  <dc:description/>
  <dc:language>en-US</dc:language>
  <cp:lastModifiedBy>Jean-cédric Thérond</cp:lastModifiedBy>
  <dcterms:modified xsi:type="dcterms:W3CDTF">2025-11-03T02:40:40Z</dcterms:modified>
  <cp:revision>3</cp:revision>
  <dc:subject/>
  <dc:title>Echo des Labos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