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0D2885" w14:textId="7A70DA5C" w:rsidR="00D938C5" w:rsidRPr="00D938C5" w:rsidRDefault="00D938C5" w:rsidP="00792995">
      <w:pPr>
        <w:spacing w:line="480" w:lineRule="auto"/>
        <w:jc w:val="both"/>
        <w:rPr>
          <w:rFonts w:ascii="Arial" w:hAnsi="Arial" w:cs="Arial"/>
          <w:b/>
          <w:bCs/>
        </w:rPr>
      </w:pPr>
      <w:r w:rsidRPr="00D938C5">
        <w:rPr>
          <w:rFonts w:ascii="Arial" w:hAnsi="Arial" w:cs="Arial"/>
          <w:b/>
          <w:bCs/>
        </w:rPr>
        <w:t>114304</w:t>
      </w:r>
      <w:r>
        <w:rPr>
          <w:rFonts w:ascii="Arial" w:hAnsi="Arial" w:cs="Arial"/>
          <w:b/>
          <w:bCs/>
        </w:rPr>
        <w:t>9</w:t>
      </w:r>
      <w:r w:rsidRPr="00D938C5">
        <w:rPr>
          <w:rFonts w:ascii="Arial" w:hAnsi="Arial" w:cs="Arial"/>
          <w:b/>
          <w:bCs/>
        </w:rPr>
        <w:t>5</w:t>
      </w:r>
    </w:p>
    <w:p w14:paraId="3F7D2A75" w14:textId="24536317" w:rsidR="00792995" w:rsidRPr="00370CF7" w:rsidRDefault="006B6792" w:rsidP="00792995">
      <w:pPr>
        <w:spacing w:line="480" w:lineRule="auto"/>
        <w:jc w:val="both"/>
        <w:rPr>
          <w:rFonts w:ascii="Arial" w:hAnsi="Arial" w:cs="Arial"/>
          <w:b/>
          <w:bCs/>
          <w:u w:val="single"/>
        </w:rPr>
      </w:pPr>
      <w:r>
        <w:rPr>
          <w:rFonts w:ascii="Arial" w:hAnsi="Arial" w:cs="Arial"/>
          <w:b/>
          <w:bCs/>
          <w:u w:val="single"/>
        </w:rPr>
        <w:t xml:space="preserve">Indian household </w:t>
      </w:r>
      <w:r w:rsidR="00792995" w:rsidRPr="00692F5C">
        <w:rPr>
          <w:rFonts w:ascii="Arial" w:hAnsi="Arial" w:cs="Arial"/>
          <w:b/>
          <w:bCs/>
          <w:u w:val="single"/>
        </w:rPr>
        <w:t>CCTV expenditure by class and rural/urban divide</w:t>
      </w:r>
    </w:p>
    <w:p w14:paraId="188DE586" w14:textId="3AF6C4BE" w:rsidR="00E478B5" w:rsidRDefault="00792995" w:rsidP="00792995">
      <w:pPr>
        <w:spacing w:line="480" w:lineRule="auto"/>
        <w:jc w:val="both"/>
        <w:rPr>
          <w:rFonts w:ascii="Arial" w:hAnsi="Arial" w:cs="Arial"/>
        </w:rPr>
      </w:pPr>
      <w:r w:rsidRPr="00370CF7">
        <w:rPr>
          <w:rFonts w:ascii="Arial" w:hAnsi="Arial" w:cs="Arial"/>
        </w:rPr>
        <w:t>In this blog I will be answering the question</w:t>
      </w:r>
      <w:r w:rsidR="00D938C5">
        <w:rPr>
          <w:rFonts w:ascii="Arial" w:hAnsi="Arial" w:cs="Arial"/>
        </w:rPr>
        <w:t>,</w:t>
      </w:r>
      <w:r w:rsidRPr="00370CF7">
        <w:rPr>
          <w:rFonts w:ascii="Arial" w:hAnsi="Arial" w:cs="Arial"/>
        </w:rPr>
        <w:t xml:space="preserve"> ‘</w:t>
      </w:r>
      <w:r w:rsidR="00D938C5">
        <w:rPr>
          <w:rFonts w:ascii="Arial" w:hAnsi="Arial" w:cs="Arial"/>
        </w:rPr>
        <w:t>H</w:t>
      </w:r>
      <w:r w:rsidRPr="00370CF7">
        <w:rPr>
          <w:rFonts w:ascii="Arial" w:hAnsi="Arial" w:cs="Arial"/>
        </w:rPr>
        <w:t>ow is household</w:t>
      </w:r>
      <w:r w:rsidR="00396AE7">
        <w:rPr>
          <w:rFonts w:ascii="Arial" w:hAnsi="Arial" w:cs="Arial"/>
        </w:rPr>
        <w:t xml:space="preserve"> CCTV</w:t>
      </w:r>
      <w:r w:rsidRPr="00370CF7">
        <w:rPr>
          <w:rFonts w:ascii="Arial" w:hAnsi="Arial" w:cs="Arial"/>
        </w:rPr>
        <w:t xml:space="preserve"> expenditure impacted</w:t>
      </w:r>
      <w:r w:rsidR="00396AE7">
        <w:rPr>
          <w:rFonts w:ascii="Arial" w:hAnsi="Arial" w:cs="Arial"/>
        </w:rPr>
        <w:t xml:space="preserve"> </w:t>
      </w:r>
      <w:r w:rsidRPr="00370CF7">
        <w:rPr>
          <w:rFonts w:ascii="Arial" w:hAnsi="Arial" w:cs="Arial"/>
        </w:rPr>
        <w:t>by class and the rural/urban divide in India?’. I wil</w:t>
      </w:r>
      <w:r w:rsidR="00450E4E">
        <w:rPr>
          <w:rFonts w:ascii="Arial" w:hAnsi="Arial" w:cs="Arial"/>
        </w:rPr>
        <w:t xml:space="preserve">l be analysing </w:t>
      </w:r>
      <w:r w:rsidR="00396AE7">
        <w:rPr>
          <w:rFonts w:ascii="Arial" w:hAnsi="Arial" w:cs="Arial"/>
        </w:rPr>
        <w:t>2016 Indian household expenditure survey data.</w:t>
      </w:r>
      <w:r w:rsidR="00396AE7" w:rsidRPr="00370CF7">
        <w:rPr>
          <w:rFonts w:ascii="Arial" w:hAnsi="Arial" w:cs="Arial"/>
        </w:rPr>
        <w:t xml:space="preserve"> My</w:t>
      </w:r>
      <w:r w:rsidRPr="00370CF7">
        <w:rPr>
          <w:rFonts w:ascii="Arial" w:hAnsi="Arial" w:cs="Arial"/>
        </w:rPr>
        <w:t xml:space="preserve"> chosen variables for this analysis are MPCE (mean per capita expenditure), CCTV sales and rurality. I chose these variables as previous literature has show</w:t>
      </w:r>
      <w:r w:rsidR="00774623">
        <w:rPr>
          <w:rFonts w:ascii="Arial" w:hAnsi="Arial" w:cs="Arial"/>
        </w:rPr>
        <w:t>n</w:t>
      </w:r>
      <w:r w:rsidRPr="00370CF7">
        <w:rPr>
          <w:rFonts w:ascii="Arial" w:hAnsi="Arial" w:cs="Arial"/>
        </w:rPr>
        <w:t xml:space="preserve"> large wealth disparities between rural and urban demographics in India (Anand 2023).</w:t>
      </w:r>
      <w:r w:rsidR="006C7A0E">
        <w:rPr>
          <w:rFonts w:ascii="Arial" w:hAnsi="Arial" w:cs="Arial"/>
        </w:rPr>
        <w:t xml:space="preserve"> </w:t>
      </w:r>
      <w:r w:rsidRPr="00370CF7">
        <w:rPr>
          <w:rFonts w:ascii="Arial" w:hAnsi="Arial" w:cs="Arial"/>
        </w:rPr>
        <w:t xml:space="preserve">However, 12% of </w:t>
      </w:r>
      <w:r w:rsidRPr="00AC364D">
        <w:rPr>
          <w:rFonts w:ascii="Arial" w:hAnsi="Arial" w:cs="Arial"/>
        </w:rPr>
        <w:t>the world population</w:t>
      </w:r>
      <w:r w:rsidRPr="00370CF7">
        <w:rPr>
          <w:rFonts w:ascii="Arial" w:hAnsi="Arial" w:cs="Arial"/>
        </w:rPr>
        <w:t xml:space="preserve"> resides in the Indian rural market and a greater understanding of this segment is needed for businesses to effectively tap into it (Parida and Sahney 2017).</w:t>
      </w:r>
      <w:r w:rsidR="006C7A0E">
        <w:rPr>
          <w:rFonts w:ascii="Arial" w:hAnsi="Arial" w:cs="Arial"/>
        </w:rPr>
        <w:t xml:space="preserve"> Furthermore, CCTV expenditure by </w:t>
      </w:r>
      <w:r w:rsidR="00A20468">
        <w:rPr>
          <w:rFonts w:ascii="Arial" w:hAnsi="Arial" w:cs="Arial"/>
        </w:rPr>
        <w:t>rurality</w:t>
      </w:r>
      <w:r w:rsidR="006C7A0E">
        <w:rPr>
          <w:rFonts w:ascii="Arial" w:hAnsi="Arial" w:cs="Arial"/>
        </w:rPr>
        <w:t xml:space="preserve"> can provide </w:t>
      </w:r>
      <w:r w:rsidR="00A20468">
        <w:rPr>
          <w:rFonts w:ascii="Arial" w:hAnsi="Arial" w:cs="Arial"/>
        </w:rPr>
        <w:t>insight</w:t>
      </w:r>
      <w:r w:rsidR="006C7A0E">
        <w:rPr>
          <w:rFonts w:ascii="Arial" w:hAnsi="Arial" w:cs="Arial"/>
        </w:rPr>
        <w:t xml:space="preserve"> into how </w:t>
      </w:r>
      <w:r w:rsidR="00A20468">
        <w:rPr>
          <w:rFonts w:ascii="Arial" w:hAnsi="Arial" w:cs="Arial"/>
        </w:rPr>
        <w:t xml:space="preserve">differing </w:t>
      </w:r>
      <w:r w:rsidR="006C7A0E">
        <w:rPr>
          <w:rFonts w:ascii="Arial" w:hAnsi="Arial" w:cs="Arial"/>
        </w:rPr>
        <w:t>demographics prioritise safety and security</w:t>
      </w:r>
      <w:r w:rsidR="00960FBB">
        <w:rPr>
          <w:rFonts w:ascii="Arial" w:hAnsi="Arial" w:cs="Arial"/>
        </w:rPr>
        <w:t>,</w:t>
      </w:r>
      <w:r w:rsidR="006C7A0E">
        <w:rPr>
          <w:rFonts w:ascii="Arial" w:hAnsi="Arial" w:cs="Arial"/>
        </w:rPr>
        <w:t xml:space="preserve"> </w:t>
      </w:r>
      <w:r w:rsidR="00960FBB">
        <w:rPr>
          <w:rFonts w:ascii="Arial" w:hAnsi="Arial" w:cs="Arial"/>
        </w:rPr>
        <w:t>demonstrating</w:t>
      </w:r>
      <w:r w:rsidR="006C7A0E">
        <w:rPr>
          <w:rFonts w:ascii="Arial" w:hAnsi="Arial" w:cs="Arial"/>
        </w:rPr>
        <w:t xml:space="preserve"> how spending behaviour</w:t>
      </w:r>
      <w:r w:rsidR="00A20468">
        <w:rPr>
          <w:rFonts w:ascii="Arial" w:hAnsi="Arial" w:cs="Arial"/>
        </w:rPr>
        <w:t xml:space="preserve"> is influenced by geography</w:t>
      </w:r>
      <w:r w:rsidR="006C7A0E">
        <w:rPr>
          <w:rFonts w:ascii="Arial" w:hAnsi="Arial" w:cs="Arial"/>
        </w:rPr>
        <w:t>.</w:t>
      </w:r>
      <w:r w:rsidR="00A20468">
        <w:rPr>
          <w:rFonts w:ascii="Arial" w:hAnsi="Arial" w:cs="Arial"/>
        </w:rPr>
        <w:t xml:space="preserve"> </w:t>
      </w:r>
      <w:r w:rsidRPr="00370CF7">
        <w:rPr>
          <w:rFonts w:ascii="Arial" w:hAnsi="Arial" w:cs="Arial"/>
        </w:rPr>
        <w:t xml:space="preserve">I will begin this blog with a presentation of two statistical </w:t>
      </w:r>
      <w:r w:rsidR="00450E4E">
        <w:rPr>
          <w:rFonts w:ascii="Arial" w:hAnsi="Arial" w:cs="Arial"/>
        </w:rPr>
        <w:t>graphs</w:t>
      </w:r>
      <w:r w:rsidRPr="00370CF7">
        <w:rPr>
          <w:rFonts w:ascii="Arial" w:hAnsi="Arial" w:cs="Arial"/>
        </w:rPr>
        <w:t xml:space="preserve"> followed by a short discussion of the findings and limitations of the research.</w:t>
      </w:r>
    </w:p>
    <w:p w14:paraId="73B4D80A" w14:textId="2101CB5E" w:rsidR="00E478B5" w:rsidRPr="00EC5ADF" w:rsidRDefault="00EC5ADF" w:rsidP="00EC5ADF">
      <w:pPr>
        <w:spacing w:line="480" w:lineRule="auto"/>
        <w:ind w:firstLine="720"/>
        <w:jc w:val="both"/>
        <w:rPr>
          <w:rFonts w:ascii="Arial" w:hAnsi="Arial" w:cs="Arial"/>
          <w:i/>
          <w:iCs/>
          <w:color w:val="747474" w:themeColor="background2" w:themeShade="80"/>
        </w:rPr>
      </w:pPr>
      <w:r w:rsidRPr="00370CF7">
        <w:rPr>
          <w:rFonts w:ascii="Arial" w:hAnsi="Arial" w:cs="Arial"/>
          <w:noProof/>
        </w:rPr>
        <w:drawing>
          <wp:anchor distT="0" distB="0" distL="114300" distR="114300" simplePos="0" relativeHeight="251660288" behindDoc="0" locked="0" layoutInCell="1" allowOverlap="1" wp14:anchorId="3E8E541C" wp14:editId="0A00979C">
            <wp:simplePos x="0" y="0"/>
            <wp:positionH relativeFrom="margin">
              <wp:posOffset>348505</wp:posOffset>
            </wp:positionH>
            <wp:positionV relativeFrom="paragraph">
              <wp:posOffset>345772</wp:posOffset>
            </wp:positionV>
            <wp:extent cx="5685155" cy="3137535"/>
            <wp:effectExtent l="0" t="0" r="0" b="5715"/>
            <wp:wrapSquare wrapText="bothSides"/>
            <wp:docPr id="592120700" name="Picture 10" descr="A graph with a green and blue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20700" name="Picture 10" descr="A graph with a green and blue bar&#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85155" cy="3137535"/>
                    </a:xfrm>
                    <a:prstGeom prst="rect">
                      <a:avLst/>
                    </a:prstGeom>
                    <a:noFill/>
                  </pic:spPr>
                </pic:pic>
              </a:graphicData>
            </a:graphic>
            <wp14:sizeRelH relativeFrom="margin">
              <wp14:pctWidth>0</wp14:pctWidth>
            </wp14:sizeRelH>
            <wp14:sizeRelV relativeFrom="margin">
              <wp14:pctHeight>0</wp14:pctHeight>
            </wp14:sizeRelV>
          </wp:anchor>
        </w:drawing>
      </w:r>
      <w:r w:rsidR="00792995" w:rsidRPr="00370CF7">
        <w:rPr>
          <w:rFonts w:ascii="Arial" w:hAnsi="Arial" w:cs="Arial"/>
          <w:i/>
          <w:iCs/>
          <w:color w:val="747474" w:themeColor="background2" w:themeShade="80"/>
        </w:rPr>
        <w:t>Figure 1</w:t>
      </w:r>
    </w:p>
    <w:p w14:paraId="7D339690" w14:textId="1A0ADAC1" w:rsidR="00E478B5" w:rsidRDefault="00E478B5" w:rsidP="00792995">
      <w:pPr>
        <w:spacing w:line="480" w:lineRule="auto"/>
        <w:jc w:val="both"/>
        <w:rPr>
          <w:rFonts w:ascii="Arial" w:hAnsi="Arial" w:cs="Arial"/>
        </w:rPr>
      </w:pPr>
    </w:p>
    <w:p w14:paraId="09CB5226" w14:textId="6D053E4A" w:rsidR="001325DF" w:rsidRPr="00ED4649" w:rsidRDefault="00ED4649" w:rsidP="00EC5ADF">
      <w:pPr>
        <w:spacing w:line="480" w:lineRule="auto"/>
        <w:ind w:left="5040"/>
        <w:jc w:val="both"/>
        <w:rPr>
          <w:rFonts w:ascii="Arial" w:hAnsi="Arial" w:cs="Arial"/>
          <w:i/>
          <w:iCs/>
          <w:color w:val="E8E8E8" w:themeColor="background2"/>
        </w:rPr>
      </w:pPr>
      <w:r w:rsidRPr="00ED4649">
        <w:rPr>
          <w:rFonts w:ascii="Arial" w:hAnsi="Arial" w:cs="Arial"/>
          <w:i/>
          <w:iCs/>
          <w:color w:val="747474" w:themeColor="background2" w:themeShade="80"/>
        </w:rPr>
        <w:t>National sample survey office (2016)</w:t>
      </w:r>
      <w:r w:rsidRPr="00ED4649">
        <w:rPr>
          <w:rFonts w:ascii="Arial" w:hAnsi="Arial" w:cs="Arial"/>
          <w:i/>
          <w:iCs/>
          <w:color w:val="747474" w:themeColor="background2" w:themeShade="80"/>
        </w:rPr>
        <w:tab/>
      </w:r>
    </w:p>
    <w:p w14:paraId="0EB94991" w14:textId="3C9BBC5B" w:rsidR="001325DF" w:rsidRDefault="00792995" w:rsidP="00792995">
      <w:pPr>
        <w:spacing w:line="480" w:lineRule="auto"/>
        <w:jc w:val="both"/>
        <w:rPr>
          <w:rFonts w:ascii="Arial" w:hAnsi="Arial" w:cs="Arial"/>
        </w:rPr>
      </w:pPr>
      <w:r w:rsidRPr="00370CF7">
        <w:rPr>
          <w:rFonts w:ascii="Arial" w:hAnsi="Arial" w:cs="Arial"/>
        </w:rPr>
        <w:lastRenderedPageBreak/>
        <w:t xml:space="preserve">Figure 1 </w:t>
      </w:r>
      <w:r w:rsidR="00F177D1">
        <w:rPr>
          <w:rFonts w:ascii="Arial" w:hAnsi="Arial" w:cs="Arial"/>
        </w:rPr>
        <w:t>presents</w:t>
      </w:r>
      <w:r w:rsidRPr="00370CF7">
        <w:rPr>
          <w:rFonts w:ascii="Arial" w:hAnsi="Arial" w:cs="Arial"/>
        </w:rPr>
        <w:t xml:space="preserve"> CCTV expenditure among rural and urban demographics. Urban households make up 80% of all CCTV expenditure whereas rural households only make up 20% of the market share. </w:t>
      </w:r>
    </w:p>
    <w:p w14:paraId="6A6336F2" w14:textId="77777777" w:rsidR="00EC5ADF" w:rsidRDefault="00792995" w:rsidP="00EC5ADF">
      <w:pPr>
        <w:spacing w:line="480" w:lineRule="auto"/>
        <w:jc w:val="both"/>
        <w:rPr>
          <w:rFonts w:ascii="Arial" w:hAnsi="Arial" w:cs="Arial"/>
        </w:rPr>
      </w:pPr>
      <w:r w:rsidRPr="00370CF7">
        <w:rPr>
          <w:rFonts w:ascii="Arial" w:hAnsi="Arial" w:cs="Arial"/>
        </w:rPr>
        <w:t>One clear reason for this disparity as identified by Anand et al (2023) is that buildings make up a much greater proportion of urban demographics assets at over 44.8% in 2012 compared to 21% in rural demographics. This would mean that rural demographics have less need for expenditure on security systems as compared to urban demographics.</w:t>
      </w:r>
    </w:p>
    <w:p w14:paraId="27D668DD" w14:textId="3BB358D2" w:rsidR="00792995" w:rsidRPr="00EC5ADF" w:rsidRDefault="00EC5ADF" w:rsidP="00EC5ADF">
      <w:pPr>
        <w:spacing w:line="480" w:lineRule="auto"/>
        <w:ind w:firstLine="720"/>
        <w:jc w:val="both"/>
        <w:rPr>
          <w:rFonts w:ascii="Arial" w:hAnsi="Arial" w:cs="Arial"/>
        </w:rPr>
      </w:pPr>
      <w:r w:rsidRPr="00370CF7">
        <w:rPr>
          <w:rFonts w:ascii="Arial" w:hAnsi="Arial" w:cs="Arial"/>
          <w:noProof/>
        </w:rPr>
        <w:drawing>
          <wp:anchor distT="0" distB="0" distL="114300" distR="114300" simplePos="0" relativeHeight="251659264" behindDoc="0" locked="0" layoutInCell="1" allowOverlap="1" wp14:anchorId="5696AB94" wp14:editId="7A60922E">
            <wp:simplePos x="0" y="0"/>
            <wp:positionH relativeFrom="margin">
              <wp:align>left</wp:align>
            </wp:positionH>
            <wp:positionV relativeFrom="paragraph">
              <wp:posOffset>224238</wp:posOffset>
            </wp:positionV>
            <wp:extent cx="5474970" cy="3037205"/>
            <wp:effectExtent l="0" t="0" r="0" b="0"/>
            <wp:wrapSquare wrapText="bothSides"/>
            <wp:docPr id="1253268895" name="Picture 7" descr="A graph with green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68895" name="Picture 7" descr="A graph with green and blue squares&#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74970" cy="3037205"/>
                    </a:xfrm>
                    <a:prstGeom prst="rect">
                      <a:avLst/>
                    </a:prstGeom>
                    <a:noFill/>
                  </pic:spPr>
                </pic:pic>
              </a:graphicData>
            </a:graphic>
            <wp14:sizeRelH relativeFrom="margin">
              <wp14:pctWidth>0</wp14:pctWidth>
            </wp14:sizeRelH>
            <wp14:sizeRelV relativeFrom="margin">
              <wp14:pctHeight>0</wp14:pctHeight>
            </wp14:sizeRelV>
          </wp:anchor>
        </w:drawing>
      </w:r>
      <w:r w:rsidR="00792995" w:rsidRPr="00370CF7">
        <w:rPr>
          <w:rFonts w:ascii="Arial" w:hAnsi="Arial" w:cs="Arial"/>
          <w:i/>
          <w:iCs/>
          <w:color w:val="747474" w:themeColor="background2" w:themeShade="80"/>
        </w:rPr>
        <w:t xml:space="preserve">Figure 2 </w:t>
      </w:r>
    </w:p>
    <w:p w14:paraId="7CE5952B" w14:textId="383B350F" w:rsidR="00ED4649" w:rsidRDefault="00ED4649" w:rsidP="00EC5ADF">
      <w:pPr>
        <w:spacing w:line="480" w:lineRule="auto"/>
        <w:ind w:left="5040"/>
        <w:jc w:val="both"/>
        <w:rPr>
          <w:rFonts w:ascii="Arial" w:hAnsi="Arial" w:cs="Arial"/>
        </w:rPr>
      </w:pPr>
      <w:r w:rsidRPr="00ED4649">
        <w:rPr>
          <w:rFonts w:ascii="Arial" w:hAnsi="Arial" w:cs="Arial"/>
          <w:i/>
          <w:iCs/>
          <w:color w:val="747474" w:themeColor="background2" w:themeShade="80"/>
        </w:rPr>
        <w:t>National sample survey office (2016)</w:t>
      </w:r>
      <w:r w:rsidRPr="00ED4649">
        <w:rPr>
          <w:rFonts w:ascii="Arial" w:hAnsi="Arial" w:cs="Arial"/>
          <w:i/>
          <w:iCs/>
          <w:color w:val="747474" w:themeColor="background2" w:themeShade="80"/>
        </w:rPr>
        <w:tab/>
      </w:r>
    </w:p>
    <w:p w14:paraId="2291BF88" w14:textId="4AFA09AA" w:rsidR="001325DF" w:rsidRDefault="00792995" w:rsidP="00792995">
      <w:pPr>
        <w:spacing w:line="480" w:lineRule="auto"/>
        <w:jc w:val="both"/>
        <w:rPr>
          <w:rFonts w:ascii="Arial" w:hAnsi="Arial" w:cs="Arial"/>
        </w:rPr>
      </w:pPr>
      <w:r w:rsidRPr="00370CF7">
        <w:rPr>
          <w:rFonts w:ascii="Arial" w:hAnsi="Arial" w:cs="Arial"/>
        </w:rPr>
        <w:t>Figure 2 shows the levels of CCTV expenditure against mean per capita expenditure whilst accounting for rural and urban demographics. MPCE is used to account for class as higher levels of spending</w:t>
      </w:r>
      <w:r w:rsidR="00683D70">
        <w:rPr>
          <w:rFonts w:ascii="Arial" w:hAnsi="Arial" w:cs="Arial"/>
        </w:rPr>
        <w:t xml:space="preserve"> </w:t>
      </w:r>
      <w:r w:rsidRPr="00370CF7">
        <w:rPr>
          <w:rFonts w:ascii="Arial" w:hAnsi="Arial" w:cs="Arial"/>
        </w:rPr>
        <w:t xml:space="preserve">indicate higher levels of </w:t>
      </w:r>
      <w:r w:rsidR="00C47B75" w:rsidRPr="00370CF7">
        <w:rPr>
          <w:rFonts w:ascii="Arial" w:hAnsi="Arial" w:cs="Arial"/>
        </w:rPr>
        <w:t>wealth. Many</w:t>
      </w:r>
      <w:r w:rsidRPr="00370CF7">
        <w:rPr>
          <w:rFonts w:ascii="Arial" w:hAnsi="Arial" w:cs="Arial"/>
        </w:rPr>
        <w:t xml:space="preserve"> of the plot</w:t>
      </w:r>
      <w:r w:rsidR="00C2431B">
        <w:rPr>
          <w:rFonts w:ascii="Arial" w:hAnsi="Arial" w:cs="Arial"/>
        </w:rPr>
        <w:t xml:space="preserve">s fell on 0 expenditure </w:t>
      </w:r>
      <w:r w:rsidRPr="00370CF7">
        <w:rPr>
          <w:rFonts w:ascii="Arial" w:hAnsi="Arial" w:cs="Arial"/>
        </w:rPr>
        <w:t>so the plot had to be placed on</w:t>
      </w:r>
      <w:r w:rsidR="00C2431B">
        <w:rPr>
          <w:rFonts w:ascii="Arial" w:hAnsi="Arial" w:cs="Arial"/>
        </w:rPr>
        <w:t>to</w:t>
      </w:r>
      <w:r w:rsidRPr="00370CF7">
        <w:rPr>
          <w:rFonts w:ascii="Arial" w:hAnsi="Arial" w:cs="Arial"/>
        </w:rPr>
        <w:t xml:space="preserve"> a</w:t>
      </w:r>
      <w:r w:rsidR="00C2431B">
        <w:rPr>
          <w:rFonts w:ascii="Arial" w:hAnsi="Arial" w:cs="Arial"/>
        </w:rPr>
        <w:t xml:space="preserve"> logarithmic</w:t>
      </w:r>
      <w:r w:rsidR="00683D70">
        <w:rPr>
          <w:rFonts w:ascii="Arial" w:hAnsi="Arial" w:cs="Arial"/>
        </w:rPr>
        <w:t xml:space="preserve"> scale. This means the values on the</w:t>
      </w:r>
      <w:r w:rsidR="00C47B75">
        <w:rPr>
          <w:rFonts w:ascii="Arial" w:hAnsi="Arial" w:cs="Arial"/>
        </w:rPr>
        <w:t xml:space="preserve"> ax</w:t>
      </w:r>
      <w:r w:rsidR="00960FBB">
        <w:rPr>
          <w:rFonts w:ascii="Arial" w:hAnsi="Arial" w:cs="Arial"/>
        </w:rPr>
        <w:t>e</w:t>
      </w:r>
      <w:r w:rsidR="00C47B75">
        <w:rPr>
          <w:rFonts w:ascii="Arial" w:hAnsi="Arial" w:cs="Arial"/>
        </w:rPr>
        <w:t>s increase exponentially to the power of 10</w:t>
      </w:r>
      <w:r w:rsidR="00960FBB">
        <w:rPr>
          <w:rFonts w:ascii="Arial" w:hAnsi="Arial" w:cs="Arial"/>
        </w:rPr>
        <w:t>,</w:t>
      </w:r>
      <w:r w:rsidR="00C47B75">
        <w:rPr>
          <w:rFonts w:ascii="Arial" w:hAnsi="Arial" w:cs="Arial"/>
        </w:rPr>
        <w:t xml:space="preserve"> allowing extreme values to be represented. </w:t>
      </w:r>
      <w:r w:rsidR="00683D70">
        <w:rPr>
          <w:rFonts w:ascii="Arial" w:hAnsi="Arial" w:cs="Arial"/>
        </w:rPr>
        <w:t xml:space="preserve"> </w:t>
      </w:r>
    </w:p>
    <w:p w14:paraId="6781AC7B" w14:textId="014328EF" w:rsidR="00792995" w:rsidRPr="00370CF7" w:rsidRDefault="00792995" w:rsidP="00792995">
      <w:pPr>
        <w:spacing w:line="480" w:lineRule="auto"/>
        <w:jc w:val="both"/>
        <w:rPr>
          <w:rFonts w:ascii="Arial" w:hAnsi="Arial" w:cs="Arial"/>
        </w:rPr>
      </w:pPr>
      <w:r w:rsidRPr="00370CF7">
        <w:rPr>
          <w:rFonts w:ascii="Arial" w:hAnsi="Arial" w:cs="Arial"/>
        </w:rPr>
        <w:t xml:space="preserve">This graph shows there is an observable positive correlation between higher mean per capita expenditure, CCTV expenditure and urban demographics. Research from Anand (2023) </w:t>
      </w:r>
      <w:r w:rsidRPr="00370CF7">
        <w:rPr>
          <w:rFonts w:ascii="Arial" w:hAnsi="Arial" w:cs="Arial"/>
        </w:rPr>
        <w:lastRenderedPageBreak/>
        <w:t>supports this</w:t>
      </w:r>
      <w:r w:rsidR="00960FBB">
        <w:rPr>
          <w:rFonts w:ascii="Arial" w:hAnsi="Arial" w:cs="Arial"/>
        </w:rPr>
        <w:t>,</w:t>
      </w:r>
      <w:r w:rsidRPr="00370CF7">
        <w:rPr>
          <w:rFonts w:ascii="Arial" w:hAnsi="Arial" w:cs="Arial"/>
        </w:rPr>
        <w:t xml:space="preserve"> showing that even rural households with high levels of expenditure pale in comparison to the wealthiest of urban households. </w:t>
      </w:r>
    </w:p>
    <w:p w14:paraId="6F436717" w14:textId="0B31E7FF" w:rsidR="00792995" w:rsidRPr="00370CF7" w:rsidRDefault="00792995" w:rsidP="00792995">
      <w:pPr>
        <w:spacing w:line="480" w:lineRule="auto"/>
        <w:jc w:val="both"/>
        <w:rPr>
          <w:rFonts w:ascii="Arial" w:hAnsi="Arial" w:cs="Arial"/>
        </w:rPr>
      </w:pPr>
      <w:r w:rsidRPr="00370CF7">
        <w:rPr>
          <w:rFonts w:ascii="Arial" w:hAnsi="Arial" w:cs="Arial"/>
        </w:rPr>
        <w:t xml:space="preserve">However, there are limitations </w:t>
      </w:r>
      <w:r w:rsidR="001325DF">
        <w:rPr>
          <w:rFonts w:ascii="Arial" w:hAnsi="Arial" w:cs="Arial"/>
        </w:rPr>
        <w:t>to</w:t>
      </w:r>
      <w:r w:rsidRPr="00370CF7">
        <w:rPr>
          <w:rFonts w:ascii="Arial" w:hAnsi="Arial" w:cs="Arial"/>
        </w:rPr>
        <w:t xml:space="preserve"> the research </w:t>
      </w:r>
      <w:r w:rsidR="001325DF">
        <w:rPr>
          <w:rFonts w:ascii="Arial" w:hAnsi="Arial" w:cs="Arial"/>
        </w:rPr>
        <w:t xml:space="preserve">that </w:t>
      </w:r>
      <w:r w:rsidRPr="00370CF7">
        <w:rPr>
          <w:rFonts w:ascii="Arial" w:hAnsi="Arial" w:cs="Arial"/>
        </w:rPr>
        <w:t xml:space="preserve">I have conducted. One limitation is that the data is approaching 10 years in age and may no longer be relevant to market analysts as India is rapidly developing. Furthermore, the limited scale of my analysis fails to capture other socioeconomic </w:t>
      </w:r>
      <w:r w:rsidRPr="00AD63F2">
        <w:rPr>
          <w:rFonts w:ascii="Arial" w:hAnsi="Arial" w:cs="Arial"/>
        </w:rPr>
        <w:t xml:space="preserve">factors </w:t>
      </w:r>
      <w:r w:rsidR="00D16E07">
        <w:rPr>
          <w:rFonts w:ascii="Arial" w:hAnsi="Arial" w:cs="Arial"/>
        </w:rPr>
        <w:t>impacting</w:t>
      </w:r>
      <w:r w:rsidRPr="00370CF7">
        <w:rPr>
          <w:rFonts w:ascii="Arial" w:hAnsi="Arial" w:cs="Arial"/>
        </w:rPr>
        <w:t xml:space="preserve"> CCTV expenditure</w:t>
      </w:r>
      <w:r w:rsidR="001325DF">
        <w:rPr>
          <w:rFonts w:ascii="Arial" w:hAnsi="Arial" w:cs="Arial"/>
        </w:rPr>
        <w:t xml:space="preserve"> such </w:t>
      </w:r>
      <w:r w:rsidR="00D16E07">
        <w:rPr>
          <w:rFonts w:ascii="Arial" w:hAnsi="Arial" w:cs="Arial"/>
        </w:rPr>
        <w:t>a</w:t>
      </w:r>
      <w:r w:rsidR="00F177D1">
        <w:rPr>
          <w:rFonts w:ascii="Arial" w:hAnsi="Arial" w:cs="Arial"/>
        </w:rPr>
        <w:t xml:space="preserve">s </w:t>
      </w:r>
      <w:r w:rsidR="00DC520A">
        <w:rPr>
          <w:rFonts w:ascii="Arial" w:hAnsi="Arial" w:cs="Arial"/>
        </w:rPr>
        <w:t>variations</w:t>
      </w:r>
      <w:r w:rsidR="00F177D1">
        <w:rPr>
          <w:rFonts w:ascii="Arial" w:hAnsi="Arial" w:cs="Arial"/>
        </w:rPr>
        <w:t xml:space="preserve"> in crime rates</w:t>
      </w:r>
      <w:r w:rsidR="001325DF">
        <w:rPr>
          <w:rFonts w:ascii="Arial" w:hAnsi="Arial" w:cs="Arial"/>
        </w:rPr>
        <w:t>. Future research may wan</w:t>
      </w:r>
      <w:r w:rsidR="00D16E07">
        <w:rPr>
          <w:rFonts w:ascii="Arial" w:hAnsi="Arial" w:cs="Arial"/>
        </w:rPr>
        <w:t>t to cover specific states and regions within India while also accounting for these external factors.</w:t>
      </w:r>
    </w:p>
    <w:p w14:paraId="5538B426" w14:textId="74FCD2F4" w:rsidR="00792995" w:rsidRPr="00370CF7" w:rsidRDefault="00792995" w:rsidP="00792995">
      <w:pPr>
        <w:spacing w:line="480" w:lineRule="auto"/>
        <w:jc w:val="both"/>
        <w:rPr>
          <w:rFonts w:ascii="Arial" w:hAnsi="Arial" w:cs="Arial"/>
        </w:rPr>
      </w:pPr>
      <w:r w:rsidRPr="00370CF7">
        <w:rPr>
          <w:rFonts w:ascii="Arial" w:hAnsi="Arial" w:cs="Arial"/>
        </w:rPr>
        <w:t xml:space="preserve">Despite </w:t>
      </w:r>
      <w:r w:rsidR="00F177D1">
        <w:rPr>
          <w:rFonts w:ascii="Arial" w:hAnsi="Arial" w:cs="Arial"/>
        </w:rPr>
        <w:t>these</w:t>
      </w:r>
      <w:r w:rsidRPr="00370CF7">
        <w:rPr>
          <w:rFonts w:ascii="Arial" w:hAnsi="Arial" w:cs="Arial"/>
        </w:rPr>
        <w:t xml:space="preserve"> limitations</w:t>
      </w:r>
      <w:r w:rsidR="00960FBB">
        <w:rPr>
          <w:rFonts w:ascii="Arial" w:hAnsi="Arial" w:cs="Arial"/>
        </w:rPr>
        <w:t>,</w:t>
      </w:r>
      <w:r w:rsidRPr="00370CF7">
        <w:rPr>
          <w:rFonts w:ascii="Arial" w:hAnsi="Arial" w:cs="Arial"/>
        </w:rPr>
        <w:t xml:space="preserve"> this analysis has shown that wealthy urban households dominate the market for CCTV and security products in India due to large wealth disparities</w:t>
      </w:r>
      <w:r w:rsidR="00D16E07">
        <w:rPr>
          <w:rFonts w:ascii="Arial" w:hAnsi="Arial" w:cs="Arial"/>
        </w:rPr>
        <w:t>. I</w:t>
      </w:r>
      <w:r w:rsidRPr="00370CF7">
        <w:rPr>
          <w:rFonts w:ascii="Arial" w:hAnsi="Arial" w:cs="Arial"/>
        </w:rPr>
        <w:t>f businesses wish to tap into the rural security market</w:t>
      </w:r>
      <w:r w:rsidR="000C4DCA">
        <w:rPr>
          <w:rFonts w:ascii="Arial" w:hAnsi="Arial" w:cs="Arial"/>
        </w:rPr>
        <w:t>,</w:t>
      </w:r>
      <w:r w:rsidR="00D16E07">
        <w:rPr>
          <w:rFonts w:ascii="Arial" w:hAnsi="Arial" w:cs="Arial"/>
        </w:rPr>
        <w:t xml:space="preserve"> more up to date and localised</w:t>
      </w:r>
      <w:r w:rsidRPr="00370CF7">
        <w:rPr>
          <w:rFonts w:ascii="Arial" w:hAnsi="Arial" w:cs="Arial"/>
        </w:rPr>
        <w:t xml:space="preserve"> research is required. </w:t>
      </w:r>
    </w:p>
    <w:p w14:paraId="7B63F9C1" w14:textId="56E49C1B" w:rsidR="00792995" w:rsidRPr="00370CF7" w:rsidRDefault="00792995" w:rsidP="00792995">
      <w:pPr>
        <w:spacing w:line="480" w:lineRule="auto"/>
        <w:jc w:val="both"/>
        <w:rPr>
          <w:rFonts w:ascii="Arial" w:hAnsi="Arial" w:cs="Arial"/>
          <w:b/>
          <w:bCs/>
          <w:u w:val="single"/>
        </w:rPr>
      </w:pPr>
      <w:r w:rsidRPr="00370CF7">
        <w:rPr>
          <w:rFonts w:ascii="Arial" w:hAnsi="Arial" w:cs="Arial"/>
          <w:b/>
          <w:bCs/>
          <w:u w:val="single"/>
        </w:rPr>
        <w:t>Bibliography</w:t>
      </w:r>
    </w:p>
    <w:p w14:paraId="45716D27" w14:textId="77777777" w:rsidR="00792995" w:rsidRPr="00370CF7" w:rsidRDefault="00792995" w:rsidP="00792995">
      <w:pPr>
        <w:pStyle w:val="ListParagraph"/>
        <w:numPr>
          <w:ilvl w:val="0"/>
          <w:numId w:val="2"/>
        </w:numPr>
        <w:spacing w:line="480" w:lineRule="auto"/>
        <w:jc w:val="both"/>
        <w:rPr>
          <w:rFonts w:ascii="Arial" w:hAnsi="Arial" w:cs="Arial"/>
        </w:rPr>
      </w:pPr>
      <w:r w:rsidRPr="00370CF7">
        <w:rPr>
          <w:rFonts w:ascii="Arial" w:hAnsi="Arial" w:cs="Arial"/>
        </w:rPr>
        <w:t>Anand, I., Thampi, A., Vakulabharanam, V. (2023). ‘</w:t>
      </w:r>
      <w:r w:rsidRPr="00370CF7">
        <w:rPr>
          <w:rFonts w:ascii="Arial" w:hAnsi="Arial" w:cs="Arial"/>
          <w:i/>
          <w:iCs/>
        </w:rPr>
        <w:t>Wealth inequality: the Indian case’</w:t>
      </w:r>
      <w:r w:rsidRPr="00370CF7">
        <w:rPr>
          <w:rFonts w:ascii="Arial" w:hAnsi="Arial" w:cs="Arial"/>
        </w:rPr>
        <w:t>, Canadian Journal of Development Studies, DOI: 10.1080/02255189.2023.2212898</w:t>
      </w:r>
    </w:p>
    <w:p w14:paraId="2B755DBE" w14:textId="77777777" w:rsidR="00792995" w:rsidRPr="00370CF7" w:rsidRDefault="00792995" w:rsidP="00792995">
      <w:pPr>
        <w:pStyle w:val="ListParagraph"/>
        <w:numPr>
          <w:ilvl w:val="0"/>
          <w:numId w:val="2"/>
        </w:numPr>
        <w:spacing w:line="480" w:lineRule="auto"/>
        <w:jc w:val="both"/>
        <w:rPr>
          <w:rFonts w:ascii="Arial" w:hAnsi="Arial" w:cs="Arial"/>
        </w:rPr>
      </w:pPr>
      <w:r w:rsidRPr="00370CF7">
        <w:rPr>
          <w:rFonts w:ascii="Arial" w:hAnsi="Arial" w:cs="Arial"/>
        </w:rPr>
        <w:t xml:space="preserve">National Sample Survey Office, MOSPI, Government of India, (2016). </w:t>
      </w:r>
      <w:r w:rsidRPr="00370CF7">
        <w:rPr>
          <w:rFonts w:ascii="Arial" w:hAnsi="Arial" w:cs="Arial"/>
          <w:i/>
          <w:iCs/>
        </w:rPr>
        <w:t xml:space="preserve">‘Household expenditure on Services and Durable goods’. </w:t>
      </w:r>
      <w:r w:rsidRPr="00370CF7">
        <w:rPr>
          <w:rFonts w:ascii="Arial" w:hAnsi="Arial" w:cs="Arial"/>
        </w:rPr>
        <w:t xml:space="preserve">Available at: </w:t>
      </w:r>
      <w:hyperlink r:id="rId7" w:history="1">
        <w:r w:rsidRPr="00370CF7">
          <w:rPr>
            <w:rStyle w:val="Hyperlink"/>
            <w:rFonts w:ascii="Arial" w:hAnsi="Arial" w:cs="Arial"/>
          </w:rPr>
          <w:t>India - Household expenditure on Services and Durable goods - JULY 2014 - JUNE 2015, 72 round</w:t>
        </w:r>
      </w:hyperlink>
      <w:r w:rsidRPr="00370CF7">
        <w:rPr>
          <w:rFonts w:ascii="Arial" w:hAnsi="Arial" w:cs="Arial"/>
          <w:i/>
          <w:iCs/>
        </w:rPr>
        <w:t xml:space="preserve"> </w:t>
      </w:r>
    </w:p>
    <w:p w14:paraId="5099FD11" w14:textId="77777777" w:rsidR="00792995" w:rsidRPr="00370CF7" w:rsidRDefault="00792995" w:rsidP="00792995">
      <w:pPr>
        <w:pStyle w:val="ListParagraph"/>
        <w:numPr>
          <w:ilvl w:val="0"/>
          <w:numId w:val="2"/>
        </w:numPr>
        <w:spacing w:line="480" w:lineRule="auto"/>
        <w:jc w:val="both"/>
        <w:rPr>
          <w:rFonts w:ascii="Arial" w:hAnsi="Arial" w:cs="Arial"/>
        </w:rPr>
      </w:pPr>
      <w:r w:rsidRPr="00370CF7">
        <w:rPr>
          <w:rFonts w:ascii="Arial" w:hAnsi="Arial" w:cs="Arial"/>
        </w:rPr>
        <w:t>Parida, R. R., Sahney, S., (2017). ‘</w:t>
      </w:r>
      <w:r w:rsidRPr="00370CF7">
        <w:rPr>
          <w:rFonts w:ascii="Arial" w:hAnsi="Arial" w:cs="Arial"/>
          <w:i/>
          <w:iCs/>
        </w:rPr>
        <w:t xml:space="preserve">Exploration of Indian rural markets and marketing’, </w:t>
      </w:r>
      <w:r w:rsidRPr="00370CF7">
        <w:rPr>
          <w:rFonts w:ascii="Arial" w:hAnsi="Arial" w:cs="Arial"/>
        </w:rPr>
        <w:t>Asia Pacific Journal of Marketing and Logistics, 30 (2), pp. 297-308. DOI 10.1108/APJML-12-2016-0241</w:t>
      </w:r>
    </w:p>
    <w:p w14:paraId="335E06B9" w14:textId="77777777" w:rsidR="00792995" w:rsidRDefault="00792995" w:rsidP="00792995"/>
    <w:sectPr w:rsidR="007929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3588C"/>
    <w:multiLevelType w:val="hybridMultilevel"/>
    <w:tmpl w:val="7FB83F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B11C95"/>
    <w:multiLevelType w:val="hybridMultilevel"/>
    <w:tmpl w:val="8E7821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82201018">
    <w:abstractNumId w:val="1"/>
  </w:num>
  <w:num w:numId="2" w16cid:durableId="198857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2AB"/>
    <w:rsid w:val="000C4DCA"/>
    <w:rsid w:val="00125F4E"/>
    <w:rsid w:val="001325DF"/>
    <w:rsid w:val="00284BD5"/>
    <w:rsid w:val="002B1AE4"/>
    <w:rsid w:val="00342D2A"/>
    <w:rsid w:val="00386565"/>
    <w:rsid w:val="00396AE7"/>
    <w:rsid w:val="003B2C0C"/>
    <w:rsid w:val="003F5BD9"/>
    <w:rsid w:val="00430F77"/>
    <w:rsid w:val="00450E4E"/>
    <w:rsid w:val="00460E4F"/>
    <w:rsid w:val="00526B79"/>
    <w:rsid w:val="00683D70"/>
    <w:rsid w:val="006B6792"/>
    <w:rsid w:val="006C1FD6"/>
    <w:rsid w:val="006C7A0E"/>
    <w:rsid w:val="006E7760"/>
    <w:rsid w:val="00774623"/>
    <w:rsid w:val="00792995"/>
    <w:rsid w:val="008F33B5"/>
    <w:rsid w:val="00944653"/>
    <w:rsid w:val="0095419E"/>
    <w:rsid w:val="00960FBB"/>
    <w:rsid w:val="00A20468"/>
    <w:rsid w:val="00A8786B"/>
    <w:rsid w:val="00A972AB"/>
    <w:rsid w:val="00BB7ECC"/>
    <w:rsid w:val="00C05C45"/>
    <w:rsid w:val="00C2431B"/>
    <w:rsid w:val="00C47B75"/>
    <w:rsid w:val="00C64773"/>
    <w:rsid w:val="00CE24FD"/>
    <w:rsid w:val="00D16E07"/>
    <w:rsid w:val="00D938C5"/>
    <w:rsid w:val="00D93A3E"/>
    <w:rsid w:val="00DC520A"/>
    <w:rsid w:val="00E478B5"/>
    <w:rsid w:val="00E73DB2"/>
    <w:rsid w:val="00EA1DAF"/>
    <w:rsid w:val="00EC5ADF"/>
    <w:rsid w:val="00ED4649"/>
    <w:rsid w:val="00F177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C7BB0"/>
  <w15:chartTrackingRefBased/>
  <w15:docId w15:val="{E71051FB-4376-4BBC-9BB5-13059A6BC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AE4"/>
  </w:style>
  <w:style w:type="paragraph" w:styleId="Heading1">
    <w:name w:val="heading 1"/>
    <w:basedOn w:val="Normal"/>
    <w:next w:val="Normal"/>
    <w:link w:val="Heading1Char"/>
    <w:uiPriority w:val="9"/>
    <w:qFormat/>
    <w:rsid w:val="00A97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2AB"/>
    <w:rPr>
      <w:rFonts w:eastAsiaTheme="majorEastAsia" w:cstheme="majorBidi"/>
      <w:color w:val="272727" w:themeColor="text1" w:themeTint="D8"/>
    </w:rPr>
  </w:style>
  <w:style w:type="paragraph" w:styleId="Title">
    <w:name w:val="Title"/>
    <w:basedOn w:val="Normal"/>
    <w:next w:val="Normal"/>
    <w:link w:val="TitleChar"/>
    <w:uiPriority w:val="10"/>
    <w:qFormat/>
    <w:rsid w:val="00A97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2AB"/>
    <w:pPr>
      <w:spacing w:before="160"/>
      <w:jc w:val="center"/>
    </w:pPr>
    <w:rPr>
      <w:i/>
      <w:iCs/>
      <w:color w:val="404040" w:themeColor="text1" w:themeTint="BF"/>
    </w:rPr>
  </w:style>
  <w:style w:type="character" w:customStyle="1" w:styleId="QuoteChar">
    <w:name w:val="Quote Char"/>
    <w:basedOn w:val="DefaultParagraphFont"/>
    <w:link w:val="Quote"/>
    <w:uiPriority w:val="29"/>
    <w:rsid w:val="00A972AB"/>
    <w:rPr>
      <w:i/>
      <w:iCs/>
      <w:color w:val="404040" w:themeColor="text1" w:themeTint="BF"/>
    </w:rPr>
  </w:style>
  <w:style w:type="paragraph" w:styleId="ListParagraph">
    <w:name w:val="List Paragraph"/>
    <w:basedOn w:val="Normal"/>
    <w:uiPriority w:val="34"/>
    <w:qFormat/>
    <w:rsid w:val="00A972AB"/>
    <w:pPr>
      <w:ind w:left="720"/>
      <w:contextualSpacing/>
    </w:pPr>
  </w:style>
  <w:style w:type="character" w:styleId="IntenseEmphasis">
    <w:name w:val="Intense Emphasis"/>
    <w:basedOn w:val="DefaultParagraphFont"/>
    <w:uiPriority w:val="21"/>
    <w:qFormat/>
    <w:rsid w:val="00A972AB"/>
    <w:rPr>
      <w:i/>
      <w:iCs/>
      <w:color w:val="0F4761" w:themeColor="accent1" w:themeShade="BF"/>
    </w:rPr>
  </w:style>
  <w:style w:type="paragraph" w:styleId="IntenseQuote">
    <w:name w:val="Intense Quote"/>
    <w:basedOn w:val="Normal"/>
    <w:next w:val="Normal"/>
    <w:link w:val="IntenseQuoteChar"/>
    <w:uiPriority w:val="30"/>
    <w:qFormat/>
    <w:rsid w:val="00A97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2AB"/>
    <w:rPr>
      <w:i/>
      <w:iCs/>
      <w:color w:val="0F4761" w:themeColor="accent1" w:themeShade="BF"/>
    </w:rPr>
  </w:style>
  <w:style w:type="character" w:styleId="IntenseReference">
    <w:name w:val="Intense Reference"/>
    <w:basedOn w:val="DefaultParagraphFont"/>
    <w:uiPriority w:val="32"/>
    <w:qFormat/>
    <w:rsid w:val="00A972AB"/>
    <w:rPr>
      <w:b/>
      <w:bCs/>
      <w:smallCaps/>
      <w:color w:val="0F4761" w:themeColor="accent1" w:themeShade="BF"/>
      <w:spacing w:val="5"/>
    </w:rPr>
  </w:style>
  <w:style w:type="character" w:styleId="Hyperlink">
    <w:name w:val="Hyperlink"/>
    <w:basedOn w:val="DefaultParagraphFont"/>
    <w:uiPriority w:val="99"/>
    <w:unhideWhenUsed/>
    <w:rsid w:val="0079299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2596706">
      <w:bodyDiv w:val="1"/>
      <w:marLeft w:val="0"/>
      <w:marRight w:val="0"/>
      <w:marTop w:val="0"/>
      <w:marBottom w:val="0"/>
      <w:divBdr>
        <w:top w:val="none" w:sz="0" w:space="0" w:color="auto"/>
        <w:left w:val="none" w:sz="0" w:space="0" w:color="auto"/>
        <w:bottom w:val="none" w:sz="0" w:space="0" w:color="auto"/>
        <w:right w:val="none" w:sz="0" w:space="0" w:color="auto"/>
      </w:divBdr>
      <w:divsChild>
        <w:div w:id="566503212">
          <w:marLeft w:val="0"/>
          <w:marRight w:val="0"/>
          <w:marTop w:val="0"/>
          <w:marBottom w:val="0"/>
          <w:divBdr>
            <w:top w:val="none" w:sz="0" w:space="0" w:color="auto"/>
            <w:left w:val="none" w:sz="0" w:space="0" w:color="auto"/>
            <w:bottom w:val="none" w:sz="0" w:space="0" w:color="auto"/>
            <w:right w:val="none" w:sz="0" w:space="0" w:color="auto"/>
          </w:divBdr>
        </w:div>
        <w:div w:id="1372076652">
          <w:marLeft w:val="0"/>
          <w:marRight w:val="0"/>
          <w:marTop w:val="0"/>
          <w:marBottom w:val="0"/>
          <w:divBdr>
            <w:top w:val="none" w:sz="0" w:space="0" w:color="auto"/>
            <w:left w:val="none" w:sz="0" w:space="0" w:color="auto"/>
            <w:bottom w:val="none" w:sz="0" w:space="0" w:color="auto"/>
            <w:right w:val="none" w:sz="0" w:space="0" w:color="auto"/>
          </w:divBdr>
        </w:div>
        <w:div w:id="1363901199">
          <w:marLeft w:val="0"/>
          <w:marRight w:val="0"/>
          <w:marTop w:val="0"/>
          <w:marBottom w:val="0"/>
          <w:divBdr>
            <w:top w:val="none" w:sz="0" w:space="0" w:color="auto"/>
            <w:left w:val="none" w:sz="0" w:space="0" w:color="auto"/>
            <w:bottom w:val="none" w:sz="0" w:space="0" w:color="auto"/>
            <w:right w:val="none" w:sz="0" w:space="0" w:color="auto"/>
          </w:divBdr>
        </w:div>
      </w:divsChild>
    </w:div>
    <w:div w:id="591550347">
      <w:bodyDiv w:val="1"/>
      <w:marLeft w:val="0"/>
      <w:marRight w:val="0"/>
      <w:marTop w:val="0"/>
      <w:marBottom w:val="0"/>
      <w:divBdr>
        <w:top w:val="none" w:sz="0" w:space="0" w:color="auto"/>
        <w:left w:val="none" w:sz="0" w:space="0" w:color="auto"/>
        <w:bottom w:val="none" w:sz="0" w:space="0" w:color="auto"/>
        <w:right w:val="none" w:sz="0" w:space="0" w:color="auto"/>
      </w:divBdr>
      <w:divsChild>
        <w:div w:id="478809869">
          <w:marLeft w:val="0"/>
          <w:marRight w:val="0"/>
          <w:marTop w:val="0"/>
          <w:marBottom w:val="0"/>
          <w:divBdr>
            <w:top w:val="none" w:sz="0" w:space="0" w:color="auto"/>
            <w:left w:val="none" w:sz="0" w:space="0" w:color="auto"/>
            <w:bottom w:val="none" w:sz="0" w:space="0" w:color="auto"/>
            <w:right w:val="none" w:sz="0" w:space="0" w:color="auto"/>
          </w:divBdr>
        </w:div>
        <w:div w:id="1606383920">
          <w:marLeft w:val="0"/>
          <w:marRight w:val="0"/>
          <w:marTop w:val="0"/>
          <w:marBottom w:val="0"/>
          <w:divBdr>
            <w:top w:val="none" w:sz="0" w:space="0" w:color="auto"/>
            <w:left w:val="none" w:sz="0" w:space="0" w:color="auto"/>
            <w:bottom w:val="none" w:sz="0" w:space="0" w:color="auto"/>
            <w:right w:val="none" w:sz="0" w:space="0" w:color="auto"/>
          </w:divBdr>
        </w:div>
        <w:div w:id="1639260563">
          <w:marLeft w:val="0"/>
          <w:marRight w:val="0"/>
          <w:marTop w:val="0"/>
          <w:marBottom w:val="0"/>
          <w:divBdr>
            <w:top w:val="none" w:sz="0" w:space="0" w:color="auto"/>
            <w:left w:val="none" w:sz="0" w:space="0" w:color="auto"/>
            <w:bottom w:val="none" w:sz="0" w:space="0" w:color="auto"/>
            <w:right w:val="none" w:sz="0" w:space="0" w:color="auto"/>
          </w:divBdr>
        </w:div>
      </w:divsChild>
    </w:div>
    <w:div w:id="870069877">
      <w:bodyDiv w:val="1"/>
      <w:marLeft w:val="0"/>
      <w:marRight w:val="0"/>
      <w:marTop w:val="0"/>
      <w:marBottom w:val="0"/>
      <w:divBdr>
        <w:top w:val="none" w:sz="0" w:space="0" w:color="auto"/>
        <w:left w:val="none" w:sz="0" w:space="0" w:color="auto"/>
        <w:bottom w:val="none" w:sz="0" w:space="0" w:color="auto"/>
        <w:right w:val="none" w:sz="0" w:space="0" w:color="auto"/>
      </w:divBdr>
      <w:divsChild>
        <w:div w:id="943074922">
          <w:marLeft w:val="0"/>
          <w:marRight w:val="0"/>
          <w:marTop w:val="0"/>
          <w:marBottom w:val="0"/>
          <w:divBdr>
            <w:top w:val="none" w:sz="0" w:space="0" w:color="auto"/>
            <w:left w:val="none" w:sz="0" w:space="0" w:color="auto"/>
            <w:bottom w:val="none" w:sz="0" w:space="0" w:color="auto"/>
            <w:right w:val="none" w:sz="0" w:space="0" w:color="auto"/>
          </w:divBdr>
        </w:div>
        <w:div w:id="806901258">
          <w:marLeft w:val="0"/>
          <w:marRight w:val="0"/>
          <w:marTop w:val="0"/>
          <w:marBottom w:val="0"/>
          <w:divBdr>
            <w:top w:val="none" w:sz="0" w:space="0" w:color="auto"/>
            <w:left w:val="none" w:sz="0" w:space="0" w:color="auto"/>
            <w:bottom w:val="none" w:sz="0" w:space="0" w:color="auto"/>
            <w:right w:val="none" w:sz="0" w:space="0" w:color="auto"/>
          </w:divBdr>
        </w:div>
        <w:div w:id="1847555871">
          <w:marLeft w:val="0"/>
          <w:marRight w:val="0"/>
          <w:marTop w:val="0"/>
          <w:marBottom w:val="0"/>
          <w:divBdr>
            <w:top w:val="none" w:sz="0" w:space="0" w:color="auto"/>
            <w:left w:val="none" w:sz="0" w:space="0" w:color="auto"/>
            <w:bottom w:val="none" w:sz="0" w:space="0" w:color="auto"/>
            <w:right w:val="none" w:sz="0" w:space="0" w:color="auto"/>
          </w:divBdr>
        </w:div>
        <w:div w:id="201135907">
          <w:marLeft w:val="0"/>
          <w:marRight w:val="0"/>
          <w:marTop w:val="0"/>
          <w:marBottom w:val="0"/>
          <w:divBdr>
            <w:top w:val="none" w:sz="0" w:space="0" w:color="auto"/>
            <w:left w:val="none" w:sz="0" w:space="0" w:color="auto"/>
            <w:bottom w:val="none" w:sz="0" w:space="0" w:color="auto"/>
            <w:right w:val="none" w:sz="0" w:space="0" w:color="auto"/>
          </w:divBdr>
        </w:div>
      </w:divsChild>
    </w:div>
    <w:div w:id="1117988161">
      <w:bodyDiv w:val="1"/>
      <w:marLeft w:val="0"/>
      <w:marRight w:val="0"/>
      <w:marTop w:val="0"/>
      <w:marBottom w:val="0"/>
      <w:divBdr>
        <w:top w:val="none" w:sz="0" w:space="0" w:color="auto"/>
        <w:left w:val="none" w:sz="0" w:space="0" w:color="auto"/>
        <w:bottom w:val="none" w:sz="0" w:space="0" w:color="auto"/>
        <w:right w:val="none" w:sz="0" w:space="0" w:color="auto"/>
      </w:divBdr>
      <w:divsChild>
        <w:div w:id="1834418520">
          <w:marLeft w:val="0"/>
          <w:marRight w:val="0"/>
          <w:marTop w:val="0"/>
          <w:marBottom w:val="0"/>
          <w:divBdr>
            <w:top w:val="none" w:sz="0" w:space="0" w:color="auto"/>
            <w:left w:val="none" w:sz="0" w:space="0" w:color="auto"/>
            <w:bottom w:val="none" w:sz="0" w:space="0" w:color="auto"/>
            <w:right w:val="none" w:sz="0" w:space="0" w:color="auto"/>
          </w:divBdr>
        </w:div>
        <w:div w:id="39746045">
          <w:marLeft w:val="0"/>
          <w:marRight w:val="0"/>
          <w:marTop w:val="0"/>
          <w:marBottom w:val="0"/>
          <w:divBdr>
            <w:top w:val="none" w:sz="0" w:space="0" w:color="auto"/>
            <w:left w:val="none" w:sz="0" w:space="0" w:color="auto"/>
            <w:bottom w:val="none" w:sz="0" w:space="0" w:color="auto"/>
            <w:right w:val="none" w:sz="0" w:space="0" w:color="auto"/>
          </w:divBdr>
        </w:div>
        <w:div w:id="424032075">
          <w:marLeft w:val="0"/>
          <w:marRight w:val="0"/>
          <w:marTop w:val="0"/>
          <w:marBottom w:val="0"/>
          <w:divBdr>
            <w:top w:val="none" w:sz="0" w:space="0" w:color="auto"/>
            <w:left w:val="none" w:sz="0" w:space="0" w:color="auto"/>
            <w:bottom w:val="none" w:sz="0" w:space="0" w:color="auto"/>
            <w:right w:val="none" w:sz="0" w:space="0" w:color="auto"/>
          </w:divBdr>
        </w:div>
      </w:divsChild>
    </w:div>
    <w:div w:id="1259874573">
      <w:bodyDiv w:val="1"/>
      <w:marLeft w:val="0"/>
      <w:marRight w:val="0"/>
      <w:marTop w:val="0"/>
      <w:marBottom w:val="0"/>
      <w:divBdr>
        <w:top w:val="none" w:sz="0" w:space="0" w:color="auto"/>
        <w:left w:val="none" w:sz="0" w:space="0" w:color="auto"/>
        <w:bottom w:val="none" w:sz="0" w:space="0" w:color="auto"/>
        <w:right w:val="none" w:sz="0" w:space="0" w:color="auto"/>
      </w:divBdr>
      <w:divsChild>
        <w:div w:id="912814083">
          <w:marLeft w:val="0"/>
          <w:marRight w:val="0"/>
          <w:marTop w:val="0"/>
          <w:marBottom w:val="0"/>
          <w:divBdr>
            <w:top w:val="none" w:sz="0" w:space="0" w:color="auto"/>
            <w:left w:val="none" w:sz="0" w:space="0" w:color="auto"/>
            <w:bottom w:val="none" w:sz="0" w:space="0" w:color="auto"/>
            <w:right w:val="none" w:sz="0" w:space="0" w:color="auto"/>
          </w:divBdr>
        </w:div>
        <w:div w:id="1515221026">
          <w:marLeft w:val="0"/>
          <w:marRight w:val="0"/>
          <w:marTop w:val="0"/>
          <w:marBottom w:val="0"/>
          <w:divBdr>
            <w:top w:val="none" w:sz="0" w:space="0" w:color="auto"/>
            <w:left w:val="none" w:sz="0" w:space="0" w:color="auto"/>
            <w:bottom w:val="none" w:sz="0" w:space="0" w:color="auto"/>
            <w:right w:val="none" w:sz="0" w:space="0" w:color="auto"/>
          </w:divBdr>
        </w:div>
        <w:div w:id="1602689366">
          <w:marLeft w:val="0"/>
          <w:marRight w:val="0"/>
          <w:marTop w:val="0"/>
          <w:marBottom w:val="0"/>
          <w:divBdr>
            <w:top w:val="none" w:sz="0" w:space="0" w:color="auto"/>
            <w:left w:val="none" w:sz="0" w:space="0" w:color="auto"/>
            <w:bottom w:val="none" w:sz="0" w:space="0" w:color="auto"/>
            <w:right w:val="none" w:sz="0" w:space="0" w:color="auto"/>
          </w:divBdr>
        </w:div>
        <w:div w:id="24791007">
          <w:marLeft w:val="0"/>
          <w:marRight w:val="0"/>
          <w:marTop w:val="0"/>
          <w:marBottom w:val="0"/>
          <w:divBdr>
            <w:top w:val="none" w:sz="0" w:space="0" w:color="auto"/>
            <w:left w:val="none" w:sz="0" w:space="0" w:color="auto"/>
            <w:bottom w:val="none" w:sz="0" w:space="0" w:color="auto"/>
            <w:right w:val="none" w:sz="0" w:space="0" w:color="auto"/>
          </w:divBdr>
        </w:div>
        <w:div w:id="1144398172">
          <w:marLeft w:val="0"/>
          <w:marRight w:val="0"/>
          <w:marTop w:val="0"/>
          <w:marBottom w:val="0"/>
          <w:divBdr>
            <w:top w:val="none" w:sz="0" w:space="0" w:color="auto"/>
            <w:left w:val="none" w:sz="0" w:space="0" w:color="auto"/>
            <w:bottom w:val="none" w:sz="0" w:space="0" w:color="auto"/>
            <w:right w:val="none" w:sz="0" w:space="0" w:color="auto"/>
          </w:divBdr>
        </w:div>
      </w:divsChild>
    </w:div>
    <w:div w:id="1314068975">
      <w:bodyDiv w:val="1"/>
      <w:marLeft w:val="0"/>
      <w:marRight w:val="0"/>
      <w:marTop w:val="0"/>
      <w:marBottom w:val="0"/>
      <w:divBdr>
        <w:top w:val="none" w:sz="0" w:space="0" w:color="auto"/>
        <w:left w:val="none" w:sz="0" w:space="0" w:color="auto"/>
        <w:bottom w:val="none" w:sz="0" w:space="0" w:color="auto"/>
        <w:right w:val="none" w:sz="0" w:space="0" w:color="auto"/>
      </w:divBdr>
      <w:divsChild>
        <w:div w:id="1129323733">
          <w:marLeft w:val="0"/>
          <w:marRight w:val="0"/>
          <w:marTop w:val="0"/>
          <w:marBottom w:val="0"/>
          <w:divBdr>
            <w:top w:val="none" w:sz="0" w:space="0" w:color="auto"/>
            <w:left w:val="none" w:sz="0" w:space="0" w:color="auto"/>
            <w:bottom w:val="none" w:sz="0" w:space="0" w:color="auto"/>
            <w:right w:val="none" w:sz="0" w:space="0" w:color="auto"/>
          </w:divBdr>
        </w:div>
        <w:div w:id="908998272">
          <w:marLeft w:val="0"/>
          <w:marRight w:val="0"/>
          <w:marTop w:val="0"/>
          <w:marBottom w:val="0"/>
          <w:divBdr>
            <w:top w:val="none" w:sz="0" w:space="0" w:color="auto"/>
            <w:left w:val="none" w:sz="0" w:space="0" w:color="auto"/>
            <w:bottom w:val="none" w:sz="0" w:space="0" w:color="auto"/>
            <w:right w:val="none" w:sz="0" w:space="0" w:color="auto"/>
          </w:divBdr>
        </w:div>
        <w:div w:id="2007124335">
          <w:marLeft w:val="0"/>
          <w:marRight w:val="0"/>
          <w:marTop w:val="0"/>
          <w:marBottom w:val="0"/>
          <w:divBdr>
            <w:top w:val="none" w:sz="0" w:space="0" w:color="auto"/>
            <w:left w:val="none" w:sz="0" w:space="0" w:color="auto"/>
            <w:bottom w:val="none" w:sz="0" w:space="0" w:color="auto"/>
            <w:right w:val="none" w:sz="0" w:space="0" w:color="auto"/>
          </w:divBdr>
        </w:div>
      </w:divsChild>
    </w:div>
    <w:div w:id="1670212485">
      <w:bodyDiv w:val="1"/>
      <w:marLeft w:val="0"/>
      <w:marRight w:val="0"/>
      <w:marTop w:val="0"/>
      <w:marBottom w:val="0"/>
      <w:divBdr>
        <w:top w:val="none" w:sz="0" w:space="0" w:color="auto"/>
        <w:left w:val="none" w:sz="0" w:space="0" w:color="auto"/>
        <w:bottom w:val="none" w:sz="0" w:space="0" w:color="auto"/>
        <w:right w:val="none" w:sz="0" w:space="0" w:color="auto"/>
      </w:divBdr>
      <w:divsChild>
        <w:div w:id="998314941">
          <w:marLeft w:val="0"/>
          <w:marRight w:val="0"/>
          <w:marTop w:val="0"/>
          <w:marBottom w:val="0"/>
          <w:divBdr>
            <w:top w:val="none" w:sz="0" w:space="0" w:color="auto"/>
            <w:left w:val="none" w:sz="0" w:space="0" w:color="auto"/>
            <w:bottom w:val="none" w:sz="0" w:space="0" w:color="auto"/>
            <w:right w:val="none" w:sz="0" w:space="0" w:color="auto"/>
          </w:divBdr>
        </w:div>
        <w:div w:id="992223031">
          <w:marLeft w:val="0"/>
          <w:marRight w:val="0"/>
          <w:marTop w:val="0"/>
          <w:marBottom w:val="0"/>
          <w:divBdr>
            <w:top w:val="none" w:sz="0" w:space="0" w:color="auto"/>
            <w:left w:val="none" w:sz="0" w:space="0" w:color="auto"/>
            <w:bottom w:val="none" w:sz="0" w:space="0" w:color="auto"/>
            <w:right w:val="none" w:sz="0" w:space="0" w:color="auto"/>
          </w:divBdr>
        </w:div>
        <w:div w:id="511989591">
          <w:marLeft w:val="0"/>
          <w:marRight w:val="0"/>
          <w:marTop w:val="0"/>
          <w:marBottom w:val="0"/>
          <w:divBdr>
            <w:top w:val="none" w:sz="0" w:space="0" w:color="auto"/>
            <w:left w:val="none" w:sz="0" w:space="0" w:color="auto"/>
            <w:bottom w:val="none" w:sz="0" w:space="0" w:color="auto"/>
            <w:right w:val="none" w:sz="0" w:space="0" w:color="auto"/>
          </w:divBdr>
        </w:div>
        <w:div w:id="1219054923">
          <w:marLeft w:val="0"/>
          <w:marRight w:val="0"/>
          <w:marTop w:val="0"/>
          <w:marBottom w:val="0"/>
          <w:divBdr>
            <w:top w:val="none" w:sz="0" w:space="0" w:color="auto"/>
            <w:left w:val="none" w:sz="0" w:space="0" w:color="auto"/>
            <w:bottom w:val="none" w:sz="0" w:space="0" w:color="auto"/>
            <w:right w:val="none" w:sz="0" w:space="0" w:color="auto"/>
          </w:divBdr>
        </w:div>
      </w:divsChild>
    </w:div>
    <w:div w:id="1793203537">
      <w:bodyDiv w:val="1"/>
      <w:marLeft w:val="0"/>
      <w:marRight w:val="0"/>
      <w:marTop w:val="0"/>
      <w:marBottom w:val="0"/>
      <w:divBdr>
        <w:top w:val="none" w:sz="0" w:space="0" w:color="auto"/>
        <w:left w:val="none" w:sz="0" w:space="0" w:color="auto"/>
        <w:bottom w:val="none" w:sz="0" w:space="0" w:color="auto"/>
        <w:right w:val="none" w:sz="0" w:space="0" w:color="auto"/>
      </w:divBdr>
      <w:divsChild>
        <w:div w:id="362561378">
          <w:marLeft w:val="0"/>
          <w:marRight w:val="0"/>
          <w:marTop w:val="0"/>
          <w:marBottom w:val="0"/>
          <w:divBdr>
            <w:top w:val="none" w:sz="0" w:space="0" w:color="auto"/>
            <w:left w:val="none" w:sz="0" w:space="0" w:color="auto"/>
            <w:bottom w:val="none" w:sz="0" w:space="0" w:color="auto"/>
            <w:right w:val="none" w:sz="0" w:space="0" w:color="auto"/>
          </w:divBdr>
        </w:div>
        <w:div w:id="521674129">
          <w:marLeft w:val="0"/>
          <w:marRight w:val="0"/>
          <w:marTop w:val="0"/>
          <w:marBottom w:val="0"/>
          <w:divBdr>
            <w:top w:val="none" w:sz="0" w:space="0" w:color="auto"/>
            <w:left w:val="none" w:sz="0" w:space="0" w:color="auto"/>
            <w:bottom w:val="none" w:sz="0" w:space="0" w:color="auto"/>
            <w:right w:val="none" w:sz="0" w:space="0" w:color="auto"/>
          </w:divBdr>
        </w:div>
        <w:div w:id="1445618709">
          <w:marLeft w:val="0"/>
          <w:marRight w:val="0"/>
          <w:marTop w:val="0"/>
          <w:marBottom w:val="0"/>
          <w:divBdr>
            <w:top w:val="none" w:sz="0" w:space="0" w:color="auto"/>
            <w:left w:val="none" w:sz="0" w:space="0" w:color="auto"/>
            <w:bottom w:val="none" w:sz="0" w:space="0" w:color="auto"/>
            <w:right w:val="none" w:sz="0" w:space="0" w:color="auto"/>
          </w:divBdr>
        </w:div>
        <w:div w:id="347147316">
          <w:marLeft w:val="0"/>
          <w:marRight w:val="0"/>
          <w:marTop w:val="0"/>
          <w:marBottom w:val="0"/>
          <w:divBdr>
            <w:top w:val="none" w:sz="0" w:space="0" w:color="auto"/>
            <w:left w:val="none" w:sz="0" w:space="0" w:color="auto"/>
            <w:bottom w:val="none" w:sz="0" w:space="0" w:color="auto"/>
            <w:right w:val="none" w:sz="0" w:space="0" w:color="auto"/>
          </w:divBdr>
        </w:div>
        <w:div w:id="6635109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crodata.gov.in/nada43/index.php/catalog/13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Kane Crabtree</dc:creator>
  <cp:keywords/>
  <dc:description/>
  <cp:lastModifiedBy>Kane Crabtree</cp:lastModifiedBy>
  <cp:revision>6</cp:revision>
  <dcterms:created xsi:type="dcterms:W3CDTF">2024-11-18T20:42:00Z</dcterms:created>
  <dcterms:modified xsi:type="dcterms:W3CDTF">2024-11-18T20:51:00Z</dcterms:modified>
</cp:coreProperties>
</file>