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jc w:val="center"/>
      </w:pPr>
      <w:r>
        <w:rPr>
          <w:rFonts w:ascii="Arial" w:cs="Arial" w:eastAsia="Arial" w:hAnsi="Arial"/>
          <w:b/>
          <w:bCs/>
          <w:color w:val="1F4E79"/>
          <w:sz w:val="52"/>
          <w:szCs w:val="52"/>
        </w:rPr>
        <w:t xml:space="preserve">NovaPay Fintech Ltd.</w:t>
      </w:r>
    </w:p>
    <w:p>
      <w:pPr>
        <w:spacing w:after="200" w:before="200"/>
        <w:jc w:val="center"/>
      </w:pPr>
      <w:r>
        <w:rPr>
          <w:rFonts w:ascii="Arial" w:cs="Arial" w:eastAsia="Arial" w:hAnsi="Arial"/>
          <w:b/>
          <w:bCs/>
          <w:color w:val="C00000"/>
          <w:sz w:val="44"/>
          <w:szCs w:val="44"/>
        </w:rPr>
        <w:t xml:space="preserve">Incident Response Plan</w:t>
      </w:r>
    </w:p>
    <w:p>
      <w:pPr>
        <w:jc w:val="center"/>
      </w:pPr>
      <w:r>
        <w:rPr>
          <w:rFonts w:ascii="Arial" w:cs="Arial" w:eastAsia="Arial" w:hAnsi="Arial"/>
          <w:color w:val="595959"/>
          <w:sz w:val="24"/>
          <w:szCs w:val="24"/>
        </w:rPr>
        <w:t xml:space="preserve">Aligned to NIST SP 800-61 | ISO 27001:2022 | GDPR Article 33</w:t>
      </w:r>
    </w:p>
    <w:p>
      <w:pPr>
        <w:spacing w:before="400"/>
      </w:pPr>
      <w:r>
        <w:t xml:space="preserve"/>
      </w:r>
    </w:p>
    <w:p>
      <w:pPr>
        <w:jc w:val="center"/>
      </w:pPr>
      <w:r>
        <w:rPr>
          <w:rFonts w:ascii="Arial" w:cs="Arial" w:eastAsia="Arial" w:hAnsi="Arial"/>
          <w:color w:val="404040"/>
          <w:sz w:val="22"/>
          <w:szCs w:val="22"/>
        </w:rPr>
        <w:t xml:space="preserve">Prepared by: Kashish Kundu</w:t>
      </w:r>
    </w:p>
    <w:p>
      <w:pPr>
        <w:jc w:val="center"/>
      </w:pPr>
      <w:r>
        <w:rPr>
          <w:rFonts w:ascii="Arial" w:cs="Arial" w:eastAsia="Arial" w:hAnsi="Arial"/>
          <w:color w:val="404040"/>
          <w:sz w:val="22"/>
          <w:szCs w:val="22"/>
        </w:rPr>
        <w:t xml:space="preserve">Cybersecurity Analyst (SOC &amp; GRC)</w:t>
      </w:r>
    </w:p>
    <w:p>
      <w:pPr>
        <w:jc w:val="center"/>
      </w:pPr>
      <w:r>
        <w:rPr>
          <w:rFonts w:ascii="Arial" w:cs="Arial" w:eastAsia="Arial" w:hAnsi="Arial"/>
          <w:color w:val="404040"/>
          <w:sz w:val="22"/>
          <w:szCs w:val="22"/>
        </w:rPr>
        <w:t xml:space="preserve">Date: June 2026 | Version: 1.0 | Classification: CONFIDENTIAL</w:t>
      </w:r>
    </w:p>
    <w:p>
      <w:r>
        <w:br w:type="page"/>
      </w:r>
    </w:p>
    <w:p>
      <w:pPr>
        <w:pStyle w:val="Heading1"/>
        <w:pBdr>
          <w:bottom w:val="single" w:color="2E75B6" w:sz="4" w:space="1"/>
        </w:pBdr>
        <w:spacing w:after="200" w:before="400"/>
      </w:pPr>
      <w:r>
        <w:rPr>
          <w:rFonts w:ascii="Arial" w:cs="Arial" w:eastAsia="Arial" w:hAnsi="Arial"/>
          <w:b/>
          <w:bCs/>
          <w:color w:val="1F4E79"/>
          <w:sz w:val="32"/>
          <w:szCs w:val="32"/>
        </w:rPr>
        <w:t xml:space="preserve">1. Purpose &amp; Scope</w:t>
      </w:r>
    </w:p>
    <w:p>
      <w:pPr>
        <w:spacing w:after="100" w:before="100"/>
      </w:pPr>
      <w:r>
        <w:rPr>
          <w:rFonts w:ascii="Arial" w:cs="Arial" w:eastAsia="Arial" w:hAnsi="Arial"/>
          <w:sz w:val="22"/>
          <w:szCs w:val="22"/>
        </w:rPr>
        <w:t xml:space="preserve">This Incident Response Plan (IRP) defines the procedures NovaPay Fintech Ltd. will follow when detecting, responding to, and recovering from information security incidents. It is designed to minimize business impact, protect customer data, and ensure compliance with GDPR Article 33 breach notification requirements.</w:t>
      </w:r>
    </w:p>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1.1 Scope</w:t>
      </w:r>
    </w:p>
    <w:p>
      <w:pPr>
        <w:pStyle w:val="ListParagraph"/>
        <w:numPr>
          <w:ilvl w:val="0"/>
          <w:numId w:val="2"/>
        </w:numPr>
        <w:spacing w:after="60" w:before="60"/>
      </w:pPr>
      <w:r>
        <w:rPr>
          <w:rFonts w:ascii="Arial" w:cs="Arial" w:eastAsia="Arial" w:hAnsi="Arial"/>
          <w:sz w:val="22"/>
          <w:szCs w:val="22"/>
        </w:rPr>
        <w:t xml:space="preserve">All NovaPay information systems, applications, and cloud infrastructure</w:t>
      </w:r>
    </w:p>
    <w:p>
      <w:pPr>
        <w:pStyle w:val="ListParagraph"/>
        <w:numPr>
          <w:ilvl w:val="0"/>
          <w:numId w:val="2"/>
        </w:numPr>
        <w:spacing w:after="60" w:before="60"/>
      </w:pPr>
      <w:r>
        <w:rPr>
          <w:rFonts w:ascii="Arial" w:cs="Arial" w:eastAsia="Arial" w:hAnsi="Arial"/>
          <w:sz w:val="22"/>
          <w:szCs w:val="22"/>
        </w:rPr>
        <w:t xml:space="preserve">All employees, contractors, and third-party vendors with access to NovaPay systems</w:t>
      </w:r>
    </w:p>
    <w:p>
      <w:pPr>
        <w:pStyle w:val="ListParagraph"/>
        <w:numPr>
          <w:ilvl w:val="0"/>
          <w:numId w:val="2"/>
        </w:numPr>
        <w:spacing w:after="60" w:before="60"/>
      </w:pPr>
      <w:r>
        <w:rPr>
          <w:rFonts w:ascii="Arial" w:cs="Arial" w:eastAsia="Arial" w:hAnsi="Arial"/>
          <w:sz w:val="22"/>
          <w:szCs w:val="22"/>
        </w:rPr>
        <w:t xml:space="preserve">All incidents involving personal data, payment data, or business-critical systems</w:t>
      </w:r>
    </w:p>
    <w:p>
      <w:pPr>
        <w:pStyle w:val="ListParagraph"/>
        <w:numPr>
          <w:ilvl w:val="0"/>
          <w:numId w:val="2"/>
        </w:numPr>
        <w:spacing w:after="60" w:before="60"/>
      </w:pPr>
      <w:r>
        <w:rPr>
          <w:rFonts w:ascii="Arial" w:cs="Arial" w:eastAsia="Arial" w:hAnsi="Arial"/>
          <w:sz w:val="22"/>
          <w:szCs w:val="22"/>
        </w:rPr>
        <w:t xml:space="preserve">Detection tools including Wazuh SIEM and endpoint monitoring agents</w:t>
      </w:r>
    </w:p>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1.2 Related Documents</w:t>
      </w:r>
    </w:p>
    <w:p>
      <w:pPr>
        <w:pStyle w:val="ListParagraph"/>
        <w:numPr>
          <w:ilvl w:val="0"/>
          <w:numId w:val="2"/>
        </w:numPr>
        <w:spacing w:after="60" w:before="60"/>
      </w:pPr>
      <w:r>
        <w:rPr>
          <w:rFonts w:ascii="Arial" w:cs="Arial" w:eastAsia="Arial" w:hAnsi="Arial"/>
          <w:sz w:val="22"/>
          <w:szCs w:val="22"/>
        </w:rPr>
        <w:t xml:space="preserve">NovaPay Information Security Risk Assessment v1.0</w:t>
      </w:r>
    </w:p>
    <w:p>
      <w:pPr>
        <w:pStyle w:val="ListParagraph"/>
        <w:numPr>
          <w:ilvl w:val="0"/>
          <w:numId w:val="2"/>
        </w:numPr>
        <w:spacing w:after="60" w:before="60"/>
      </w:pPr>
      <w:r>
        <w:rPr>
          <w:rFonts w:ascii="Arial" w:cs="Arial" w:eastAsia="Arial" w:hAnsi="Arial"/>
          <w:sz w:val="22"/>
          <w:szCs w:val="22"/>
        </w:rPr>
        <w:t xml:space="preserve">ISO 27001:2022 Information Security Management System</w:t>
      </w:r>
    </w:p>
    <w:p>
      <w:pPr>
        <w:pStyle w:val="ListParagraph"/>
        <w:numPr>
          <w:ilvl w:val="0"/>
          <w:numId w:val="2"/>
        </w:numPr>
        <w:spacing w:after="60" w:before="60"/>
      </w:pPr>
      <w:r>
        <w:rPr>
          <w:rFonts w:ascii="Arial" w:cs="Arial" w:eastAsia="Arial" w:hAnsi="Arial"/>
          <w:sz w:val="22"/>
          <w:szCs w:val="22"/>
        </w:rPr>
        <w:t xml:space="preserve">GDPR Data Protection Policy</w:t>
      </w:r>
    </w:p>
    <w:p>
      <w:pPr>
        <w:pStyle w:val="ListParagraph"/>
        <w:numPr>
          <w:ilvl w:val="0"/>
          <w:numId w:val="2"/>
        </w:numPr>
        <w:spacing w:after="60" w:before="60"/>
      </w:pPr>
      <w:r>
        <w:rPr>
          <w:rFonts w:ascii="Arial" w:cs="Arial" w:eastAsia="Arial" w:hAnsi="Arial"/>
          <w:sz w:val="22"/>
          <w:szCs w:val="22"/>
        </w:rPr>
        <w:t xml:space="preserve">Business Continuity Plan</w:t>
      </w:r>
    </w:p>
    <w:p>
      <w:r>
        <w:br w:type="page"/>
      </w:r>
    </w:p>
    <w:p>
      <w:pPr>
        <w:pStyle w:val="Heading1"/>
        <w:pBdr>
          <w:bottom w:val="single" w:color="2E75B6" w:sz="4" w:space="1"/>
        </w:pBdr>
        <w:spacing w:after="200" w:before="400"/>
      </w:pPr>
      <w:r>
        <w:rPr>
          <w:rFonts w:ascii="Arial" w:cs="Arial" w:eastAsia="Arial" w:hAnsi="Arial"/>
          <w:b/>
          <w:bCs/>
          <w:color w:val="1F4E79"/>
          <w:sz w:val="32"/>
          <w:szCs w:val="32"/>
        </w:rPr>
        <w:t xml:space="preserve">2. Incident Response Team</w:t>
      </w:r>
    </w:p>
    <w:p>
      <w:pPr>
        <w:spacing w:after="100" w:before="100"/>
      </w:pPr>
      <w:r>
        <w:rPr>
          <w:rFonts w:ascii="Arial" w:cs="Arial" w:eastAsia="Arial" w:hAnsi="Arial"/>
          <w:sz w:val="22"/>
          <w:szCs w:val="22"/>
        </w:rPr>
        <w:t xml:space="preserve">The following roles are responsible for executing this plan. All team members must be reachable 24/7 during a declared incident.</w:t>
      </w:r>
    </w:p>
    <w:p>
      <w:pPr>
        <w:spacing w:after="10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Responsible Person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c>
          <w:tcPr>
            <w:tcW w:type="dxa" w:w="2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Escalation Contact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Commander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CISO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Overall incident coordination and decision making</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CEO</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Lead Analyst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Senior Security Analyst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investigation, Wazuh alert triage, containment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CISO</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GRC / 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Compliance Officer / DPO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GDPR notification, regulatory liaison, documentation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CISO</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IT / DevOps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DevOps Lead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isolation, recovery, infrastructure changes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Lead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Counsel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 Legal Team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advice, law enforcement liaison if required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Commander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 / Marketing Lead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and media communications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Commander</w:t>
            </w:r>
          </w:p>
        </w:tc>
      </w:tr>
    </w:tbl>
    <w:p>
      <w:r>
        <w:br w:type="page"/>
      </w:r>
    </w:p>
    <w:p>
      <w:pPr>
        <w:pStyle w:val="Heading1"/>
        <w:pBdr>
          <w:bottom w:val="single" w:color="2E75B6" w:sz="4" w:space="1"/>
        </w:pBdr>
        <w:spacing w:after="200" w:before="400"/>
      </w:pPr>
      <w:r>
        <w:rPr>
          <w:rFonts w:ascii="Arial" w:cs="Arial" w:eastAsia="Arial" w:hAnsi="Arial"/>
          <w:b/>
          <w:bCs/>
          <w:color w:val="1F4E79"/>
          <w:sz w:val="32"/>
          <w:szCs w:val="32"/>
        </w:rPr>
        <w:t xml:space="preserve">3. Incident Classification</w:t>
      </w:r>
    </w:p>
    <w:p>
      <w:pPr>
        <w:spacing w:after="100" w:before="100"/>
      </w:pPr>
      <w:r>
        <w:rPr>
          <w:rFonts w:ascii="Arial" w:cs="Arial" w:eastAsia="Arial" w:hAnsi="Arial"/>
          <w:sz w:val="22"/>
          <w:szCs w:val="22"/>
        </w:rPr>
        <w:t xml:space="preserve">All incidents must be classified upon detection to determine the appropriate response level and escalation path.</w:t>
      </w:r>
    </w:p>
    <w:p>
      <w:pPr>
        <w:spacing w:after="10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000"/>
        <w:gridCol w:w="1500"/>
        <w:gridCol w:w="1826"/>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Wazuh Level</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c>
          <w:tcPr>
            <w:tcW w:type="dxa" w:w="1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r>
      <w:tr>
        <w:tc>
          <w:tcPr>
            <w:tcW w:type="dxa" w:w="1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color w:val="C00000"/>
                <w:sz w:val="20"/>
                <w:szCs w:val="20"/>
              </w:rPr>
              <w:t xml:space="preserve">P1 - Critical</w:t>
            </w:r>
          </w:p>
        </w:tc>
        <w:tc>
          <w:tcPr>
            <w:tcW w:type="dxa" w:w="15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12-15</w:t>
            </w:r>
          </w:p>
        </w:tc>
        <w:tc>
          <w:tcPr>
            <w:tcW w:type="dxa" w:w="30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breach, ransomware, system compromise, payment fraud</w:t>
            </w:r>
          </w:p>
        </w:tc>
        <w:tc>
          <w:tcPr>
            <w:tcW w:type="dxa" w:w="15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 (15 min)</w:t>
            </w:r>
          </w:p>
        </w:tc>
        <w:tc>
          <w:tcPr>
            <w:tcW w:type="dxa" w:w="1826"/>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CEO + GDPR authority</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FF0000"/>
                <w:sz w:val="20"/>
                <w:szCs w:val="20"/>
              </w:rPr>
              <w:t xml:space="preserve">P2 - High</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9-11</w:t>
            </w:r>
          </w:p>
        </w:tc>
        <w:tc>
          <w:tcPr>
            <w:tcW w:type="dxa" w:w="3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Malware detected, unauthorized access, DDoS attack</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1 hour</w:t>
            </w:r>
          </w:p>
        </w:tc>
        <w:tc>
          <w:tcPr>
            <w:tcW w:type="dxa" w:w="182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CISO + IT Lead</w:t>
            </w:r>
          </w:p>
        </w:tc>
      </w:tr>
      <w:tr>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bCs/>
                <w:color w:val="FF8C00"/>
                <w:sz w:val="20"/>
                <w:szCs w:val="20"/>
              </w:rPr>
              <w:t xml:space="preserve">P3 - Medium</w:t>
            </w:r>
          </w:p>
        </w:tc>
        <w:tc>
          <w:tcPr>
            <w:tcW w:type="dxa" w:w="15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6-8</w:t>
            </w:r>
          </w:p>
        </w:tc>
        <w:tc>
          <w:tcPr>
            <w:tcW w:type="dxa" w:w="30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failed logins, policy violations, suspicious process</w:t>
            </w:r>
          </w:p>
        </w:tc>
        <w:tc>
          <w:tcPr>
            <w:tcW w:type="dxa" w:w="15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val="false"/>
                <w:bCs w:val="false"/>
                <w:color w:val="000000"/>
                <w:sz w:val="20"/>
                <w:szCs w:val="20"/>
              </w:rPr>
              <w:t xml:space="preserve">4 hours</w:t>
            </w:r>
          </w:p>
        </w:tc>
        <w:tc>
          <w:tcPr>
            <w:tcW w:type="dxa" w:w="1826"/>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Lead</w:t>
            </w:r>
          </w:p>
        </w:tc>
      </w:tr>
      <w:tr>
        <w:tc>
          <w:tcPr>
            <w:tcW w:type="dxa" w:w="12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70AD47"/>
                <w:sz w:val="20"/>
                <w:szCs w:val="20"/>
              </w:rPr>
              <w:t xml:space="preserve">P4 - Low</w:t>
            </w:r>
          </w:p>
        </w:tc>
        <w:tc>
          <w:tcPr>
            <w:tcW w:type="dxa" w:w="15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1-5</w:t>
            </w:r>
          </w:p>
        </w:tc>
        <w:tc>
          <w:tcPr>
            <w:tcW w:type="dxa" w:w="3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failed login, minor config change, low-risk alert</w:t>
            </w:r>
          </w:p>
        </w:tc>
        <w:tc>
          <w:tcPr>
            <w:tcW w:type="dxa" w:w="15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20"/>
                <w:szCs w:val="20"/>
              </w:rPr>
              <w:t xml:space="preserve">24 hours</w:t>
            </w:r>
          </w:p>
        </w:tc>
        <w:tc>
          <w:tcPr>
            <w:tcW w:type="dxa" w:w="1826"/>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and monitor</w:t>
            </w:r>
          </w:p>
        </w:tc>
      </w:tr>
    </w:tbl>
    <w:p>
      <w:r>
        <w:br w:type="page"/>
      </w:r>
    </w:p>
    <w:p>
      <w:pPr>
        <w:pStyle w:val="Heading1"/>
        <w:pBdr>
          <w:bottom w:val="single" w:color="2E75B6" w:sz="4" w:space="1"/>
        </w:pBdr>
        <w:spacing w:after="200" w:before="400"/>
      </w:pPr>
      <w:r>
        <w:rPr>
          <w:rFonts w:ascii="Arial" w:cs="Arial" w:eastAsia="Arial" w:hAnsi="Arial"/>
          <w:b/>
          <w:bCs/>
          <w:color w:val="1F4E79"/>
          <w:sz w:val="32"/>
          <w:szCs w:val="32"/>
        </w:rPr>
        <w:t xml:space="preserve">4. Six-Phase Incident Response Process</w:t>
      </w:r>
    </w:p>
    <w:p>
      <w:pPr>
        <w:spacing w:after="100" w:before="100"/>
      </w:pPr>
      <w:r>
        <w:rPr>
          <w:rFonts w:ascii="Arial" w:cs="Arial" w:eastAsia="Arial" w:hAnsi="Arial"/>
          <w:sz w:val="22"/>
          <w:szCs w:val="22"/>
        </w:rPr>
        <w:t xml:space="preserve">NovaPay follows the NIST SP 800-61 incident response lifecycle adapted for a cloud-native fintech environment:</w:t>
      </w:r>
    </w:p>
    <w:p>
      <w:pPr>
        <w:spacing w:after="10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1</w:t>
            </w:r>
          </w:p>
        </w:tc>
        <w:tc>
          <w:tcPr>
            <w:tcW w:type="dxa" w:w="8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F4E79"/>
                <w:sz w:val="24"/>
                <w:szCs w:val="24"/>
              </w:rPr>
              <w:t xml:space="preserve">PREPARATION — Build defenses before incidents occur</w:t>
            </w:r>
          </w:p>
        </w:tc>
      </w:tr>
    </w:tbl>
    <w:p>
      <w:pPr>
        <w:spacing w:before="100"/>
      </w:pPr>
      <w:r>
        <w:t xml:space="preserve"/>
      </w:r>
    </w:p>
    <w:p>
      <w:pPr>
        <w:pStyle w:val="ListParagraph"/>
        <w:numPr>
          <w:ilvl w:val="0"/>
          <w:numId w:val="2"/>
        </w:numPr>
        <w:spacing w:after="60" w:before="60"/>
      </w:pPr>
      <w:r>
        <w:rPr>
          <w:rFonts w:ascii="Arial" w:cs="Arial" w:eastAsia="Arial" w:hAnsi="Arial"/>
          <w:sz w:val="22"/>
          <w:szCs w:val="22"/>
        </w:rPr>
        <w:t xml:space="preserve">Maintain Wazuh SIEM with Windows and Linux agents deployed on all endpoints</w:t>
      </w:r>
    </w:p>
    <w:p>
      <w:pPr>
        <w:pStyle w:val="ListParagraph"/>
        <w:numPr>
          <w:ilvl w:val="0"/>
          <w:numId w:val="2"/>
        </w:numPr>
        <w:spacing w:after="60" w:before="60"/>
      </w:pPr>
      <w:r>
        <w:rPr>
          <w:rFonts w:ascii="Arial" w:cs="Arial" w:eastAsia="Arial" w:hAnsi="Arial"/>
          <w:sz w:val="22"/>
          <w:szCs w:val="22"/>
        </w:rPr>
        <w:t xml:space="preserve">Ensure all staff complete security awareness training annually</w:t>
      </w:r>
    </w:p>
    <w:p>
      <w:pPr>
        <w:pStyle w:val="ListParagraph"/>
        <w:numPr>
          <w:ilvl w:val="0"/>
          <w:numId w:val="2"/>
        </w:numPr>
        <w:spacing w:after="60" w:before="60"/>
      </w:pPr>
      <w:r>
        <w:rPr>
          <w:rFonts w:ascii="Arial" w:cs="Arial" w:eastAsia="Arial" w:hAnsi="Arial"/>
          <w:sz w:val="22"/>
          <w:szCs w:val="22"/>
        </w:rPr>
        <w:t xml:space="preserve">Keep this IRP updated and tested with tabletop exercises every 6 months</w:t>
      </w:r>
    </w:p>
    <w:p>
      <w:pPr>
        <w:pStyle w:val="ListParagraph"/>
        <w:numPr>
          <w:ilvl w:val="0"/>
          <w:numId w:val="2"/>
        </w:numPr>
        <w:spacing w:after="60" w:before="60"/>
      </w:pPr>
      <w:r>
        <w:rPr>
          <w:rFonts w:ascii="Arial" w:cs="Arial" w:eastAsia="Arial" w:hAnsi="Arial"/>
          <w:sz w:val="22"/>
          <w:szCs w:val="22"/>
        </w:rPr>
        <w:t xml:space="preserve">Maintain up-to-date contact list for all IR team members</w:t>
      </w:r>
    </w:p>
    <w:p>
      <w:pPr>
        <w:pStyle w:val="ListParagraph"/>
        <w:numPr>
          <w:ilvl w:val="0"/>
          <w:numId w:val="2"/>
        </w:numPr>
        <w:spacing w:after="60" w:before="60"/>
      </w:pPr>
      <w:r>
        <w:rPr>
          <w:rFonts w:ascii="Arial" w:cs="Arial" w:eastAsia="Arial" w:hAnsi="Arial"/>
          <w:sz w:val="22"/>
          <w:szCs w:val="22"/>
        </w:rPr>
        <w:t xml:space="preserve">Ensure backup systems are operational and recovery tested monthly</w:t>
      </w:r>
    </w:p>
    <w:p>
      <w:pPr>
        <w:spacing w:after="10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2</w:t>
            </w:r>
          </w:p>
        </w:tc>
        <w:tc>
          <w:tcPr>
            <w:tcW w:type="dxa" w:w="8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E75B6"/>
                <w:sz w:val="24"/>
                <w:szCs w:val="24"/>
              </w:rPr>
              <w:t xml:space="preserve">DETECTION &amp; ANALYSIS — Identify and assess the incident</w:t>
            </w:r>
          </w:p>
        </w:tc>
      </w:tr>
    </w:tbl>
    <w:p>
      <w:pPr>
        <w:spacing w:before="100"/>
      </w:pPr>
      <w:r>
        <w:t xml:space="preserve"/>
      </w:r>
    </w:p>
    <w:p>
      <w:pPr>
        <w:pStyle w:val="ListParagraph"/>
        <w:numPr>
          <w:ilvl w:val="0"/>
          <w:numId w:val="2"/>
        </w:numPr>
        <w:spacing w:after="60" w:before="60"/>
      </w:pPr>
      <w:r>
        <w:rPr>
          <w:rFonts w:ascii="Arial" w:cs="Arial" w:eastAsia="Arial" w:hAnsi="Arial"/>
          <w:sz w:val="22"/>
          <w:szCs w:val="22"/>
        </w:rPr>
        <w:t xml:space="preserve">Monitor Wazuh dashboard for alerts — prioritize Level 6+ alerts</w:t>
      </w:r>
    </w:p>
    <w:p>
      <w:pPr>
        <w:pStyle w:val="ListParagraph"/>
        <w:numPr>
          <w:ilvl w:val="0"/>
          <w:numId w:val="2"/>
        </w:numPr>
        <w:spacing w:after="60" w:before="60"/>
      </w:pPr>
      <w:r>
        <w:rPr>
          <w:rFonts w:ascii="Arial" w:cs="Arial" w:eastAsia="Arial" w:hAnsi="Arial"/>
          <w:sz w:val="22"/>
          <w:szCs w:val="22"/>
        </w:rPr>
        <w:t xml:space="preserve">Correlate alerts across multiple data sources before declaring an incident</w:t>
      </w:r>
    </w:p>
    <w:p>
      <w:pPr>
        <w:pStyle w:val="ListParagraph"/>
        <w:numPr>
          <w:ilvl w:val="0"/>
          <w:numId w:val="2"/>
        </w:numPr>
        <w:spacing w:after="60" w:before="60"/>
      </w:pPr>
      <w:r>
        <w:rPr>
          <w:rFonts w:ascii="Arial" w:cs="Arial" w:eastAsia="Arial" w:hAnsi="Arial"/>
          <w:sz w:val="22"/>
          <w:szCs w:val="22"/>
        </w:rPr>
        <w:t xml:space="preserve">Assign severity classification (P1-P4) within 15 minutes of detection</w:t>
      </w:r>
    </w:p>
    <w:p>
      <w:pPr>
        <w:pStyle w:val="ListParagraph"/>
        <w:numPr>
          <w:ilvl w:val="0"/>
          <w:numId w:val="2"/>
        </w:numPr>
        <w:spacing w:after="60" w:before="60"/>
      </w:pPr>
      <w:r>
        <w:rPr>
          <w:rFonts w:ascii="Arial" w:cs="Arial" w:eastAsia="Arial" w:hAnsi="Arial"/>
          <w:sz w:val="22"/>
          <w:szCs w:val="22"/>
        </w:rPr>
        <w:t xml:space="preserve">Open an incident ticket and assign Incident Commander</w:t>
      </w:r>
    </w:p>
    <w:p>
      <w:pPr>
        <w:pStyle w:val="ListParagraph"/>
        <w:numPr>
          <w:ilvl w:val="0"/>
          <w:numId w:val="2"/>
        </w:numPr>
        <w:spacing w:after="60" w:before="60"/>
      </w:pPr>
      <w:r>
        <w:rPr>
          <w:rFonts w:ascii="Arial" w:cs="Arial" w:eastAsia="Arial" w:hAnsi="Arial"/>
          <w:sz w:val="22"/>
          <w:szCs w:val="22"/>
        </w:rPr>
        <w:t xml:space="preserve">Preserve all logs and evidence before taking any remediation action</w:t>
      </w:r>
    </w:p>
    <w:p>
      <w:pPr>
        <w:spacing w:after="10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F4E79" w:sz="1"/>
              <w:left w:val="single" w:color="1F4E79" w:sz="1"/>
              <w:bottom w:val="single" w:color="1F4E79" w:sz="1"/>
              <w:right w:val="single" w:color="1F4E79"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3</w:t>
            </w:r>
          </w:p>
        </w:tc>
        <w:tc>
          <w:tcPr>
            <w:tcW w:type="dxa" w:w="8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C00000"/>
                <w:sz w:val="24"/>
                <w:szCs w:val="24"/>
              </w:rPr>
              <w:t xml:space="preserve">CONTAINMENT — Stop the spread immediately</w:t>
            </w:r>
          </w:p>
        </w:tc>
      </w:tr>
    </w:tbl>
    <w:p>
      <w:pPr>
        <w:spacing w:before="100"/>
      </w:pPr>
      <w:r>
        <w:t xml:space="preserve"/>
      </w:r>
    </w:p>
    <w:p>
      <w:pPr>
        <w:pStyle w:val="ListParagraph"/>
        <w:numPr>
          <w:ilvl w:val="0"/>
          <w:numId w:val="2"/>
        </w:numPr>
        <w:spacing w:after="60" w:before="60"/>
      </w:pPr>
      <w:r>
        <w:rPr>
          <w:rFonts w:ascii="Arial" w:cs="Arial" w:eastAsia="Arial" w:hAnsi="Arial"/>
          <w:sz w:val="22"/>
          <w:szCs w:val="22"/>
        </w:rPr>
        <w:t xml:space="preserve">Short-term: Isolate affected systems from the network immediately</w:t>
      </w:r>
    </w:p>
    <w:p>
      <w:pPr>
        <w:pStyle w:val="ListParagraph"/>
        <w:numPr>
          <w:ilvl w:val="0"/>
          <w:numId w:val="2"/>
        </w:numPr>
        <w:spacing w:after="60" w:before="60"/>
      </w:pPr>
      <w:r>
        <w:rPr>
          <w:rFonts w:ascii="Arial" w:cs="Arial" w:eastAsia="Arial" w:hAnsi="Arial"/>
          <w:sz w:val="22"/>
          <w:szCs w:val="22"/>
        </w:rPr>
        <w:t xml:space="preserve">Block malicious IPs/domains at firewall and WAF level</w:t>
      </w:r>
    </w:p>
    <w:p>
      <w:pPr>
        <w:pStyle w:val="ListParagraph"/>
        <w:numPr>
          <w:ilvl w:val="0"/>
          <w:numId w:val="2"/>
        </w:numPr>
        <w:spacing w:after="60" w:before="60"/>
      </w:pPr>
      <w:r>
        <w:rPr>
          <w:rFonts w:ascii="Arial" w:cs="Arial" w:eastAsia="Arial" w:hAnsi="Arial"/>
          <w:sz w:val="22"/>
          <w:szCs w:val="22"/>
        </w:rPr>
        <w:t xml:space="preserve">Revoke compromised credentials and force password resets</w:t>
      </w:r>
    </w:p>
    <w:p>
      <w:pPr>
        <w:pStyle w:val="ListParagraph"/>
        <w:numPr>
          <w:ilvl w:val="0"/>
          <w:numId w:val="2"/>
        </w:numPr>
        <w:spacing w:after="60" w:before="60"/>
      </w:pPr>
      <w:r>
        <w:rPr>
          <w:rFonts w:ascii="Arial" w:cs="Arial" w:eastAsia="Arial" w:hAnsi="Arial"/>
          <w:sz w:val="22"/>
          <w:szCs w:val="22"/>
        </w:rPr>
        <w:t xml:space="preserve">Long-term: Apply patches, update security rules, harden configurations</w:t>
      </w:r>
    </w:p>
    <w:p>
      <w:pPr>
        <w:pStyle w:val="ListParagraph"/>
        <w:numPr>
          <w:ilvl w:val="0"/>
          <w:numId w:val="2"/>
        </w:numPr>
        <w:spacing w:after="60" w:before="60"/>
      </w:pPr>
      <w:r>
        <w:rPr>
          <w:rFonts w:ascii="Arial" w:cs="Arial" w:eastAsia="Arial" w:hAnsi="Arial"/>
          <w:sz w:val="22"/>
          <w:szCs w:val="22"/>
        </w:rPr>
        <w:t xml:space="preserve">Capture forensic images of affected systems before cleanup</w:t>
      </w:r>
    </w:p>
    <w:p>
      <w:pPr>
        <w:spacing w:after="10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F4E79" w:sz="1"/>
              <w:left w:val="single" w:color="1F4E79" w:sz="1"/>
              <w:bottom w:val="single" w:color="1F4E79" w:sz="1"/>
              <w:right w:val="single" w:color="1F4E79"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4</w:t>
            </w:r>
          </w:p>
        </w:tc>
        <w:tc>
          <w:tcPr>
            <w:tcW w:type="dxa" w:w="8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FF8C00"/>
                <w:sz w:val="24"/>
                <w:szCs w:val="24"/>
              </w:rPr>
              <w:t xml:space="preserve">ERADICATION — Remove the threat completely</w:t>
            </w:r>
          </w:p>
        </w:tc>
      </w:tr>
    </w:tbl>
    <w:p>
      <w:pPr>
        <w:spacing w:before="100"/>
      </w:pPr>
      <w:r>
        <w:t xml:space="preserve"/>
      </w:r>
    </w:p>
    <w:p>
      <w:pPr>
        <w:pStyle w:val="ListParagraph"/>
        <w:numPr>
          <w:ilvl w:val="0"/>
          <w:numId w:val="2"/>
        </w:numPr>
        <w:spacing w:after="60" w:before="60"/>
      </w:pPr>
      <w:r>
        <w:rPr>
          <w:rFonts w:ascii="Arial" w:cs="Arial" w:eastAsia="Arial" w:hAnsi="Arial"/>
          <w:sz w:val="22"/>
          <w:szCs w:val="22"/>
        </w:rPr>
        <w:t xml:space="preserve">Identify and remove all malware, backdoors, and attacker persistence mechanisms</w:t>
      </w:r>
    </w:p>
    <w:p>
      <w:pPr>
        <w:pStyle w:val="ListParagraph"/>
        <w:numPr>
          <w:ilvl w:val="0"/>
          <w:numId w:val="2"/>
        </w:numPr>
        <w:spacing w:after="60" w:before="60"/>
      </w:pPr>
      <w:r>
        <w:rPr>
          <w:rFonts w:ascii="Arial" w:cs="Arial" w:eastAsia="Arial" w:hAnsi="Arial"/>
          <w:sz w:val="22"/>
          <w:szCs w:val="22"/>
        </w:rPr>
        <w:t xml:space="preserve">Scan all systems with updated endpoint detection tools</w:t>
      </w:r>
    </w:p>
    <w:p>
      <w:pPr>
        <w:pStyle w:val="ListParagraph"/>
        <w:numPr>
          <w:ilvl w:val="0"/>
          <w:numId w:val="2"/>
        </w:numPr>
        <w:spacing w:after="60" w:before="60"/>
      </w:pPr>
      <w:r>
        <w:rPr>
          <w:rFonts w:ascii="Arial" w:cs="Arial" w:eastAsia="Arial" w:hAnsi="Arial"/>
          <w:sz w:val="22"/>
          <w:szCs w:val="22"/>
        </w:rPr>
        <w:t xml:space="preserve">Patch all vulnerabilities exploited during the incident</w:t>
      </w:r>
    </w:p>
    <w:p>
      <w:pPr>
        <w:pStyle w:val="ListParagraph"/>
        <w:numPr>
          <w:ilvl w:val="0"/>
          <w:numId w:val="2"/>
        </w:numPr>
        <w:spacing w:after="60" w:before="60"/>
      </w:pPr>
      <w:r>
        <w:rPr>
          <w:rFonts w:ascii="Arial" w:cs="Arial" w:eastAsia="Arial" w:hAnsi="Arial"/>
          <w:sz w:val="22"/>
          <w:szCs w:val="22"/>
        </w:rPr>
        <w:t xml:space="preserve">Reset all potentially compromised credentials system-wide</w:t>
      </w:r>
    </w:p>
    <w:p>
      <w:pPr>
        <w:spacing w:after="10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F4E79" w:sz="1"/>
              <w:left w:val="single" w:color="1F4E79" w:sz="1"/>
              <w:bottom w:val="single" w:color="1F4E79" w:sz="1"/>
              <w:right w:val="single" w:color="1F4E79"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5</w:t>
            </w:r>
          </w:p>
        </w:tc>
        <w:tc>
          <w:tcPr>
            <w:tcW w:type="dxa" w:w="8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70AD47"/>
                <w:sz w:val="24"/>
                <w:szCs w:val="24"/>
              </w:rPr>
              <w:t xml:space="preserve">RECOVERY — Restore normal operations safely</w:t>
            </w:r>
          </w:p>
        </w:tc>
      </w:tr>
    </w:tbl>
    <w:p>
      <w:pPr>
        <w:spacing w:before="100"/>
      </w:pPr>
      <w:r>
        <w:t xml:space="preserve"/>
      </w:r>
    </w:p>
    <w:p>
      <w:pPr>
        <w:pStyle w:val="ListParagraph"/>
        <w:numPr>
          <w:ilvl w:val="0"/>
          <w:numId w:val="2"/>
        </w:numPr>
        <w:spacing w:after="60" w:before="60"/>
      </w:pPr>
      <w:r>
        <w:rPr>
          <w:rFonts w:ascii="Arial" w:cs="Arial" w:eastAsia="Arial" w:hAnsi="Arial"/>
          <w:sz w:val="22"/>
          <w:szCs w:val="22"/>
        </w:rPr>
        <w:t xml:space="preserve">Restore systems from clean backups — verify integrity before bringing online</w:t>
      </w:r>
    </w:p>
    <w:p>
      <w:pPr>
        <w:pStyle w:val="ListParagraph"/>
        <w:numPr>
          <w:ilvl w:val="0"/>
          <w:numId w:val="2"/>
        </w:numPr>
        <w:spacing w:after="60" w:before="60"/>
      </w:pPr>
      <w:r>
        <w:rPr>
          <w:rFonts w:ascii="Arial" w:cs="Arial" w:eastAsia="Arial" w:hAnsi="Arial"/>
          <w:sz w:val="22"/>
          <w:szCs w:val="22"/>
        </w:rPr>
        <w:t xml:space="preserve">Monitor restored systems closely for 72 hours post-recovery</w:t>
      </w:r>
    </w:p>
    <w:p>
      <w:pPr>
        <w:pStyle w:val="ListParagraph"/>
        <w:numPr>
          <w:ilvl w:val="0"/>
          <w:numId w:val="2"/>
        </w:numPr>
        <w:spacing w:after="60" w:before="60"/>
      </w:pPr>
      <w:r>
        <w:rPr>
          <w:rFonts w:ascii="Arial" w:cs="Arial" w:eastAsia="Arial" w:hAnsi="Arial"/>
          <w:sz w:val="22"/>
          <w:szCs w:val="22"/>
        </w:rPr>
        <w:t xml:space="preserve">Gradually restore services — critical payment processing first</w:t>
      </w:r>
    </w:p>
    <w:p>
      <w:pPr>
        <w:pStyle w:val="ListParagraph"/>
        <w:numPr>
          <w:ilvl w:val="0"/>
          <w:numId w:val="2"/>
        </w:numPr>
        <w:spacing w:after="60" w:before="60"/>
      </w:pPr>
      <w:r>
        <w:rPr>
          <w:rFonts w:ascii="Arial" w:cs="Arial" w:eastAsia="Arial" w:hAnsi="Arial"/>
          <w:sz w:val="22"/>
          <w:szCs w:val="22"/>
        </w:rPr>
        <w:t xml:space="preserve">Confirm with business owners that systems are functioning normally</w:t>
      </w:r>
    </w:p>
    <w:p>
      <w:pPr>
        <w:spacing w:after="10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F4E79" w:sz="1"/>
              <w:left w:val="single" w:color="1F4E79" w:sz="1"/>
              <w:bottom w:val="single" w:color="1F4E79" w:sz="1"/>
              <w:right w:val="single" w:color="1F4E79" w:sz="1"/>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6</w:t>
            </w:r>
          </w:p>
        </w:tc>
        <w:tc>
          <w:tcPr>
            <w:tcW w:type="dxa" w:w="8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595959"/>
                <w:sz w:val="24"/>
                <w:szCs w:val="24"/>
              </w:rPr>
              <w:t xml:space="preserve">POST-INCIDENT REVIEW — Learn and improve</w:t>
            </w:r>
          </w:p>
        </w:tc>
      </w:tr>
    </w:tbl>
    <w:p>
      <w:pPr>
        <w:spacing w:before="100"/>
      </w:pPr>
      <w:r>
        <w:t xml:space="preserve"/>
      </w:r>
    </w:p>
    <w:p>
      <w:pPr>
        <w:pStyle w:val="ListParagraph"/>
        <w:numPr>
          <w:ilvl w:val="0"/>
          <w:numId w:val="2"/>
        </w:numPr>
        <w:spacing w:after="60" w:before="60"/>
      </w:pPr>
      <w:r>
        <w:rPr>
          <w:rFonts w:ascii="Arial" w:cs="Arial" w:eastAsia="Arial" w:hAnsi="Arial"/>
          <w:sz w:val="22"/>
          <w:szCs w:val="22"/>
        </w:rPr>
        <w:t xml:space="preserve">Conduct lessons learned meeting within 5 business days of incident closure</w:t>
      </w:r>
    </w:p>
    <w:p>
      <w:pPr>
        <w:pStyle w:val="ListParagraph"/>
        <w:numPr>
          <w:ilvl w:val="0"/>
          <w:numId w:val="2"/>
        </w:numPr>
        <w:spacing w:after="60" w:before="60"/>
      </w:pPr>
      <w:r>
        <w:rPr>
          <w:rFonts w:ascii="Arial" w:cs="Arial" w:eastAsia="Arial" w:hAnsi="Arial"/>
          <w:sz w:val="22"/>
          <w:szCs w:val="22"/>
        </w:rPr>
        <w:t xml:space="preserve">Complete Post-Incident Report using template in Section 8</w:t>
      </w:r>
    </w:p>
    <w:p>
      <w:pPr>
        <w:pStyle w:val="ListParagraph"/>
        <w:numPr>
          <w:ilvl w:val="0"/>
          <w:numId w:val="2"/>
        </w:numPr>
        <w:spacing w:after="60" w:before="60"/>
      </w:pPr>
      <w:r>
        <w:rPr>
          <w:rFonts w:ascii="Arial" w:cs="Arial" w:eastAsia="Arial" w:hAnsi="Arial"/>
          <w:sz w:val="22"/>
          <w:szCs w:val="22"/>
        </w:rPr>
        <w:t xml:space="preserve">Update this IRP and the Risk Register based on findings</w:t>
      </w:r>
    </w:p>
    <w:p>
      <w:pPr>
        <w:pStyle w:val="ListParagraph"/>
        <w:numPr>
          <w:ilvl w:val="0"/>
          <w:numId w:val="2"/>
        </w:numPr>
        <w:spacing w:after="60" w:before="60"/>
      </w:pPr>
      <w:r>
        <w:rPr>
          <w:rFonts w:ascii="Arial" w:cs="Arial" w:eastAsia="Arial" w:hAnsi="Arial"/>
          <w:sz w:val="22"/>
          <w:szCs w:val="22"/>
        </w:rPr>
        <w:t xml:space="preserve">Share anonymized learnings with relevant teams</w:t>
      </w:r>
    </w:p>
    <w:p>
      <w:r>
        <w:br w:type="page"/>
      </w:r>
    </w:p>
    <w:p>
      <w:pPr>
        <w:pStyle w:val="Heading1"/>
        <w:pBdr>
          <w:bottom w:val="single" w:color="2E75B6" w:sz="4" w:space="1"/>
        </w:pBdr>
        <w:spacing w:after="200" w:before="400"/>
      </w:pPr>
      <w:r>
        <w:rPr>
          <w:rFonts w:ascii="Arial" w:cs="Arial" w:eastAsia="Arial" w:hAnsi="Arial"/>
          <w:b/>
          <w:bCs/>
          <w:color w:val="1F4E79"/>
          <w:sz w:val="32"/>
          <w:szCs w:val="32"/>
        </w:rPr>
        <w:t xml:space="preserve">5. Incident Playbooks</w:t>
      </w:r>
    </w:p>
    <w:p>
      <w:pPr>
        <w:spacing w:after="100" w:before="100"/>
      </w:pPr>
      <w:r>
        <w:rPr>
          <w:rFonts w:ascii="Arial" w:cs="Arial" w:eastAsia="Arial" w:hAnsi="Arial"/>
          <w:sz w:val="22"/>
          <w:szCs w:val="22"/>
        </w:rPr>
        <w:t xml:space="preserve">The following playbooks provide step-by-step response procedures for the three highest-priority incidents identified in the NovaPay Risk Assessment.</w:t>
      </w:r>
    </w:p>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5.1 Playbook — Data Breach (R-01) — P1 Critical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000"/>
        <w:gridCol w:w="1926"/>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9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Wazuh alert fires for unusual data volume export or unauthorized DB access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Analyst</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Classify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P1 — personal data or payment data involved</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Lead</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Incident Commander and DPO immediately — start 72hr GDPR clock</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Lead</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Revoke DB access credentials, isolate affected server, block exfiltration IPs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DevOps Lead</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Assess scope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Identify what data was accessed: how many records, what data types, which customers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Lead + DPO</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GDPR notify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Submit breach notification to supervisory authority within 72 hours (see Section 6)</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DPO</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Notify customers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high risk to individuals — notify affected customers without undue delay</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DPO + Comms</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Eradicate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attacker access, patch vulnerability, strengthen access controls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DevOps + CTO</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Recover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Restore from clean backup, verify data integrity, monitor for 72hrs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DevOps Lead</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Post-incident report, update DPIA, lessons learned meeting</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CISO + DPO</w:t>
            </w:r>
          </w:p>
        </w:tc>
      </w:tr>
    </w:tbl>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5.2 Playbook — Ransomware Attack (R-02) — P1 Critical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000"/>
        <w:gridCol w:w="1926"/>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9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Wazuh fires — mass file modification, encryption processes, ransom note detected</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Analyst</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 Do not pay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not engage with attackers or pay ransom without legal and executive approval</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Commander</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Isolate immediately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Disconnect ALL affected systems from network — unplug ethernet, disable WiFi</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 Manager</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CEO, CISO, legal team. Consider law enforcement notification</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Commander</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Identify strain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nomoreransom.org for decryption tools before any recovery attempt</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Lead</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Assess data impact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Determine if personal data was exfiltrated before encryption — triggers GDPR Art. 33</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DPO + SOC Lead</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Recover from backup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Wipe affected systems completely, restore from last clean verified backup</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DevOps Lead</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 entry point, reset all credentials, review email filtering and EDR rules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CTO</w:t>
            </w:r>
          </w:p>
        </w:tc>
      </w:tr>
      <w:tr>
        <w:tc>
          <w:tcPr>
            <w:tcW w:type="dxa" w:w="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Enhanced monitoring for 14 days post-recovery for reinfection indicators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Lead</w:t>
            </w:r>
          </w:p>
        </w:tc>
      </w:tr>
    </w:tbl>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5.3 Playbook — Unauthorized Access / Insider Threat (R-04) — P2 High</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000"/>
        <w:gridCol w:w="1926"/>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9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Wazuh alert — user accessing data outside normal hours, unusual query volume, privilege escalation</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Analyst</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Investigate quietly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not alert the suspect — preserve evidence. Review access logs, Wazuh events silently</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Lead</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Notify HR + Legal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Loop in HR and legal counsel before taking any action against the employee</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Commander</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Revoke access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Simultaneously revoke all access and notify the employee — coordinate with HR</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 Manager + HR</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Preserve evidence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 and preserve all logs, access records, and Wazuh alerts for potential legal action</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Lead</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Assess data impact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Determine what data was accessed — if personal data, assess GDPR notification need</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DPO</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controls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RBAC policies, implement additional monitoring on similar roles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 Manager</w:t>
            </w:r>
          </w:p>
        </w:tc>
      </w:tr>
    </w:tbl>
    <w:p>
      <w:r>
        <w:br w:type="page"/>
      </w:r>
    </w:p>
    <w:p>
      <w:pPr>
        <w:pStyle w:val="Heading1"/>
        <w:pBdr>
          <w:bottom w:val="single" w:color="2E75B6" w:sz="4" w:space="1"/>
        </w:pBdr>
        <w:spacing w:after="200" w:before="400"/>
      </w:pPr>
      <w:r>
        <w:rPr>
          <w:rFonts w:ascii="Arial" w:cs="Arial" w:eastAsia="Arial" w:hAnsi="Arial"/>
          <w:b/>
          <w:bCs/>
          <w:color w:val="1F4E79"/>
          <w:sz w:val="32"/>
          <w:szCs w:val="32"/>
        </w:rPr>
        <w:t xml:space="preserve">6. GDPR Breach Notification Procedure</w:t>
      </w:r>
    </w:p>
    <w:p>
      <w:pPr>
        <w:spacing w:after="100" w:before="100"/>
      </w:pPr>
      <w:r>
        <w:rPr>
          <w:rFonts w:ascii="Arial" w:cs="Arial" w:eastAsia="Arial" w:hAnsi="Arial"/>
          <w:sz w:val="22"/>
          <w:szCs w:val="22"/>
        </w:rPr>
        <w:t xml:space="preserve">Under GDPR Article 33, NovaPay must notify the relevant supervisory authority of a personal data breach within 72 hours of becoming aware of it. This clock starts the moment the SOC analyst confirms a breach has occurred.</w:t>
      </w:r>
    </w:p>
    <w:p>
      <w:pPr>
        <w:spacing w:after="10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000"/>
        <w:gridCol w:w="1526"/>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5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0-1 hour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breach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Lead confirms personal data was accessed or exfiltrated. Start 72hr clock.</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Lead + DPO</w:t>
            </w:r>
          </w:p>
        </w:tc>
      </w:tr>
      <w:tr>
        <w:tc>
          <w:tcPr>
            <w:tcW w:type="dxa" w:w="15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val="false"/>
                <w:bCs w:val="false"/>
                <w:color w:val="000000"/>
                <w:sz w:val="20"/>
                <w:szCs w:val="20"/>
              </w:rPr>
              <w:t xml:space="preserve">1-4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assessment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Identify: what data, how many people affected, categories of data (PII, payment, health)</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DPO</w:t>
            </w:r>
          </w:p>
        </w:tc>
      </w:tr>
      <w:tr>
        <w:tc>
          <w:tcPr>
            <w:tcW w:type="dxa" w:w="15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val="false"/>
                <w:bCs w:val="false"/>
                <w:color w:val="000000"/>
                <w:sz w:val="20"/>
                <w:szCs w:val="20"/>
              </w:rPr>
              <w:t xml:space="preserve">4-24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Prepare notification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breach notification form. Document nature of breach, likely consequences, measures taken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DPO + Legal</w:t>
            </w:r>
          </w:p>
        </w:tc>
      </w:tr>
      <w:tr>
        <w:tc>
          <w:tcPr>
            <w:tcW w:type="dxa" w:w="15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20"/>
                <w:szCs w:val="20"/>
              </w:rPr>
              <w:t xml:space="preserve">Before 72hrs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Submit to authority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Submit to relevant Data Protection Authority (e.g. ICO in UK, or lead EU supervisory authority)</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DPO</w:t>
            </w:r>
          </w:p>
        </w:tc>
      </w:tr>
      <w:tr>
        <w:tc>
          <w:tcPr>
            <w:tcW w:type="dxa" w:w="15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If high 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Notify individuals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Under GDPR Art. 34 — notify affected individuals without undue delay if high risk to their rights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DPO + Comms</w:t>
            </w:r>
          </w:p>
        </w:tc>
      </w:tr>
    </w:tbl>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6.1 GDPR Notification Must Include:</w:t>
      </w:r>
    </w:p>
    <w:p>
      <w:pPr>
        <w:pStyle w:val="ListParagraph"/>
        <w:numPr>
          <w:ilvl w:val="0"/>
          <w:numId w:val="2"/>
        </w:numPr>
        <w:spacing w:after="60" w:before="60"/>
      </w:pPr>
      <w:r>
        <w:rPr>
          <w:rFonts w:ascii="Arial" w:cs="Arial" w:eastAsia="Arial" w:hAnsi="Arial"/>
          <w:sz w:val="22"/>
          <w:szCs w:val="22"/>
        </w:rPr>
        <w:t xml:space="preserve">Nature of the personal data breach</w:t>
      </w:r>
    </w:p>
    <w:p>
      <w:pPr>
        <w:pStyle w:val="ListParagraph"/>
        <w:numPr>
          <w:ilvl w:val="0"/>
          <w:numId w:val="2"/>
        </w:numPr>
        <w:spacing w:after="60" w:before="60"/>
      </w:pPr>
      <w:r>
        <w:rPr>
          <w:rFonts w:ascii="Arial" w:cs="Arial" w:eastAsia="Arial" w:hAnsi="Arial"/>
          <w:sz w:val="22"/>
          <w:szCs w:val="22"/>
        </w:rPr>
        <w:t xml:space="preserve">Categories and approximate number of individuals concerned</w:t>
      </w:r>
    </w:p>
    <w:p>
      <w:pPr>
        <w:pStyle w:val="ListParagraph"/>
        <w:numPr>
          <w:ilvl w:val="0"/>
          <w:numId w:val="2"/>
        </w:numPr>
        <w:spacing w:after="60" w:before="60"/>
      </w:pPr>
      <w:r>
        <w:rPr>
          <w:rFonts w:ascii="Arial" w:cs="Arial" w:eastAsia="Arial" w:hAnsi="Arial"/>
          <w:sz w:val="22"/>
          <w:szCs w:val="22"/>
        </w:rPr>
        <w:t xml:space="preserve">Categories and approximate number of records concerned</w:t>
      </w:r>
    </w:p>
    <w:p>
      <w:pPr>
        <w:pStyle w:val="ListParagraph"/>
        <w:numPr>
          <w:ilvl w:val="0"/>
          <w:numId w:val="2"/>
        </w:numPr>
        <w:spacing w:after="60" w:before="60"/>
      </w:pPr>
      <w:r>
        <w:rPr>
          <w:rFonts w:ascii="Arial" w:cs="Arial" w:eastAsia="Arial" w:hAnsi="Arial"/>
          <w:sz w:val="22"/>
          <w:szCs w:val="22"/>
        </w:rPr>
        <w:t xml:space="preserve">Name and contact details of the Data Protection Officer</w:t>
      </w:r>
    </w:p>
    <w:p>
      <w:pPr>
        <w:pStyle w:val="ListParagraph"/>
        <w:numPr>
          <w:ilvl w:val="0"/>
          <w:numId w:val="2"/>
        </w:numPr>
        <w:spacing w:after="60" w:before="60"/>
      </w:pPr>
      <w:r>
        <w:rPr>
          <w:rFonts w:ascii="Arial" w:cs="Arial" w:eastAsia="Arial" w:hAnsi="Arial"/>
          <w:sz w:val="22"/>
          <w:szCs w:val="22"/>
        </w:rPr>
        <w:t xml:space="preserve">Likely consequences of the breach</w:t>
      </w:r>
    </w:p>
    <w:p>
      <w:pPr>
        <w:pStyle w:val="ListParagraph"/>
        <w:numPr>
          <w:ilvl w:val="0"/>
          <w:numId w:val="2"/>
        </w:numPr>
        <w:spacing w:after="60" w:before="60"/>
      </w:pPr>
      <w:r>
        <w:rPr>
          <w:rFonts w:ascii="Arial" w:cs="Arial" w:eastAsia="Arial" w:hAnsi="Arial"/>
          <w:sz w:val="22"/>
          <w:szCs w:val="22"/>
        </w:rPr>
        <w:t xml:space="preserve">Measures taken or proposed to address the breach</w:t>
      </w:r>
    </w:p>
    <w:p>
      <w:pPr>
        <w:spacing w:after="100" w:before="100"/>
      </w:pPr>
      <w:r>
        <w:rPr>
          <w:rFonts w:ascii="Arial" w:cs="Arial" w:eastAsia="Arial" w:hAnsi="Arial"/>
          <w:sz w:val="22"/>
          <w:szCs w:val="22"/>
        </w:rPr>
        <w:t xml:space="preserve"/>
      </w:r>
    </w:p>
    <w:p>
      <w:pPr>
        <w:spacing w:after="100" w:before="100"/>
      </w:pPr>
      <w:r>
        <w:rPr>
          <w:rFonts w:ascii="Arial" w:cs="Arial" w:eastAsia="Arial" w:hAnsi="Arial"/>
          <w:color w:val="595959"/>
          <w:sz w:val="22"/>
          <w:szCs w:val="22"/>
        </w:rPr>
        <w:t xml:space="preserve">If it is not possible to provide all information within 72 hours, an initial notification must still be submitted and supplemented as soon as possible thereafter.</w:t>
      </w:r>
    </w:p>
    <w:p>
      <w:r>
        <w:br w:type="page"/>
      </w:r>
    </w:p>
    <w:p>
      <w:pPr>
        <w:pStyle w:val="Heading1"/>
        <w:pBdr>
          <w:bottom w:val="single" w:color="2E75B6" w:sz="4" w:space="1"/>
        </w:pBdr>
        <w:spacing w:after="200" w:before="400"/>
      </w:pPr>
      <w:r>
        <w:rPr>
          <w:rFonts w:ascii="Arial" w:cs="Arial" w:eastAsia="Arial" w:hAnsi="Arial"/>
          <w:b/>
          <w:bCs/>
          <w:color w:val="1F4E79"/>
          <w:sz w:val="32"/>
          <w:szCs w:val="32"/>
        </w:rPr>
        <w:t xml:space="preserve">7. Communication Templates</w:t>
      </w:r>
    </w:p>
    <w:p>
      <w:pPr>
        <w:pStyle w:val="Heading2"/>
        <w:spacing w:after="150" w:before="300"/>
      </w:pPr>
      <w:r>
        <w:rPr>
          <w:rFonts w:ascii="Arial" w:cs="Arial" w:eastAsia="Arial" w:hAnsi="Arial"/>
          <w:b/>
          <w:bCs/>
          <w:color w:val="2E75B6"/>
          <w:sz w:val="26"/>
          <w:szCs w:val="26"/>
        </w:rPr>
        <w:t xml:space="preserve">7.1 Internal Incident Alert</w:t>
      </w:r>
    </w:p>
    <w:p>
      <w:pPr>
        <w:spacing w:after="10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7FB" w:val="clear"/>
            <w:tcMar>
              <w:top w:type="dxa" w:w="120"/>
              <w:left w:type="dxa" w:w="200"/>
              <w:bottom w:type="dxa" w:w="120"/>
              <w:right w:type="dxa" w:w="200"/>
            </w:tcMar>
          </w:tcPr>
          <w:p>
            <w:r>
              <w:rPr>
                <w:rFonts w:ascii="Courier New" w:cs="Courier New" w:eastAsia="Courier New" w:hAnsi="Courier New"/>
                <w:b/>
                <w:bCs/>
                <w:sz w:val="22"/>
                <w:szCs w:val="22"/>
              </w:rPr>
              <w:t xml:space="preserve">SUBJECT: [P1/P2/P3] SECURITY INCIDENT DECLARED — [Incident Name]</w:t>
            </w:r>
          </w:p>
          <w:p>
            <w:r>
              <w:rPr>
                <w:rFonts w:ascii="Courier New" w:cs="Courier New" w:eastAsia="Courier New" w:hAnsi="Courier New"/>
                <w:sz w:val="22"/>
                <w:szCs w:val="22"/>
              </w:rPr>
              <w:t xml:space="preserve"/>
            </w:r>
          </w:p>
          <w:p>
            <w:r>
              <w:rPr>
                <w:rFonts w:ascii="Courier New" w:cs="Courier New" w:eastAsia="Courier New" w:hAnsi="Courier New"/>
                <w:sz w:val="22"/>
                <w:szCs w:val="22"/>
              </w:rPr>
              <w:t xml:space="preserve">Incident ID: INC-[YYYY-MM-DD-001]</w:t>
            </w:r>
          </w:p>
          <w:p>
            <w:r>
              <w:rPr>
                <w:rFonts w:ascii="Courier New" w:cs="Courier New" w:eastAsia="Courier New" w:hAnsi="Courier New"/>
                <w:sz w:val="22"/>
                <w:szCs w:val="22"/>
              </w:rPr>
              <w:t xml:space="preserve">Severity: [P1/P2/P3/P4]</w:t>
            </w:r>
          </w:p>
          <w:p>
            <w:r>
              <w:rPr>
                <w:rFonts w:ascii="Courier New" w:cs="Courier New" w:eastAsia="Courier New" w:hAnsi="Courier New"/>
                <w:sz w:val="22"/>
                <w:szCs w:val="22"/>
              </w:rPr>
              <w:t xml:space="preserve">Declared by: [Name, Role]</w:t>
            </w:r>
          </w:p>
          <w:p>
            <w:r>
              <w:rPr>
                <w:rFonts w:ascii="Courier New" w:cs="Courier New" w:eastAsia="Courier New" w:hAnsi="Courier New"/>
                <w:sz w:val="22"/>
                <w:szCs w:val="22"/>
              </w:rPr>
              <w:t xml:space="preserve">Time declared: [HH:MM UTC]</w:t>
            </w:r>
          </w:p>
          <w:p>
            <w:r>
              <w:rPr>
                <w:rFonts w:ascii="Courier New" w:cs="Courier New" w:eastAsia="Courier New" w:hAnsi="Courier New"/>
                <w:sz w:val="22"/>
                <w:szCs w:val="22"/>
              </w:rPr>
              <w:t xml:space="preserve">Incident Commander: [Name]</w:t>
            </w:r>
          </w:p>
          <w:p>
            <w:r>
              <w:rPr>
                <w:rFonts w:ascii="Courier New" w:cs="Courier New" w:eastAsia="Courier New" w:hAnsi="Courier New"/>
                <w:sz w:val="22"/>
                <w:szCs w:val="22"/>
              </w:rPr>
              <w:t xml:space="preserve"/>
            </w:r>
          </w:p>
          <w:p>
            <w:r>
              <w:rPr>
                <w:rFonts w:ascii="Courier New" w:cs="Courier New" w:eastAsia="Courier New" w:hAnsi="Courier New"/>
                <w:sz w:val="22"/>
                <w:szCs w:val="22"/>
              </w:rPr>
              <w:t xml:space="preserve">Summary: [Brief description of what happened]</w:t>
            </w:r>
          </w:p>
          <w:p>
            <w:r>
              <w:rPr>
                <w:rFonts w:ascii="Courier New" w:cs="Courier New" w:eastAsia="Courier New" w:hAnsi="Courier New"/>
                <w:sz w:val="22"/>
                <w:szCs w:val="22"/>
              </w:rPr>
              <w:t xml:space="preserve">Systems affected: [List systems]</w:t>
            </w:r>
          </w:p>
          <w:p>
            <w:r>
              <w:rPr>
                <w:rFonts w:ascii="Courier New" w:cs="Courier New" w:eastAsia="Courier New" w:hAnsi="Courier New"/>
                <w:sz w:val="22"/>
                <w:szCs w:val="22"/>
              </w:rPr>
              <w:t xml:space="preserve">Current status: [Investigating / Containing / Recovering]</w:t>
            </w:r>
          </w:p>
          <w:p>
            <w:r>
              <w:rPr>
                <w:rFonts w:ascii="Courier New" w:cs="Courier New" w:eastAsia="Courier New" w:hAnsi="Courier New"/>
                <w:sz w:val="22"/>
                <w:szCs w:val="22"/>
              </w:rPr>
              <w:t xml:space="preserve">Next update: [Time]</w:t>
            </w:r>
          </w:p>
        </w:tc>
      </w:tr>
    </w:tbl>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7.2 Customer Breach Notification</w:t>
      </w:r>
    </w:p>
    <w:p>
      <w:pPr>
        <w:spacing w:after="10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6" w:val="clear"/>
            <w:tcMar>
              <w:top w:type="dxa" w:w="120"/>
              <w:left w:type="dxa" w:w="200"/>
              <w:bottom w:type="dxa" w:w="120"/>
              <w:right w:type="dxa" w:w="200"/>
            </w:tcMar>
          </w:tcPr>
          <w:p>
            <w:r>
              <w:rPr>
                <w:rFonts w:ascii="Courier New" w:cs="Courier New" w:eastAsia="Courier New" w:hAnsi="Courier New"/>
                <w:b/>
                <w:bCs/>
                <w:sz w:val="22"/>
                <w:szCs w:val="22"/>
              </w:rPr>
              <w:t xml:space="preserve">SUBJECT: Important security notice regarding your NovaPay account</w:t>
            </w:r>
          </w:p>
          <w:p>
            <w:r>
              <w:rPr>
                <w:sz w:val="22"/>
                <w:szCs w:val="22"/>
              </w:rPr>
              <w:t xml:space="preserve"/>
            </w:r>
          </w:p>
          <w:p>
            <w:r>
              <w:rPr>
                <w:rFonts w:ascii="Courier New" w:cs="Courier New" w:eastAsia="Courier New" w:hAnsi="Courier New"/>
                <w:sz w:val="22"/>
                <w:szCs w:val="22"/>
              </w:rPr>
              <w:t xml:space="preserve">Dear [Customer Name],</w:t>
            </w:r>
          </w:p>
          <w:p>
            <w:r>
              <w:rPr>
                <w:sz w:val="22"/>
                <w:szCs w:val="22"/>
              </w:rPr>
              <w:t xml:space="preserve"/>
            </w:r>
          </w:p>
          <w:p>
            <w:r>
              <w:rPr>
                <w:rFonts w:ascii="Courier New" w:cs="Courier New" w:eastAsia="Courier New" w:hAnsi="Courier New"/>
                <w:sz w:val="22"/>
                <w:szCs w:val="22"/>
              </w:rPr>
              <w:t xml:space="preserve">We are writing to inform you of a security incident that may have</w:t>
            </w:r>
          </w:p>
          <w:p>
            <w:r>
              <w:rPr>
                <w:rFonts w:ascii="Courier New" w:cs="Courier New" w:eastAsia="Courier New" w:hAnsi="Courier New"/>
                <w:sz w:val="22"/>
                <w:szCs w:val="22"/>
              </w:rPr>
              <w:t xml:space="preserve">affected your personal information.</w:t>
            </w:r>
          </w:p>
          <w:p>
            <w:r>
              <w:rPr>
                <w:sz w:val="22"/>
                <w:szCs w:val="22"/>
              </w:rPr>
              <w:t xml:space="preserve"/>
            </w:r>
          </w:p>
          <w:p>
            <w:r>
              <w:rPr>
                <w:rFonts w:ascii="Courier New" w:cs="Courier New" w:eastAsia="Courier New" w:hAnsi="Courier New"/>
                <w:sz w:val="22"/>
                <w:szCs w:val="22"/>
              </w:rPr>
              <w:t xml:space="preserve">What happened: [Description of incident]</w:t>
            </w:r>
          </w:p>
          <w:p>
            <w:r>
              <w:rPr>
                <w:rFonts w:ascii="Courier New" w:cs="Courier New" w:eastAsia="Courier New" w:hAnsi="Courier New"/>
                <w:sz w:val="22"/>
                <w:szCs w:val="22"/>
              </w:rPr>
              <w:t xml:space="preserve">What information was involved: [Types of data]</w:t>
            </w:r>
          </w:p>
          <w:p>
            <w:r>
              <w:rPr>
                <w:rFonts w:ascii="Courier New" w:cs="Courier New" w:eastAsia="Courier New" w:hAnsi="Courier New"/>
                <w:sz w:val="22"/>
                <w:szCs w:val="22"/>
              </w:rPr>
              <w:t xml:space="preserve">What we are doing: [Actions taken]</w:t>
            </w:r>
          </w:p>
          <w:p>
            <w:r>
              <w:rPr>
                <w:rFonts w:ascii="Courier New" w:cs="Courier New" w:eastAsia="Courier New" w:hAnsi="Courier New"/>
                <w:sz w:val="22"/>
                <w:szCs w:val="22"/>
              </w:rPr>
              <w:t xml:space="preserve">What you can do: [Recommended customer actions]</w:t>
            </w:r>
          </w:p>
          <w:p>
            <w:r>
              <w:rPr>
                <w:sz w:val="22"/>
                <w:szCs w:val="22"/>
              </w:rPr>
              <w:t xml:space="preserve"/>
            </w:r>
          </w:p>
          <w:p>
            <w:r>
              <w:rPr>
                <w:rFonts w:ascii="Courier New" w:cs="Courier New" w:eastAsia="Courier New" w:hAnsi="Courier New"/>
                <w:sz w:val="22"/>
                <w:szCs w:val="22"/>
              </w:rPr>
              <w:t xml:space="preserve">For questions, contact our DPO at: privacy@novapay.com</w:t>
            </w:r>
          </w:p>
          <w:p>
            <w:r>
              <w:rPr>
                <w:sz w:val="22"/>
                <w:szCs w:val="22"/>
              </w:rPr>
              <w:t xml:space="preserve"/>
            </w:r>
          </w:p>
          <w:p>
            <w:r>
              <w:rPr>
                <w:rFonts w:ascii="Courier New" w:cs="Courier New" w:eastAsia="Courier New" w:hAnsi="Courier New"/>
                <w:sz w:val="22"/>
                <w:szCs w:val="22"/>
              </w:rPr>
              <w:t xml:space="preserve">NovaPay Security Team</w:t>
            </w:r>
          </w:p>
        </w:tc>
      </w:tr>
    </w:tbl>
    <w:p>
      <w:r>
        <w:br w:type="page"/>
      </w:r>
    </w:p>
    <w:p>
      <w:pPr>
        <w:pStyle w:val="Heading1"/>
        <w:pBdr>
          <w:bottom w:val="single" w:color="2E75B6" w:sz="4" w:space="1"/>
        </w:pBdr>
        <w:spacing w:after="200" w:before="400"/>
      </w:pPr>
      <w:r>
        <w:rPr>
          <w:rFonts w:ascii="Arial" w:cs="Arial" w:eastAsia="Arial" w:hAnsi="Arial"/>
          <w:b/>
          <w:bCs/>
          <w:color w:val="1F4E79"/>
          <w:sz w:val="32"/>
          <w:szCs w:val="32"/>
        </w:rPr>
        <w:t xml:space="preserve">8. Post-Incident Report Template</w:t>
      </w:r>
    </w:p>
    <w:p>
      <w:pPr>
        <w:spacing w:after="100" w:before="100"/>
      </w:pPr>
      <w:r>
        <w:rPr>
          <w:rFonts w:ascii="Arial" w:cs="Arial" w:eastAsia="Arial" w:hAnsi="Arial"/>
          <w:sz w:val="22"/>
          <w:szCs w:val="22"/>
        </w:rPr>
        <w:t xml:space="preserve">This report must be completed within 5 business days of incident closure.</w:t>
      </w:r>
    </w:p>
    <w:p>
      <w:pPr>
        <w:spacing w:after="10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ID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INC-[YYYY-MM-DD-001]</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Title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P1 / P2 / P3 / P4</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 Detected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 Resolved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Duration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Commander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Detection Source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Wazuh SIEM / User report / Third party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Cause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Systems Affected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 Data Involved?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if Yes, GDPR notification required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Customers Affected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and categories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Timeline of Events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Chronological list of key actions taken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went well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could improve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Action items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with owners and due dates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IRP updates needed?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describe changes</w:t>
            </w:r>
          </w:p>
        </w:tc>
      </w:tr>
    </w:tbl>
    <w:p>
      <w:r>
        <w:br w:type="page"/>
      </w:r>
    </w:p>
    <w:p>
      <w:pPr>
        <w:pStyle w:val="Heading1"/>
        <w:pBdr>
          <w:bottom w:val="single" w:color="2E75B6" w:sz="4" w:space="1"/>
        </w:pBdr>
        <w:spacing w:after="200" w:before="400"/>
      </w:pPr>
      <w:r>
        <w:rPr>
          <w:rFonts w:ascii="Arial" w:cs="Arial" w:eastAsia="Arial" w:hAnsi="Arial"/>
          <w:b/>
          <w:bCs/>
          <w:color w:val="1F4E79"/>
          <w:sz w:val="32"/>
          <w:szCs w:val="32"/>
        </w:rPr>
        <w:t xml:space="preserve">9. Detection — Wazuh SIEM Integration</w:t>
      </w:r>
    </w:p>
    <w:p>
      <w:pPr>
        <w:spacing w:after="100" w:before="100"/>
      </w:pPr>
      <w:r>
        <w:rPr>
          <w:rFonts w:ascii="Arial" w:cs="Arial" w:eastAsia="Arial" w:hAnsi="Arial"/>
          <w:sz w:val="22"/>
          <w:szCs w:val="22"/>
        </w:rPr>
        <w:t xml:space="preserve">NovaPay uses Wazuh 4.8.2 as its primary SIEM platform for real-time threat detection and log analysis. The following table maps Wazuh alert rules to incident response actions:</w:t>
      </w:r>
    </w:p>
    <w:p>
      <w:pPr>
        <w:spacing w:after="10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500"/>
        <w:gridCol w:w="1500"/>
        <w:gridCol w:w="2826"/>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Wazuh Rule ID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Alert Description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 Level</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IR Priority</w:t>
            </w:r>
          </w:p>
        </w:tc>
        <w:tc>
          <w:tcPr>
            <w:tcW w:type="dxa" w:w="2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Immediate Action</w:t>
            </w:r>
          </w:p>
        </w:tc>
      </w:tr>
      <w:tr>
        <w:tc>
          <w:tcPr>
            <w:tcW w:type="dxa" w:w="1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19004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CIS Benchmark score below 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7</w:t>
            </w:r>
          </w:p>
        </w:tc>
        <w:tc>
          <w:tcPr>
            <w:tcW w:type="dxa" w:w="15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val="false"/>
                <w:bCs w:val="false"/>
                <w:color w:val="FF8C00"/>
                <w:sz w:val="20"/>
                <w:szCs w:val="20"/>
              </w:rPr>
              <w:t xml:space="preserve">P3 Medium</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failed CIS checks, schedule hardening</w:t>
            </w:r>
          </w:p>
        </w:tc>
      </w:tr>
      <w:tr>
        <w:tc>
          <w:tcPr>
            <w:tcW w:type="dxa" w:w="12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20"/>
                <w:szCs w:val="20"/>
              </w:rPr>
              <w:t xml:space="preserve">60106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logon success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3</w:t>
            </w:r>
          </w:p>
        </w:tc>
        <w:tc>
          <w:tcPr>
            <w:tcW w:type="dxa" w:w="15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70AD47"/>
                <w:sz w:val="20"/>
                <w:szCs w:val="20"/>
              </w:rPr>
              <w:t xml:space="preserve">P4 Low</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and baseline — alert on anomalies</w:t>
            </w:r>
          </w:p>
        </w:tc>
      </w:tr>
      <w:tr>
        <w:tc>
          <w:tcPr>
            <w:tcW w:type="dxa" w:w="1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60204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logon failure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5</w:t>
            </w:r>
          </w:p>
        </w:tc>
        <w:tc>
          <w:tcPr>
            <w:tcW w:type="dxa" w:w="15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val="false"/>
                <w:bCs w:val="false"/>
                <w:color w:val="FF8C00"/>
                <w:sz w:val="20"/>
                <w:szCs w:val="20"/>
              </w:rPr>
              <w:t xml:space="preserve">P3 Medium</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Investigate if 5+ failures — possible brute force</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40112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auth failures (brute force)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10</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FF0000"/>
                <w:sz w:val="20"/>
                <w:szCs w:val="20"/>
              </w:rPr>
              <w:t xml:space="preserve">P2 High</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 source IP, investigate target account</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550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Integrity checksum changed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7</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FF0000"/>
                <w:sz w:val="20"/>
                <w:szCs w:val="20"/>
              </w:rPr>
              <w:t xml:space="preserve">P2 High</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change was authorized, check for malware</w:t>
            </w:r>
          </w:p>
        </w:tc>
      </w:tr>
      <w:tr>
        <w:tc>
          <w:tcPr>
            <w:tcW w:type="dxa" w:w="1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20"/>
                <w:szCs w:val="20"/>
              </w:rPr>
              <w:t xml:space="preserve">657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Rootkit detection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15</w:t>
            </w:r>
          </w:p>
        </w:tc>
        <w:tc>
          <w:tcPr>
            <w:tcW w:type="dxa" w:w="15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C00000"/>
                <w:sz w:val="20"/>
                <w:szCs w:val="20"/>
              </w:rPr>
              <w:t xml:space="preserve">P1 Critical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Isolate system immediately, declare P1 incident</w:t>
            </w:r>
          </w:p>
        </w:tc>
      </w:tr>
    </w:tbl>
    <w:p>
      <w:r>
        <w:br w:type="page"/>
      </w:r>
    </w:p>
    <w:p>
      <w:pPr>
        <w:pStyle w:val="Heading1"/>
        <w:pBdr>
          <w:bottom w:val="single" w:color="2E75B6" w:sz="4" w:space="1"/>
        </w:pBdr>
        <w:spacing w:after="200" w:before="400"/>
      </w:pPr>
      <w:r>
        <w:rPr>
          <w:rFonts w:ascii="Arial" w:cs="Arial" w:eastAsia="Arial" w:hAnsi="Arial"/>
          <w:b/>
          <w:bCs/>
          <w:color w:val="1F4E79"/>
          <w:sz w:val="32"/>
          <w:szCs w:val="32"/>
        </w:rPr>
        <w:t xml:space="preserve">10. Plan Maintenance</w:t>
      </w:r>
    </w:p>
    <w:p>
      <w:pPr>
        <w:spacing w:after="100" w:before="100"/>
      </w:pPr>
      <w:r>
        <w:rPr>
          <w:rFonts w:ascii="Arial" w:cs="Arial" w:eastAsia="Arial" w:hAnsi="Arial"/>
          <w:sz w:val="22"/>
          <w:szCs w:val="22"/>
        </w:rPr>
        <w:t xml:space="preserve">This Incident Response Plan is a living document and must be maintained to remain effective.</w:t>
      </w:r>
    </w:p>
    <w:p>
      <w:pPr>
        <w:spacing w:after="10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and update plan with CISO and compliance team</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6 months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Tabletop Exercise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Simulate an incident scenario with IR team to test plan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6 months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List Update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all IR team contact details are current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Wazuh Rule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detection rules and update playbook mappings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Post-Incident Update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plan following any real incident based on lessons learned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each incident</w:t>
            </w:r>
          </w:p>
        </w:tc>
      </w:tr>
    </w:tbl>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Prepared By</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Reviewed By</w:t>
            </w:r>
          </w:p>
        </w:tc>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Approved By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Kashish Kundu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_________________</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_________________</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&amp; GRC Analyst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 ______________</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 ______________</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June 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______________</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______________</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2026-06-30T04:55:07.183Z</dcterms:created>
  <dcterms:modified xsi:type="dcterms:W3CDTF">2026-06-30T04:55:07.196Z</dcterms:modified>
</cp:coreProperties>
</file>

<file path=docProps/custom.xml><?xml version="1.0" encoding="utf-8"?>
<Properties xmlns="http://schemas.openxmlformats.org/officeDocument/2006/custom-properties" xmlns:vt="http://schemas.openxmlformats.org/officeDocument/2006/docPropsVTypes"/>
</file>