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3C00B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3C00B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3C00B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67A0D51C"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2A66B6" w:rsidRPr="002A66B6">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9F5EE7" w:rsidRPr="009F5EE7">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9F5EE7" w:rsidRPr="009F5EE7">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750B690E"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Pr="002A5C28">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Pr="002A5C28">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Pr="002A5C28">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68AADA48"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Pr="001238E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220E18" w:rsidRPr="00220E18">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220E18" w:rsidRPr="00220E18">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CF49CB" w:rsidRPr="00CF49CB">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BF2EF7" w:rsidRPr="00BF2EF7">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021A71" w:rsidRPr="00021A71">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021A71" w:rsidRPr="00021A71">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021A71" w:rsidRPr="00021A71">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36BFFCC1"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2B0639" w:rsidRPr="002B0639">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5026C4" w:rsidRPr="005026C4">
            <w:rPr>
              <w:noProof/>
              <w:lang w:val="en-IE"/>
            </w:rPr>
            <w:t>[1]</w:t>
          </w:r>
          <w:r w:rsidR="005026C4">
            <w:rPr>
              <w:lang w:val="en-IE"/>
            </w:rPr>
            <w:fldChar w:fldCharType="end"/>
          </w:r>
        </w:sdtContent>
      </w:sdt>
      <w:r w:rsidR="005026C4">
        <w:rPr>
          <w:lang w:val="en-IE"/>
        </w:rPr>
        <w:t xml:space="preserve">. </w:t>
      </w:r>
    </w:p>
    <w:p w14:paraId="15D84B47" w14:textId="00FDB381" w:rsidR="007B5650" w:rsidRPr="00E31563" w:rsidRDefault="0076489A" w:rsidP="00D20F19">
      <w:pPr>
        <w:pStyle w:val="Heading2"/>
        <w:rPr>
          <w:lang w:val="en-IE"/>
        </w:rPr>
      </w:pPr>
      <w:r>
        <w:rPr>
          <w:lang w:val="en-IE"/>
        </w:rPr>
        <w:t xml:space="preserve">1.2 </w:t>
      </w:r>
      <w:r w:rsidR="0081225D">
        <w:rPr>
          <w:lang w:val="en-IE"/>
        </w:rPr>
        <w:t>Sensing Technologies</w:t>
      </w:r>
    </w:p>
    <w:p w14:paraId="37C97003" w14:textId="409EC66C"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B0E15" w:rsidRPr="001B0E15">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F52A90" w:rsidRPr="00F52A90">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77777777" w:rsidR="000B770D" w:rsidRDefault="000B770D" w:rsidP="00731BE2">
      <w:pPr>
        <w:keepNext/>
      </w:pPr>
    </w:p>
    <w:p w14:paraId="6A65CFBB" w14:textId="77777777" w:rsidR="00AB1685" w:rsidRDefault="008D7313">
      <w:pPr>
        <w:rPr>
          <w:lang w:val="en-IE"/>
        </w:rPr>
      </w:pPr>
      <w:r>
        <w:rPr>
          <w:lang w:val="en-IE"/>
        </w:rPr>
        <w:br w:type="page"/>
      </w:r>
    </w:p>
    <w:p w14:paraId="5AAF27CD" w14:textId="629374A4" w:rsidR="00AB1685" w:rsidRDefault="002430ED" w:rsidP="00AE7D04">
      <w:pPr>
        <w:pStyle w:val="Heading1"/>
      </w:pPr>
      <w:bookmarkStart w:id="100" w:name="_Toc289745457"/>
      <w:bookmarkStart w:id="101" w:name="_Toc289745506"/>
      <w:bookmarkStart w:id="102" w:name="_Toc364749195"/>
      <w:bookmarkStart w:id="103" w:name="_Toc364749298"/>
      <w:bookmarkStart w:id="104" w:name="_Toc364749403"/>
      <w:bookmarkStart w:id="105" w:name="_Toc364749483"/>
      <w:bookmarkStart w:id="106" w:name="_Toc364749579"/>
      <w:bookmarkStart w:id="107" w:name="_Toc364749636"/>
      <w:bookmarkStart w:id="108" w:name="_Toc364749726"/>
      <w:bookmarkStart w:id="109" w:name="_Toc364749771"/>
      <w:bookmarkStart w:id="110" w:name="_Toc21339861"/>
      <w:bookmarkStart w:id="111" w:name="_Toc21340054"/>
      <w:bookmarkStart w:id="112" w:name="_Toc381620610"/>
      <w:bookmarkStart w:id="113" w:name="_Toc443488867"/>
      <w:r>
        <w:lastRenderedPageBreak/>
        <w:t>Chapter 2 - Technical Background</w:t>
      </w:r>
      <w:bookmarkEnd w:id="102"/>
      <w:bookmarkEnd w:id="103"/>
      <w:bookmarkEnd w:id="104"/>
      <w:bookmarkEnd w:id="105"/>
      <w:bookmarkEnd w:id="106"/>
      <w:bookmarkEnd w:id="107"/>
      <w:bookmarkEnd w:id="108"/>
      <w:bookmarkEnd w:id="109"/>
      <w:bookmarkEnd w:id="110"/>
      <w:bookmarkEnd w:id="111"/>
      <w:bookmarkEnd w:id="112"/>
      <w:bookmarkEnd w:id="113"/>
      <w:r w:rsidR="00AE7D04">
        <w:t xml:space="preserve"> &amp; Literature Review</w:t>
      </w:r>
    </w:p>
    <w:p w14:paraId="453FBA0B" w14:textId="722E59F9" w:rsidR="000B770D" w:rsidRP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4CB7B5F3"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630241" w:rsidRPr="00630241">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255C2D" w:rsidRPr="00255C2D">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Pr="0020690A">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445879" w:rsidRPr="00445879">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445879" w:rsidRPr="00445879">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772AC7" w:rsidRPr="00772AC7">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4C746B" w:rsidRPr="004C746B">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4944334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E466C2">
        <w:rPr>
          <w:lang w:val="en-IE"/>
        </w:rPr>
        <w:t>. This</w:t>
      </w:r>
      <w:r>
        <w:rPr>
          <w:lang w:val="en-IE"/>
        </w:rPr>
        <w:t xml:space="preserve"> </w:t>
      </w:r>
      <w:r w:rsidR="00D8164E">
        <w:rPr>
          <w:lang w:val="en-IE"/>
        </w:rPr>
        <w:t xml:space="preserve">sends an infrared beam into a scene </w:t>
      </w:r>
      <w:r w:rsidR="000846E3">
        <w:rPr>
          <w:lang w:val="en-IE"/>
        </w:rPr>
        <w:t xml:space="preserve">and recaptures it using the infrared sensor. The depth of an object can be calculated using the distance travelled by the beam.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446868" w:rsidRPr="00446868">
            <w:rPr>
              <w:noProof/>
              <w:lang w:val="en-IE"/>
            </w:rPr>
            <w:t>[1]</w:t>
          </w:r>
          <w:r w:rsidR="00446868">
            <w:rPr>
              <w:lang w:val="en-IE"/>
            </w:rPr>
            <w:fldChar w:fldCharType="end"/>
          </w:r>
        </w:sdtContent>
      </w:sdt>
      <w:r w:rsidR="00446868">
        <w:rPr>
          <w:lang w:val="en-IE"/>
        </w:rPr>
        <w:t xml:space="preserve">. </w:t>
      </w:r>
      <w:r w:rsidR="00441585">
        <w:rPr>
          <w:lang w:val="en-IE"/>
        </w:rPr>
        <w:t xml:space="preserve">The Microsoft Kinect sensor is capable of detecting twenty human body joints using a </w:t>
      </w:r>
      <w:proofErr w:type="gramStart"/>
      <w:r w:rsidR="00441585">
        <w:rPr>
          <w:lang w:val="en-IE"/>
        </w:rPr>
        <w:t>real world</w:t>
      </w:r>
      <w:proofErr w:type="gramEnd"/>
      <w:r w:rsidR="00441585">
        <w:rPr>
          <w:lang w:val="en-IE"/>
        </w:rPr>
        <w:t xml:space="preserve"> coordinate system,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 The low cost of depth sensors has contributed to a rise in its popularity as a sensing technology for HAR</w:t>
      </w:r>
      <w:r w:rsidR="00AE627C">
        <w:rPr>
          <w:lang w:val="en-IE"/>
        </w:rPr>
        <w:t xml:space="preserve">. </w:t>
      </w:r>
      <w:r w:rsidR="00A56E7C">
        <w:rPr>
          <w:lang w:val="en-IE"/>
        </w:rPr>
        <w:t xml:space="preserve"> </w:t>
      </w:r>
      <w:r w:rsidR="00AE627C">
        <w:rPr>
          <w:lang w:val="en-IE"/>
        </w:rPr>
        <w:t>S</w:t>
      </w:r>
      <w:r w:rsidR="00A56E7C">
        <w:rPr>
          <w:lang w:val="en-IE"/>
        </w:rPr>
        <w:t xml:space="preserve">o too has its high sampling rate and capability of </w:t>
      </w:r>
      <w:r w:rsidR="00AE627C">
        <w:rPr>
          <w:lang w:val="en-IE"/>
        </w:rPr>
        <w:t xml:space="preserve">combining visual and depth information. </w:t>
      </w:r>
      <w:r w:rsidR="00B00C4E">
        <w:rPr>
          <w:lang w:val="en-IE"/>
        </w:rPr>
        <w:t xml:space="preserve">Furthermore, the recognition processes appear to be far less expensive in comparison to those derived under RGB camera data. </w:t>
      </w:r>
      <w:r w:rsidR="00C970E7">
        <w:rPr>
          <w:lang w:val="en-IE"/>
        </w:rPr>
        <w:t xml:space="preserve">This said, depth sensors have so far </w:t>
      </w:r>
      <w:r w:rsidR="00C970E7">
        <w:rPr>
          <w:lang w:val="en-IE"/>
        </w:rPr>
        <w:lastRenderedPageBreak/>
        <w:t>been unable to solve the limitation of sensor viewpoint and sensor obstruction faced by the RGB camera.</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37ABC376" w14:textId="7D4341D0" w:rsidR="00AB1685" w:rsidRDefault="00C970E7">
      <w:pPr>
        <w:rPr>
          <w:lang w:val="en-IE"/>
        </w:rPr>
      </w:pPr>
      <w:r>
        <w:rPr>
          <w:lang w:val="en-IE"/>
        </w:rPr>
        <w:t xml:space="preserve">HAR via the use of wearable sensors requires only the subject wearing single or multiple wearables </w:t>
      </w:r>
      <w:r w:rsidR="00227D23">
        <w:rPr>
          <w:lang w:val="en-IE"/>
        </w:rPr>
        <w:t>on their body.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proofErr w:type="gramStart"/>
      <w:r w:rsidR="00BE7118">
        <w:rPr>
          <w:lang w:val="en-IE"/>
        </w:rPr>
        <w:t>opened up</w:t>
      </w:r>
      <w:proofErr w:type="gramEnd"/>
      <w:r w:rsidR="00BE7118">
        <w:rPr>
          <w:lang w:val="en-IE"/>
        </w:rPr>
        <w:t xml:space="preserve">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 xml:space="preserve">Additionally, wearables have the potential to act as a non-obtrusive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bookmarkStart w:id="144" w:name="_GoBack"/>
      <w:bookmarkEnd w:id="144"/>
      <w:r w:rsidR="000E2DFB">
        <w:rPr>
          <w:lang w:val="en-IE"/>
        </w:rPr>
        <w:t xml:space="preserve"> high power efficiency. </w:t>
      </w:r>
    </w:p>
    <w:p w14:paraId="537649FA" w14:textId="77777777" w:rsidR="00AB1685" w:rsidRDefault="008D7313">
      <w:pPr>
        <w:pStyle w:val="Heading3"/>
        <w:rPr>
          <w:lang w:val="en-IE"/>
        </w:rPr>
      </w:pPr>
      <w:bookmarkStart w:id="145" w:name="_Toc21339866"/>
      <w:bookmarkStart w:id="146" w:name="_Toc21340059"/>
      <w:bookmarkStart w:id="147" w:name="_Toc381620615"/>
      <w:bookmarkStart w:id="148" w:name="_Toc443488872"/>
      <w:r>
        <w:rPr>
          <w:lang w:val="en-IE"/>
        </w:rPr>
        <w:t>2.1.4 Other Headings</w:t>
      </w:r>
      <w:bookmarkEnd w:id="145"/>
      <w:bookmarkEnd w:id="146"/>
      <w:bookmarkEnd w:id="147"/>
      <w:bookmarkEnd w:id="148"/>
    </w:p>
    <w:p w14:paraId="7C00D9ED" w14:textId="77777777" w:rsidR="00AB1685" w:rsidRDefault="008D7313">
      <w:pPr>
        <w:rPr>
          <w:lang w:val="en-IE"/>
        </w:rPr>
      </w:pPr>
      <w:r>
        <w:rPr>
          <w:lang w:val="en-IE"/>
        </w:rPr>
        <w:t xml:space="preserve">Notice that in the previous chapter, un-numbered headings are also used. It is </w:t>
      </w:r>
      <w:proofErr w:type="gramStart"/>
      <w:r>
        <w:rPr>
          <w:lang w:val="en-IE"/>
        </w:rPr>
        <w:t>sufficient</w:t>
      </w:r>
      <w:proofErr w:type="gramEnd"/>
      <w:r>
        <w:rPr>
          <w:lang w:val="en-IE"/>
        </w:rPr>
        <w:t xml:space="preserve"> to use 12 point bold for these headings, where required.</w:t>
      </w:r>
    </w:p>
    <w:p w14:paraId="47B55EB2" w14:textId="77777777" w:rsidR="00AB1685" w:rsidRDefault="008D7313">
      <w:pPr>
        <w:pStyle w:val="Heading2"/>
        <w:rPr>
          <w:lang w:val="en-IE"/>
        </w:rPr>
      </w:pPr>
      <w:bookmarkStart w:id="149" w:name="_Toc21339867"/>
      <w:bookmarkStart w:id="150" w:name="_Toc21340060"/>
      <w:bookmarkStart w:id="151" w:name="_Toc381620616"/>
      <w:bookmarkStart w:id="152" w:name="_Toc443488873"/>
      <w:r>
        <w:rPr>
          <w:lang w:val="en-IE"/>
        </w:rPr>
        <w:t>2.2 Summary</w:t>
      </w:r>
      <w:bookmarkEnd w:id="149"/>
      <w:bookmarkEnd w:id="150"/>
      <w:bookmarkEnd w:id="151"/>
      <w:bookmarkEnd w:id="152"/>
    </w:p>
    <w:p w14:paraId="455CA657" w14:textId="77777777" w:rsidR="00AB1685" w:rsidRDefault="00AB1685">
      <w:pPr>
        <w:rPr>
          <w:lang w:val="en-IE"/>
        </w:rPr>
      </w:pPr>
    </w:p>
    <w:p w14:paraId="0E663438" w14:textId="77777777" w:rsidR="00AB1685" w:rsidRDefault="008D7313">
      <w:pPr>
        <w:jc w:val="center"/>
        <w:rPr>
          <w:b/>
          <w:bCs/>
          <w:sz w:val="40"/>
          <w:lang w:val="en-IE"/>
        </w:rPr>
      </w:pPr>
      <w:r>
        <w:rPr>
          <w:lang w:val="en-IE"/>
        </w:rPr>
        <w:br w:type="page"/>
      </w:r>
    </w:p>
    <w:p w14:paraId="01EE0F4E" w14:textId="77777777" w:rsidR="00AB1685" w:rsidRDefault="00B2410C" w:rsidP="009D19D0">
      <w:pPr>
        <w:pStyle w:val="Heading1"/>
      </w:pPr>
      <w:bookmarkStart w:id="153" w:name="_Toc21339868"/>
      <w:bookmarkStart w:id="154" w:name="_Toc21340061"/>
      <w:bookmarkStart w:id="155" w:name="_Toc381620617"/>
      <w:bookmarkStart w:id="156" w:name="_Toc443488874"/>
      <w:r>
        <w:lastRenderedPageBreak/>
        <w:t xml:space="preserve">Chapter 3 </w:t>
      </w:r>
      <w:r w:rsidR="008D7313">
        <w:t>- Design of …</w:t>
      </w:r>
      <w:bookmarkEnd w:id="153"/>
      <w:bookmarkEnd w:id="154"/>
      <w:bookmarkEnd w:id="155"/>
      <w:bookmarkEnd w:id="156"/>
    </w:p>
    <w:p w14:paraId="24CDD757" w14:textId="77777777" w:rsidR="00AB1685" w:rsidRDefault="00AB1685">
      <w:pPr>
        <w:rPr>
          <w:lang w:val="en-IE"/>
        </w:rPr>
      </w:pPr>
    </w:p>
    <w:p w14:paraId="07CADA56" w14:textId="77777777" w:rsidR="00AB1685" w:rsidRDefault="008D7313">
      <w:pPr>
        <w:jc w:val="center"/>
        <w:rPr>
          <w:b/>
          <w:bCs/>
          <w:sz w:val="40"/>
          <w:lang w:val="en-IE"/>
        </w:rPr>
      </w:pPr>
      <w:r>
        <w:rPr>
          <w:lang w:val="en-IE"/>
        </w:rPr>
        <w:br w:type="page"/>
      </w:r>
    </w:p>
    <w:p w14:paraId="0C26C26D" w14:textId="77777777" w:rsidR="00AB1685" w:rsidRDefault="005242D7" w:rsidP="009D19D0">
      <w:pPr>
        <w:pStyle w:val="Heading1"/>
      </w:pPr>
      <w:bookmarkStart w:id="157" w:name="_Toc21339869"/>
      <w:bookmarkStart w:id="158" w:name="_Toc21340062"/>
      <w:bookmarkStart w:id="159" w:name="_Toc381620618"/>
      <w:bookmarkStart w:id="160" w:name="_Toc443488875"/>
      <w:r>
        <w:lastRenderedPageBreak/>
        <w:t>Chapter 4</w:t>
      </w:r>
      <w:r w:rsidR="008D7313">
        <w:t xml:space="preserve">- Implementation </w:t>
      </w:r>
      <w:r>
        <w:t xml:space="preserve">and Testing </w:t>
      </w:r>
      <w:r w:rsidR="008D7313">
        <w:t>of …</w:t>
      </w:r>
      <w:bookmarkEnd w:id="157"/>
      <w:bookmarkEnd w:id="158"/>
      <w:bookmarkEnd w:id="159"/>
      <w:bookmarkEnd w:id="160"/>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61" w:name="_Toc21339870"/>
      <w:bookmarkStart w:id="162" w:name="_Toc21340063"/>
      <w:bookmarkStart w:id="163" w:name="_Toc381620619"/>
      <w:bookmarkStart w:id="164" w:name="_Toc443488876"/>
      <w:r>
        <w:lastRenderedPageBreak/>
        <w:t xml:space="preserve">Chapter 5 </w:t>
      </w:r>
      <w:r w:rsidR="008D7313">
        <w:t>- Results and Discussion</w:t>
      </w:r>
      <w:bookmarkEnd w:id="161"/>
      <w:bookmarkEnd w:id="162"/>
      <w:bookmarkEnd w:id="163"/>
      <w:bookmarkEnd w:id="164"/>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5" w:name="_Toc443488877"/>
      <w:bookmarkStart w:id="166" w:name="_Toc21339871"/>
      <w:bookmarkStart w:id="167" w:name="_Toc21340064"/>
      <w:bookmarkStart w:id="168" w:name="_Toc381620620"/>
      <w:r>
        <w:lastRenderedPageBreak/>
        <w:t>Chapter 6 – Ethics</w:t>
      </w:r>
      <w:bookmarkEnd w:id="165"/>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9" w:name="_Toc443488878"/>
      <w:r>
        <w:lastRenderedPageBreak/>
        <w:t xml:space="preserve">Chapter </w:t>
      </w:r>
      <w:r w:rsidR="002946F4">
        <w:t>7</w:t>
      </w:r>
      <w:r>
        <w:t xml:space="preserve"> </w:t>
      </w:r>
      <w:r w:rsidR="008D7313">
        <w:t>- Conclusions and Further Research</w:t>
      </w:r>
      <w:bookmarkStart w:id="170" w:name="_Toc21339872"/>
      <w:bookmarkStart w:id="171" w:name="_Toc21340065"/>
      <w:bookmarkEnd w:id="166"/>
      <w:bookmarkEnd w:id="167"/>
      <w:bookmarkEnd w:id="168"/>
      <w:bookmarkEnd w:id="169"/>
      <w:bookmarkEnd w:id="170"/>
      <w:bookmarkEnd w:id="171"/>
      <w:r w:rsidR="008D7313">
        <w:br w:type="page"/>
      </w:r>
      <w:bookmarkStart w:id="172" w:name="_Toc329664893"/>
      <w:bookmarkStart w:id="173" w:name="_Toc21339873"/>
      <w:bookmarkStart w:id="174" w:name="_Toc21340066"/>
      <w:bookmarkStart w:id="175" w:name="_Toc381620621"/>
      <w:bookmarkStart w:id="176" w:name="_Toc443488879"/>
      <w:r w:rsidR="008D7313">
        <w:lastRenderedPageBreak/>
        <w:t>References</w:t>
      </w:r>
      <w:bookmarkEnd w:id="100"/>
      <w:bookmarkEnd w:id="101"/>
      <w:bookmarkEnd w:id="172"/>
      <w:bookmarkEnd w:id="173"/>
      <w:bookmarkEnd w:id="174"/>
      <w:bookmarkEnd w:id="175"/>
      <w:bookmarkEnd w:id="176"/>
    </w:p>
    <w:p w14:paraId="24843FF1" w14:textId="68EEC78E" w:rsidR="00C554A6" w:rsidRDefault="00CA14B6" w:rsidP="00C554A6">
      <w:pPr>
        <w:ind w:left="720" w:right="26" w:hanging="720"/>
        <w:rPr>
          <w:lang w:val="en-IE"/>
        </w:rPr>
      </w:pPr>
      <w:r>
        <w:rPr>
          <w:lang w:val="en-IE"/>
        </w:rPr>
        <w:t xml:space="preserve">  </w:t>
      </w:r>
    </w:p>
    <w:p w14:paraId="6706ED53" w14:textId="77777777" w:rsidR="00C554A6"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p w14:paraId="2066A400" w14:textId="77777777" w:rsidR="00C554A6" w:rsidRDefault="00C554A6">
      <w:pPr>
        <w:divId w:val="78724035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7" w:name="_Toc21339874"/>
      <w:bookmarkStart w:id="178" w:name="_Toc21340067"/>
      <w:bookmarkStart w:id="179" w:name="_Toc381620622"/>
      <w:bookmarkStart w:id="180" w:name="_Toc443488880"/>
      <w:r>
        <w:lastRenderedPageBreak/>
        <w:t>Appendix 1</w:t>
      </w:r>
      <w:bookmarkEnd w:id="177"/>
      <w:bookmarkEnd w:id="178"/>
      <w:bookmarkEnd w:id="179"/>
      <w:bookmarkEnd w:id="180"/>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81" w:name="_Toc21339875"/>
      <w:bookmarkStart w:id="182" w:name="_Toc21340068"/>
      <w:bookmarkStart w:id="183" w:name="_Toc381620623"/>
      <w:bookmarkStart w:id="184" w:name="_Toc443488881"/>
      <w:r>
        <w:lastRenderedPageBreak/>
        <w:t>Glossary</w:t>
      </w:r>
      <w:bookmarkEnd w:id="181"/>
      <w:bookmarkEnd w:id="182"/>
      <w:bookmarkEnd w:id="183"/>
      <w:bookmarkEnd w:id="184"/>
      <w:r>
        <w:t xml:space="preserve"> </w:t>
      </w:r>
    </w:p>
    <w:p w14:paraId="4B010301" w14:textId="7A132F80" w:rsidR="008D7313" w:rsidRDefault="008D7313">
      <w:pPr>
        <w:pStyle w:val="FootnoteText"/>
        <w:spacing w:line="360" w:lineRule="auto"/>
        <w:rPr>
          <w:lang w:val="en-IE"/>
        </w:rPr>
      </w:pPr>
    </w:p>
    <w:sectPr w:rsidR="008D7313">
      <w:footerReference w:type="default" r:id="rId14"/>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95700" w14:textId="77777777" w:rsidR="002947E6" w:rsidRDefault="002947E6">
      <w:pPr>
        <w:spacing w:line="240" w:lineRule="auto"/>
      </w:pPr>
      <w:r>
        <w:separator/>
      </w:r>
    </w:p>
  </w:endnote>
  <w:endnote w:type="continuationSeparator" w:id="0">
    <w:p w14:paraId="63DB8E38" w14:textId="77777777" w:rsidR="002947E6" w:rsidRDefault="00294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3C00B6" w:rsidRDefault="003C0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3C00B6" w:rsidRDefault="003C00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3C00B6" w:rsidRDefault="003C0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3C00B6" w:rsidRDefault="003C00B6">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3C00B6" w:rsidRDefault="003C0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3C00B6" w:rsidRDefault="003C00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9BCDE" w14:textId="77777777" w:rsidR="002947E6" w:rsidRDefault="002947E6">
      <w:r>
        <w:separator/>
      </w:r>
    </w:p>
  </w:footnote>
  <w:footnote w:type="continuationSeparator" w:id="0">
    <w:p w14:paraId="14328469" w14:textId="77777777" w:rsidR="002947E6" w:rsidRDefault="0029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3C00B6" w:rsidRDefault="003C00B6">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21A71"/>
    <w:rsid w:val="00030B5E"/>
    <w:rsid w:val="000600C3"/>
    <w:rsid w:val="000846E3"/>
    <w:rsid w:val="000A5237"/>
    <w:rsid w:val="000B770D"/>
    <w:rsid w:val="000E2DFB"/>
    <w:rsid w:val="001238EF"/>
    <w:rsid w:val="00125ED5"/>
    <w:rsid w:val="001B0E15"/>
    <w:rsid w:val="001D3F2C"/>
    <w:rsid w:val="0020690A"/>
    <w:rsid w:val="00220E18"/>
    <w:rsid w:val="00227D23"/>
    <w:rsid w:val="00234C9B"/>
    <w:rsid w:val="002350A4"/>
    <w:rsid w:val="00237539"/>
    <w:rsid w:val="002430ED"/>
    <w:rsid w:val="00255C2D"/>
    <w:rsid w:val="002946F4"/>
    <w:rsid w:val="002947E6"/>
    <w:rsid w:val="002A5C28"/>
    <w:rsid w:val="002A63DB"/>
    <w:rsid w:val="002A66B6"/>
    <w:rsid w:val="002B0639"/>
    <w:rsid w:val="002D30D3"/>
    <w:rsid w:val="002E1A0B"/>
    <w:rsid w:val="002F03AE"/>
    <w:rsid w:val="00347873"/>
    <w:rsid w:val="0035175B"/>
    <w:rsid w:val="003A6288"/>
    <w:rsid w:val="003C00B6"/>
    <w:rsid w:val="00417178"/>
    <w:rsid w:val="00430A35"/>
    <w:rsid w:val="00441585"/>
    <w:rsid w:val="0044396E"/>
    <w:rsid w:val="0044449B"/>
    <w:rsid w:val="004449CF"/>
    <w:rsid w:val="00445879"/>
    <w:rsid w:val="00446868"/>
    <w:rsid w:val="00481749"/>
    <w:rsid w:val="004A2EFC"/>
    <w:rsid w:val="004C746B"/>
    <w:rsid w:val="004C7BD7"/>
    <w:rsid w:val="004E2AF6"/>
    <w:rsid w:val="005026C4"/>
    <w:rsid w:val="005242D7"/>
    <w:rsid w:val="0053345B"/>
    <w:rsid w:val="00534C82"/>
    <w:rsid w:val="00594633"/>
    <w:rsid w:val="005A4373"/>
    <w:rsid w:val="005D45F1"/>
    <w:rsid w:val="005E4CA8"/>
    <w:rsid w:val="00623C14"/>
    <w:rsid w:val="006250EE"/>
    <w:rsid w:val="00630241"/>
    <w:rsid w:val="00642522"/>
    <w:rsid w:val="006751EE"/>
    <w:rsid w:val="00692349"/>
    <w:rsid w:val="006F05AD"/>
    <w:rsid w:val="00705E11"/>
    <w:rsid w:val="0072414B"/>
    <w:rsid w:val="00731BE2"/>
    <w:rsid w:val="0076489A"/>
    <w:rsid w:val="00772AC7"/>
    <w:rsid w:val="007B35D1"/>
    <w:rsid w:val="007B5650"/>
    <w:rsid w:val="007D67EE"/>
    <w:rsid w:val="00806FE9"/>
    <w:rsid w:val="0081225D"/>
    <w:rsid w:val="00813382"/>
    <w:rsid w:val="00842298"/>
    <w:rsid w:val="008D7313"/>
    <w:rsid w:val="008E69B3"/>
    <w:rsid w:val="00907954"/>
    <w:rsid w:val="009247A9"/>
    <w:rsid w:val="0094160C"/>
    <w:rsid w:val="009674D0"/>
    <w:rsid w:val="00967C52"/>
    <w:rsid w:val="009D19D0"/>
    <w:rsid w:val="009F5EE7"/>
    <w:rsid w:val="00A56E7C"/>
    <w:rsid w:val="00A8098F"/>
    <w:rsid w:val="00AA4D2B"/>
    <w:rsid w:val="00AB1685"/>
    <w:rsid w:val="00AE627C"/>
    <w:rsid w:val="00AE7D04"/>
    <w:rsid w:val="00B00C4E"/>
    <w:rsid w:val="00B04036"/>
    <w:rsid w:val="00B2410C"/>
    <w:rsid w:val="00B40221"/>
    <w:rsid w:val="00B74D1D"/>
    <w:rsid w:val="00B834D4"/>
    <w:rsid w:val="00BB67DE"/>
    <w:rsid w:val="00BC1BC1"/>
    <w:rsid w:val="00BE7118"/>
    <w:rsid w:val="00BF2EF7"/>
    <w:rsid w:val="00C203C2"/>
    <w:rsid w:val="00C554A6"/>
    <w:rsid w:val="00C970E7"/>
    <w:rsid w:val="00CA14B6"/>
    <w:rsid w:val="00CB13AB"/>
    <w:rsid w:val="00CF49CB"/>
    <w:rsid w:val="00D20F19"/>
    <w:rsid w:val="00D77EAE"/>
    <w:rsid w:val="00D8164E"/>
    <w:rsid w:val="00D95DC0"/>
    <w:rsid w:val="00E31563"/>
    <w:rsid w:val="00E466C2"/>
    <w:rsid w:val="00E91C58"/>
    <w:rsid w:val="00EA0D32"/>
    <w:rsid w:val="00EA1E70"/>
    <w:rsid w:val="00F140F6"/>
    <w:rsid w:val="00F246DE"/>
    <w:rsid w:val="00F52A90"/>
    <w:rsid w:val="00F55E17"/>
    <w:rsid w:val="00F76DDD"/>
    <w:rsid w:val="00FA67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s>
</file>

<file path=customXml/itemProps1.xml><?xml version="1.0" encoding="utf-8"?>
<ds:datastoreItem xmlns:ds="http://schemas.openxmlformats.org/officeDocument/2006/customXml" ds:itemID="{22045AA3-5801-4D2D-89A8-9DE8F8B358D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17</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11810</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43</cp:revision>
  <cp:lastPrinted>2002-10-04T14:24:00Z</cp:lastPrinted>
  <dcterms:created xsi:type="dcterms:W3CDTF">2019-03-05T20:30:00Z</dcterms:created>
  <dcterms:modified xsi:type="dcterms:W3CDTF">2019-03-21T19:24:00Z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