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13.png" ContentType="image/png"/>
  <Override PartName="/word/media/rId17.png" ContentType="image/png"/>
  <Override PartName="/word/media/rId21.png" ContentType="image/png"/>
  <Override PartName="/word/media/rId31.png" ContentType="image/png"/>
  <Override PartName="/word/media/rId38.png" ContentType="image/png"/>
  <Override PartName="/word/media/rId42.png" ContentType="image/png"/>
  <Override PartName="/word/media/rId52.png" ContentType="image/png"/>
  <Override PartName="/word/media/rId59.png" ContentType="image/png"/>
  <Override PartName="/word/media/rId45.png" ContentType="image/png"/>
  <Override PartName="/word/media/rId48.png" ContentType="image/png"/>
  <Override PartName="/word/media/rId24.png" ContentType="image/png"/>
  <Override PartName="/word/media/rId55.png" ContentType="image/png"/>
  <Override PartName="/word/media/rId3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6</w:t>
      </w:r>
    </w:p>
    <w:p>
      <w:pPr>
        <w:pStyle w:val="Subtitle"/>
      </w:pPr>
      <w:r>
        <w:t xml:space="preserve">Реализация модели SIR в подходе сетей Петри</w:t>
      </w:r>
    </w:p>
    <w:p>
      <w:pPr>
        <w:pStyle w:val="Author"/>
      </w:pPr>
      <w:r>
        <w:t xml:space="preserve">Нечаева Кира Андреевна</w:t>
      </w:r>
    </w:p>
    <w:p>
      <w:pPr>
        <w:pStyle w:val="Date"/>
      </w:pPr>
      <w:r>
        <w:t xml:space="preserve">2026-10-08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лабораторной работы — реализовать эпидемиологическую модель SIR средствами сетей Петри и исследовать её поведение при детерминированном и стохастическом моделировании.</w:t>
      </w:r>
    </w:p>
    <w:p>
      <w:pPr>
        <w:pStyle w:val="BodyText"/>
      </w:pPr>
      <w:r>
        <w:t xml:space="preserve">В модели используются три состояния: восприимчивые</w:t>
      </w:r>
      <w:r>
        <w:t xml:space="preserve"> </w:t>
      </w:r>
      <w:r>
        <w:rPr>
          <w:rStyle w:val="VerbatimChar"/>
        </w:rPr>
        <w:t xml:space="preserve">S</w:t>
      </w:r>
      <w:r>
        <w:t xml:space="preserve">, инфицированные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 выздоровевшие</w:t>
      </w:r>
      <w:r>
        <w:t xml:space="preserve"> </w:t>
      </w:r>
      <w:r>
        <w:rPr>
          <w:rStyle w:val="VerbatimChar"/>
        </w:rPr>
        <w:t xml:space="preserve">R</w:t>
      </w:r>
      <w:r>
        <w:t xml:space="preserve">. Переход</w:t>
      </w:r>
      <w:r>
        <w:t xml:space="preserve"> </w:t>
      </w:r>
      <w:r>
        <w:rPr>
          <w:rStyle w:val="VerbatimChar"/>
        </w:rPr>
        <w:t xml:space="preserve">infection</w:t>
      </w:r>
      <w:r>
        <w:t xml:space="preserve"> </w:t>
      </w:r>
      <w:r>
        <w:t xml:space="preserve">моделирует заражение, а переход</w:t>
      </w:r>
      <w:r>
        <w:t xml:space="preserve"> </w:t>
      </w:r>
      <w:r>
        <w:rPr>
          <w:rStyle w:val="VerbatimChar"/>
        </w:rPr>
        <w:t xml:space="preserve">recovery</w:t>
      </w:r>
      <w:r>
        <w:t xml:space="preserve"> </w:t>
      </w:r>
      <w:r>
        <w:t xml:space="preserve">— выздоровление.</w:t>
      </w:r>
    </w:p>
    <w:p>
      <w:pPr>
        <w:pStyle w:val="BodyText"/>
      </w:pPr>
      <w:r>
        <w:t xml:space="preserve">Дополнительно исследуется влияние коэффициента заражения, строится анимация динамики модели и проводится расчёт для набора параметров.</w:t>
      </w:r>
    </w:p>
    <w:bookmarkEnd w:id="9"/>
    <w:bookmarkStart w:id="16" w:name="подготовка-рабочего-окружения"/>
    <w:p>
      <w:pPr>
        <w:pStyle w:val="Heading1"/>
      </w:pPr>
      <w:r>
        <w:t xml:space="preserve">2. Подготовка рабочего окружения</w:t>
      </w:r>
    </w:p>
    <w:p>
      <w:pPr>
        <w:pStyle w:val="FirstParagraph"/>
      </w:pPr>
      <w:r>
        <w:t xml:space="preserve">Работа выполнялась в Ubuntu через WSL. Проект расположен в общем репозитории лабораторных работ и ведётся в ветке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pStyle w:val="CaptionedFigure"/>
      </w:pPr>
      <w:r>
        <w:drawing>
          <wp:inline>
            <wp:extent cx="5067300" cy="2395450"/>
            <wp:effectExtent b="0" l="0" r="0" t="0"/>
            <wp:docPr descr="Начальное состояние Git и удалённые репозитории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39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Начальное состояние Git и удалённые репозитории</w:t>
      </w:r>
    </w:p>
    <w:p>
      <w:pPr>
        <w:pStyle w:val="BodyText"/>
      </w:pPr>
      <w:r>
        <w:t xml:space="preserve">Для работы были установлены библиотеки</w:t>
      </w:r>
      <w:r>
        <w:t xml:space="preserve"> </w:t>
      </w:r>
      <w:r>
        <w:rPr>
          <w:rStyle w:val="VerbatimChar"/>
        </w:rPr>
        <w:t xml:space="preserve">AlgebraicPetri</w:t>
      </w:r>
      <w:r>
        <w:t xml:space="preserve">,</w:t>
      </w:r>
      <w:r>
        <w:t xml:space="preserve"> </w:t>
      </w:r>
      <w:r>
        <w:rPr>
          <w:rStyle w:val="VerbatimChar"/>
        </w:rPr>
        <w:t xml:space="preserve">Catlab</w:t>
      </w:r>
      <w:r>
        <w:t xml:space="preserve">,</w:t>
      </w:r>
      <w:r>
        <w:t xml:space="preserve"> </w:t>
      </w:r>
      <w:r>
        <w:rPr>
          <w:rStyle w:val="VerbatimChar"/>
        </w:rPr>
        <w:t xml:space="preserve">OrdinaryDiffEq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CSV</w:t>
      </w:r>
      <w:r>
        <w:t xml:space="preserve">, а также средства литературного программирования и Jupyter Notebook.</w:t>
      </w:r>
    </w:p>
    <w:p>
      <w:pPr>
        <w:pStyle w:val="CaptionedFigure"/>
      </w:pPr>
      <w:r>
        <w:drawing>
          <wp:inline>
            <wp:extent cx="5067300" cy="3511455"/>
            <wp:effectExtent b="0" l="0" r="0" t="0"/>
            <wp:docPr descr="Проверка рабочего окружения" title="" id="14" name="Picture"/>
            <a:graphic>
              <a:graphicData uri="http://schemas.openxmlformats.org/drawingml/2006/picture">
                <pic:pic>
                  <pic:nvPicPr>
                    <pic:cNvPr descr="image/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511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рабочего окружения</w:t>
      </w:r>
    </w:p>
    <w:bookmarkEnd w:id="16"/>
    <w:bookmarkStart w:id="20" w:name="реализация-сети-петри-sir"/>
    <w:p>
      <w:pPr>
        <w:pStyle w:val="Heading1"/>
      </w:pPr>
      <w:r>
        <w:t xml:space="preserve">3. Реализация сети Петри SIR</w:t>
      </w:r>
    </w:p>
    <w:p>
      <w:pPr>
        <w:pStyle w:val="FirstParagraph"/>
      </w:pPr>
      <w:r>
        <w:t xml:space="preserve">Для модели определены три состояния: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</w:t>
      </w:r>
      <w:r>
        <w:t xml:space="preserve"> </w:t>
      </w:r>
      <w:r>
        <w:t xml:space="preserve">— восприимчивые;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— инфицированные;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— выздоровевшие.</w:t>
      </w:r>
    </w:p>
    <w:p>
      <w:pPr>
        <w:pStyle w:val="FirstParagraph"/>
      </w:pPr>
      <w:r>
        <w:t xml:space="preserve">Используются два перехода: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infection</w:t>
      </w:r>
      <w:r>
        <w:t xml:space="preserve">: заражение восприимчивого при взаимодействии с инфицированным;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recovery</w:t>
      </w:r>
      <w:r>
        <w:t xml:space="preserve">: переход инфицированного в состояние выздоровления.</w:t>
      </w:r>
    </w:p>
    <w:p>
      <w:pPr>
        <w:pStyle w:val="FirstParagraph"/>
      </w:pPr>
      <w:r>
        <w:t xml:space="preserve">Начальная маркировка задаётся как:</w:t>
      </w:r>
    </w:p>
    <w:p>
      <w:pPr>
        <w:pStyle w:val="BodyText"/>
      </w:pPr>
      <w:r>
        <w:rPr>
          <w:rStyle w:val="VerbatimChar"/>
        </w:rPr>
        <w:t xml:space="preserve">S = 990</w:t>
      </w:r>
      <w:r>
        <w:t xml:space="preserve">,</w:t>
      </w:r>
      <w:r>
        <w:t xml:space="preserve"> </w:t>
      </w:r>
      <w:r>
        <w:rPr>
          <w:rStyle w:val="VerbatimChar"/>
        </w:rPr>
        <w:t xml:space="preserve">I = 10</w:t>
      </w:r>
      <w:r>
        <w:t xml:space="preserve">,</w:t>
      </w:r>
      <w:r>
        <w:t xml:space="preserve"> </w:t>
      </w:r>
      <w:r>
        <w:rPr>
          <w:rStyle w:val="VerbatimChar"/>
        </w:rPr>
        <w:t xml:space="preserve">R = 0</w:t>
      </w:r>
      <w:r>
        <w:t xml:space="preserve">.</w:t>
      </w:r>
    </w:p>
    <w:p>
      <w:pPr>
        <w:pStyle w:val="BodyText"/>
      </w:pPr>
      <w:r>
        <w:t xml:space="preserve">Перед основными экспериментами была выполнена отдельная проверка построения сети, детерминированной и стохастической функций.</w:t>
      </w:r>
    </w:p>
    <w:p>
      <w:pPr>
        <w:pStyle w:val="CaptionedFigure"/>
      </w:pPr>
      <w:r>
        <w:drawing>
          <wp:inline>
            <wp:extent cx="5067300" cy="2506696"/>
            <wp:effectExtent b="0" l="0" r="0" t="0"/>
            <wp:docPr descr="Проверка ядра SIR-сети Петри" title="" id="18" name="Picture"/>
            <a:graphic>
              <a:graphicData uri="http://schemas.openxmlformats.org/drawingml/2006/picture">
                <pic:pic>
                  <pic:nvPicPr>
                    <pic:cNvPr descr="image/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506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ядра SIR-сети Петри</w:t>
      </w:r>
    </w:p>
    <w:p>
      <w:pPr>
        <w:pStyle w:val="BodyText"/>
      </w:pPr>
      <w:r>
        <w:t xml:space="preserve">В стохастической версии дополнительно контролируется сохранение общей численности населения.</w:t>
      </w:r>
    </w:p>
    <w:bookmarkEnd w:id="20"/>
    <w:bookmarkStart w:id="30" w:name="базовый-эксперимент"/>
    <w:p>
      <w:pPr>
        <w:pStyle w:val="Heading1"/>
      </w:pPr>
      <w:r>
        <w:t xml:space="preserve">4. Базовый эксперимент</w:t>
      </w:r>
    </w:p>
    <w:p>
      <w:pPr>
        <w:pStyle w:val="FirstParagraph"/>
      </w:pPr>
      <w:r>
        <w:t xml:space="preserve">Для базового эксперимента использовались параметры: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β = 0.3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γ = 0.1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tmax = 100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seed = 123</w:t>
      </w:r>
      <w:r>
        <w:t xml:space="preserve">.</w:t>
      </w:r>
    </w:p>
    <w:p>
      <w:pPr>
        <w:pStyle w:val="FirstParagraph"/>
      </w:pPr>
      <w:r>
        <w:t xml:space="preserve">Для одной и той же сети выполняются два вида моделирования.</w:t>
      </w:r>
    </w:p>
    <w:p>
      <w:pPr>
        <w:pStyle w:val="BodyText"/>
      </w:pPr>
      <w:r>
        <w:t xml:space="preserve">Детерминированный вариант решает систему обыкновенных дифференциальных уравнений и даёт непрерывную усреднённую динамику.</w:t>
      </w:r>
    </w:p>
    <w:p>
      <w:pPr>
        <w:pStyle w:val="BodyText"/>
      </w:pPr>
      <w:r>
        <w:t xml:space="preserve">Стохастический вариант использует прямой алгоритм Гиллеспи, в котором каждое заражение или выздоровление является отдельным случайным событием.</w:t>
      </w:r>
    </w:p>
    <w:p>
      <w:pPr>
        <w:pStyle w:val="CaptionedFigure"/>
      </w:pPr>
      <w:r>
        <w:drawing>
          <wp:inline>
            <wp:extent cx="5067300" cy="3494314"/>
            <wp:effectExtent b="0" l="0" r="0" t="0"/>
            <wp:docPr descr="Результаты базового эксперимента" title="" id="22" name="Picture"/>
            <a:graphic>
              <a:graphicData uri="http://schemas.openxmlformats.org/drawingml/2006/picture">
                <pic:pic>
                  <pic:nvPicPr>
                    <pic:cNvPr descr="image/4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494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базового эксперимента</w:t>
      </w:r>
    </w:p>
    <w:p>
      <w:pPr>
        <w:pStyle w:val="BodyText"/>
      </w:pPr>
      <w:r>
        <w:t xml:space="preserve">Для обеих траекторий программа автоматически определяет величину пика инфицированных и время достижения максимума.</w:t>
      </w:r>
    </w:p>
    <w:p>
      <w:pPr>
        <w:pStyle w:val="CaptionedFigure"/>
      </w:pPr>
      <w:r>
        <w:drawing>
          <wp:inline>
            <wp:extent cx="4800600" cy="3200400"/>
            <wp:effectExtent b="0" l="0" r="0" t="0"/>
            <wp:docPr descr="Детерминированная динамика SIR" title="" id="25" name="Picture"/>
            <a:graphic>
              <a:graphicData uri="http://schemas.openxmlformats.org/drawingml/2006/picture">
                <pic:pic>
                  <pic:nvPicPr>
                    <pic:cNvPr descr="image/plots/sir_det_dynamic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Детерминированная динамика SIR</w:t>
      </w:r>
    </w:p>
    <w:p>
      <w:pPr>
        <w:pStyle w:val="CaptionedFigure"/>
      </w:pPr>
      <w:r>
        <w:drawing>
          <wp:inline>
            <wp:extent cx="4800600" cy="3200400"/>
            <wp:effectExtent b="0" l="0" r="0" t="0"/>
            <wp:docPr descr="Стохастическая динамика SIR" title="" id="28" name="Picture"/>
            <a:graphic>
              <a:graphicData uri="http://schemas.openxmlformats.org/drawingml/2006/picture">
                <pic:pic>
                  <pic:nvPicPr>
                    <pic:cNvPr descr="image/plots/sir_stoch_dynamic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Стохастическая динамика SIR</w:t>
      </w:r>
    </w:p>
    <w:bookmarkEnd w:id="30"/>
    <w:bookmarkStart w:id="37" w:name="исследование-коэффициента-заражения"/>
    <w:p>
      <w:pPr>
        <w:pStyle w:val="Heading1"/>
      </w:pPr>
      <w:r>
        <w:t xml:space="preserve">5. Исследование коэффициента заражения</w:t>
      </w:r>
    </w:p>
    <w:p>
      <w:pPr>
        <w:pStyle w:val="FirstParagraph"/>
      </w:pPr>
      <w:r>
        <w:t xml:space="preserve">Для анализа чувствительности модели коэффициент выздоровления фиксировался:</w:t>
      </w:r>
    </w:p>
    <w:p>
      <w:pPr>
        <w:pStyle w:val="BodyText"/>
      </w:pPr>
      <w:r>
        <w:rPr>
          <w:rStyle w:val="VerbatimChar"/>
        </w:rPr>
        <w:t xml:space="preserve">γ = 0.1</w:t>
      </w:r>
      <w:r>
        <w:t xml:space="preserve">.</w:t>
      </w:r>
    </w:p>
    <w:p>
      <w:pPr>
        <w:pStyle w:val="BodyText"/>
      </w:pPr>
      <w:r>
        <w:t xml:space="preserve">Коэффициент заражения изменялся в диапазоне:</w:t>
      </w:r>
    </w:p>
    <w:p>
      <w:pPr>
        <w:pStyle w:val="BodyText"/>
      </w:pPr>
      <w:r>
        <w:rPr>
          <w:rStyle w:val="VerbatimChar"/>
        </w:rPr>
        <w:t xml:space="preserve">β = 0.1 : 0.05 : 0.8</w:t>
      </w:r>
      <w:r>
        <w:t xml:space="preserve">.</w:t>
      </w:r>
    </w:p>
    <w:p>
      <w:pPr>
        <w:pStyle w:val="BodyText"/>
      </w:pPr>
      <w:r>
        <w:t xml:space="preserve">Для каждого значения выполнялась самостоятельная детерминированная симуляция.</w:t>
      </w:r>
    </w:p>
    <w:p>
      <w:pPr>
        <w:pStyle w:val="BodyText"/>
      </w:pPr>
      <w:r>
        <w:t xml:space="preserve">Программно рассчитывались:</w:t>
      </w:r>
    </w:p>
    <w:p>
      <w:pPr>
        <w:pStyle w:val="Compact"/>
        <w:numPr>
          <w:ilvl w:val="0"/>
          <w:numId w:val="1004"/>
        </w:numPr>
      </w:pPr>
      <w:r>
        <w:t xml:space="preserve">максимальное число инфицированных;</w:t>
      </w:r>
    </w:p>
    <w:p>
      <w:pPr>
        <w:pStyle w:val="Compact"/>
        <w:numPr>
          <w:ilvl w:val="0"/>
          <w:numId w:val="1004"/>
        </w:numPr>
      </w:pPr>
      <w:r>
        <w:t xml:space="preserve">время пика;</w:t>
      </w:r>
    </w:p>
    <w:p>
      <w:pPr>
        <w:pStyle w:val="Compact"/>
        <w:numPr>
          <w:ilvl w:val="0"/>
          <w:numId w:val="1004"/>
        </w:numPr>
      </w:pPr>
      <w:r>
        <w:t xml:space="preserve">итоговое число выздоровевших.</w:t>
      </w:r>
    </w:p>
    <w:p>
      <w:pPr>
        <w:pStyle w:val="CaptionedFigure"/>
      </w:pPr>
      <w:r>
        <w:drawing>
          <wp:inline>
            <wp:extent cx="5067300" cy="3539498"/>
            <wp:effectExtent b="0" l="0" r="0" t="0"/>
            <wp:docPr descr="Выполнение серии расчётов для различных β" title="" id="32" name="Picture"/>
            <a:graphic>
              <a:graphicData uri="http://schemas.openxmlformats.org/drawingml/2006/picture">
                <pic:pic>
                  <pic:nvPicPr>
                    <pic:cNvPr descr="image/5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539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серии расчётов для различных β</w:t>
      </w:r>
    </w:p>
    <w:p>
      <w:pPr>
        <w:pStyle w:val="BodyText"/>
      </w:pPr>
      <w:r>
        <w:t xml:space="preserve">Всего было рассчитано 15 вариантов модели.</w:t>
      </w:r>
    </w:p>
    <w:p>
      <w:pPr>
        <w:pStyle w:val="CaptionedFigure"/>
      </w:pPr>
      <w:r>
        <w:drawing>
          <wp:inline>
            <wp:extent cx="4800600" cy="3200400"/>
            <wp:effectExtent b="0" l="0" r="0" t="0"/>
            <wp:docPr descr="Чувствительность модели к коэффициенту β" title="" id="35" name="Picture"/>
            <a:graphic>
              <a:graphicData uri="http://schemas.openxmlformats.org/drawingml/2006/picture">
                <pic:pic>
                  <pic:nvPicPr>
                    <pic:cNvPr descr="image/plots/sir_sca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Чувствительность модели к коэффициенту β</w:t>
      </w:r>
    </w:p>
    <w:bookmarkEnd w:id="37"/>
    <w:bookmarkStart w:id="41" w:name="анимация-динамики"/>
    <w:p>
      <w:pPr>
        <w:pStyle w:val="Heading1"/>
      </w:pPr>
      <w:r>
        <w:t xml:space="preserve">6. Анимация динамики</w:t>
      </w:r>
    </w:p>
    <w:p>
      <w:pPr>
        <w:pStyle w:val="FirstParagraph"/>
      </w:pPr>
      <w:r>
        <w:t xml:space="preserve">Для динамической визуализации была создана GIF-анимация изменения состояний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p>
      <w:pPr>
        <w:pStyle w:val="BodyText"/>
      </w:pPr>
      <w:r>
        <w:t xml:space="preserve">Сначала детерминированная траектория рассчитывалась с небольшим шагом сохранения. Затем для анимации использовалась часть рассчитанных точек, что позволяет уменьшить размер GIF без повторного вычисления модели.</w:t>
      </w:r>
    </w:p>
    <w:p>
      <w:pPr>
        <w:pStyle w:val="CaptionedFigure"/>
      </w:pPr>
      <w:r>
        <w:drawing>
          <wp:inline>
            <wp:extent cx="5067300" cy="1655067"/>
            <wp:effectExtent b="0" l="0" r="0" t="0"/>
            <wp:docPr descr="Создание GIF-анимации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655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GIF-анимации</w:t>
      </w:r>
    </w:p>
    <w:p>
      <w:pPr>
        <w:pStyle w:val="BodyText"/>
      </w:pPr>
      <w:r>
        <w:t xml:space="preserve">Файл сохранён как:</w:t>
      </w:r>
    </w:p>
    <w:p>
      <w:pPr>
        <w:pStyle w:val="BodyText"/>
      </w:pPr>
      <w:r>
        <w:rPr>
          <w:rStyle w:val="VerbatimChar"/>
        </w:rPr>
        <w:t xml:space="preserve">image/plots/sir_animation.gif</w:t>
      </w:r>
      <w:r>
        <w:t xml:space="preserve">.</w:t>
      </w:r>
    </w:p>
    <w:bookmarkEnd w:id="41"/>
    <w:bookmarkStart w:id="51" w:name="итоговый-сравнительный-анализ"/>
    <w:p>
      <w:pPr>
        <w:pStyle w:val="Heading1"/>
      </w:pPr>
      <w:r>
        <w:t xml:space="preserve">7. Итоговый сравнительный анализ</w:t>
      </w:r>
    </w:p>
    <w:p>
      <w:pPr>
        <w:pStyle w:val="FirstParagraph"/>
      </w:pPr>
      <w:r>
        <w:t xml:space="preserve">Итоговый анализ выполнялся на основе уже сохранённых CSV-файлов.</w:t>
      </w:r>
    </w:p>
    <w:p>
      <w:pPr>
        <w:pStyle w:val="BodyText"/>
      </w:pPr>
      <w:r>
        <w:t xml:space="preserve">Повторный запуск модели здесь не требуется.</w:t>
      </w:r>
    </w:p>
    <w:p>
      <w:pPr>
        <w:pStyle w:val="BodyText"/>
      </w:pPr>
      <w:r>
        <w:t xml:space="preserve">Используются: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sir_det.csv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sir_stoch.csv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sir_scan.csv</w:t>
      </w:r>
      <w:r>
        <w:t xml:space="preserve">.</w:t>
      </w:r>
    </w:p>
    <w:p>
      <w:pPr>
        <w:pStyle w:val="FirstParagraph"/>
      </w:pPr>
      <w:r>
        <w:t xml:space="preserve">Сначала сравнивается динамика инфицированных в детерминированной и стохастической моделях.</w:t>
      </w:r>
    </w:p>
    <w:p>
      <w:pPr>
        <w:pStyle w:val="BodyText"/>
      </w:pPr>
      <w:r>
        <w:t xml:space="preserve">Затем отдельно строится зависимость максимального числа инфицированных от коэффициента заражения.</w:t>
      </w:r>
    </w:p>
    <w:p>
      <w:pPr>
        <w:pStyle w:val="CaptionedFigure"/>
      </w:pPr>
      <w:r>
        <w:drawing>
          <wp:inline>
            <wp:extent cx="5067300" cy="1150676"/>
            <wp:effectExtent b="0" l="0" r="0" t="0"/>
            <wp:docPr descr="Формирование итоговых графиков" title="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150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Формирование итоговых графиков</w:t>
      </w:r>
    </w:p>
    <w:p>
      <w:pPr>
        <w:pStyle w:val="CaptionedFigure"/>
      </w:pPr>
      <w:r>
        <w:drawing>
          <wp:inline>
            <wp:extent cx="4800600" cy="3200400"/>
            <wp:effectExtent b="0" l="0" r="0" t="0"/>
            <wp:docPr descr="Сравнение детерминированной и стохастической динамики" title="" id="46" name="Picture"/>
            <a:graphic>
              <a:graphicData uri="http://schemas.openxmlformats.org/drawingml/2006/picture">
                <pic:pic>
                  <pic:nvPicPr>
                    <pic:cNvPr descr="image/plots/comparison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детерминированной и стохастической динамики</w:t>
      </w:r>
    </w:p>
    <w:p>
      <w:pPr>
        <w:pStyle w:val="CaptionedFigure"/>
      </w:pPr>
      <w:r>
        <w:drawing>
          <wp:inline>
            <wp:extent cx="4800600" cy="3200400"/>
            <wp:effectExtent b="0" l="0" r="0" t="0"/>
            <wp:docPr descr="Чувствительность пика инфицированных к β" title="" id="49" name="Picture"/>
            <a:graphic>
              <a:graphicData uri="http://schemas.openxmlformats.org/drawingml/2006/picture">
                <pic:pic>
                  <pic:nvPicPr>
                    <pic:cNvPr descr="image/plots/sensitivity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Чувствительность пика инфицированных к β</w:t>
      </w:r>
    </w:p>
    <w:bookmarkEnd w:id="51"/>
    <w:bookmarkStart w:id="58" w:name="параметрическое-исследование"/>
    <w:p>
      <w:pPr>
        <w:pStyle w:val="Heading1"/>
      </w:pPr>
      <w:r>
        <w:t xml:space="preserve">8. Параметрическое исследование</w:t>
      </w:r>
    </w:p>
    <w:p>
      <w:pPr>
        <w:pStyle w:val="FirstParagraph"/>
      </w:pPr>
      <w:r>
        <w:t xml:space="preserve">В дополнительной версии программы исследуется совместное влияние двух параметров модели:</w:t>
      </w:r>
    </w:p>
    <w:p>
      <w:pPr>
        <w:pStyle w:val="Compact"/>
        <w:numPr>
          <w:ilvl w:val="0"/>
          <w:numId w:val="1006"/>
        </w:numPr>
      </w:pPr>
      <w:r>
        <w:t xml:space="preserve">коэффициента заражения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коэффициента выздоровления</w:t>
      </w:r>
      <w:r>
        <w:t xml:space="preserve"> </w:t>
      </w:r>
      <w:r>
        <w:rPr>
          <w:rStyle w:val="VerbatimChar"/>
        </w:rPr>
        <w:t xml:space="preserve">γ</w:t>
      </w:r>
      <w:r>
        <w:t xml:space="preserve">.</w:t>
      </w:r>
    </w:p>
    <w:p>
      <w:pPr>
        <w:pStyle w:val="FirstParagraph"/>
      </w:pPr>
      <w:r>
        <w:t xml:space="preserve">Использовались значения:</w:t>
      </w:r>
    </w:p>
    <w:p>
      <w:pPr>
        <w:pStyle w:val="BodyText"/>
      </w:pPr>
      <w:r>
        <w:rPr>
          <w:rStyle w:val="VerbatimChar"/>
        </w:rPr>
        <w:t xml:space="preserve">β = 0.1, 0.3, 0.5, 0.8</w:t>
      </w:r>
      <w:r>
        <w:t xml:space="preserve">;</w:t>
      </w:r>
    </w:p>
    <w:p>
      <w:pPr>
        <w:pStyle w:val="BodyText"/>
      </w:pPr>
      <w:r>
        <w:rPr>
          <w:rStyle w:val="VerbatimChar"/>
        </w:rPr>
        <w:t xml:space="preserve">γ = 0.05, 0.10, 0.20</w:t>
      </w:r>
      <w:r>
        <w:t xml:space="preserve">.</w:t>
      </w:r>
    </w:p>
    <w:p>
      <w:pPr>
        <w:pStyle w:val="BodyText"/>
      </w:pPr>
      <w:r>
        <w:t xml:space="preserve">Всего получается 12 комбинаций.</w:t>
      </w:r>
    </w:p>
    <w:p>
      <w:pPr>
        <w:pStyle w:val="BodyText"/>
      </w:pPr>
      <w:r>
        <w:t xml:space="preserve">Для каждой комбинации программа самостоятельно выполняет моделирование и рассчитывает:</w:t>
      </w:r>
    </w:p>
    <w:p>
      <w:pPr>
        <w:pStyle w:val="Compact"/>
        <w:numPr>
          <w:ilvl w:val="0"/>
          <w:numId w:val="1007"/>
        </w:numPr>
      </w:pPr>
      <w:r>
        <w:t xml:space="preserve">пик инфицированных;</w:t>
      </w:r>
    </w:p>
    <w:p>
      <w:pPr>
        <w:pStyle w:val="Compact"/>
        <w:numPr>
          <w:ilvl w:val="0"/>
          <w:numId w:val="1007"/>
        </w:numPr>
      </w:pPr>
      <w:r>
        <w:t xml:space="preserve">время пика;</w:t>
      </w:r>
    </w:p>
    <w:p>
      <w:pPr>
        <w:pStyle w:val="Compact"/>
        <w:numPr>
          <w:ilvl w:val="0"/>
          <w:numId w:val="1007"/>
        </w:numPr>
      </w:pPr>
      <w:r>
        <w:t xml:space="preserve">итоговое число выздоровевших.</w:t>
      </w:r>
    </w:p>
    <w:p>
      <w:pPr>
        <w:pStyle w:val="CaptionedFigure"/>
      </w:pPr>
      <w:r>
        <w:drawing>
          <wp:inline>
            <wp:extent cx="5067300" cy="3001649"/>
            <wp:effectExtent b="0" l="0" r="0" t="0"/>
            <wp:docPr descr="Параметрическое исследование β и γ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001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Параметрическое исследование β и γ</w:t>
      </w:r>
    </w:p>
    <w:p>
      <w:pPr>
        <w:pStyle w:val="CaptionedFigure"/>
      </w:pPr>
      <w:r>
        <w:drawing>
          <wp:inline>
            <wp:extent cx="4800600" cy="3200400"/>
            <wp:effectExtent b="0" l="0" r="0" t="0"/>
            <wp:docPr descr="Пик инфицированных для различных β и γ" title="" id="56" name="Picture"/>
            <a:graphic>
              <a:graphicData uri="http://schemas.openxmlformats.org/drawingml/2006/picture">
                <pic:pic>
                  <pic:nvPicPr>
                    <pic:cNvPr descr="image/plots/sir_parameter_grid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Пик инфицированных для различных β и γ</w:t>
      </w:r>
    </w:p>
    <w:p>
      <w:pPr>
        <w:pStyle w:val="BodyText"/>
      </w:pPr>
      <w:r>
        <w:t xml:space="preserve">Такой эксперимент позволяет исследовать совместное влияние скорости заражения и скорости выздоровления, а не только изменение одного параметра.</w:t>
      </w:r>
    </w:p>
    <w:bookmarkEnd w:id="58"/>
    <w:bookmarkStart w:id="62" w:name="литературное-программирование"/>
    <w:p>
      <w:pPr>
        <w:pStyle w:val="Heading1"/>
      </w:pPr>
      <w:r>
        <w:t xml:space="preserve">9. Литературное программирование</w:t>
      </w:r>
    </w:p>
    <w:p>
      <w:pPr>
        <w:pStyle w:val="FirstParagraph"/>
      </w:pPr>
      <w:r>
        <w:t xml:space="preserve">Основные вычислительные сценарии были оформлены в литературном стиле.</w:t>
      </w:r>
    </w:p>
    <w:p>
      <w:pPr>
        <w:pStyle w:val="BodyText"/>
      </w:pPr>
      <w:r>
        <w:t xml:space="preserve">Из каждого исходника автоматически создавались:</w:t>
      </w:r>
    </w:p>
    <w:p>
      <w:pPr>
        <w:pStyle w:val="Compact"/>
        <w:numPr>
          <w:ilvl w:val="0"/>
          <w:numId w:val="1008"/>
        </w:numPr>
      </w:pPr>
      <w:r>
        <w:t xml:space="preserve">чистый Julia-код;</w:t>
      </w:r>
    </w:p>
    <w:p>
      <w:pPr>
        <w:pStyle w:val="Compact"/>
        <w:numPr>
          <w:ilvl w:val="0"/>
          <w:numId w:val="1008"/>
        </w:numPr>
      </w:pPr>
      <w:r>
        <w:t xml:space="preserve">Jupyter Notebook;</w:t>
      </w:r>
    </w:p>
    <w:p>
      <w:pPr>
        <w:pStyle w:val="Compact"/>
        <w:numPr>
          <w:ilvl w:val="0"/>
          <w:numId w:val="1008"/>
        </w:numPr>
      </w:pPr>
      <w:r>
        <w:t xml:space="preserve">документация Quarto.</w:t>
      </w:r>
    </w:p>
    <w:p>
      <w:pPr>
        <w:pStyle w:val="CaptionedFigure"/>
      </w:pPr>
      <w:r>
        <w:drawing>
          <wp:inline>
            <wp:extent cx="5067300" cy="2723606"/>
            <wp:effectExtent b="0" l="0" r="0" t="0"/>
            <wp:docPr descr="Сгенерированные Quarto-документы и Jupyter Notebook" title="" id="60" name="Picture"/>
            <a:graphic>
              <a:graphicData uri="http://schemas.openxmlformats.org/drawingml/2006/picture">
                <pic:pic>
                  <pic:nvPicPr>
                    <pic:cNvPr descr="image/9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723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Сгенерированные Quarto-документы и Jupyter Notebook</w:t>
      </w:r>
    </w:p>
    <w:bookmarkEnd w:id="62"/>
    <w:bookmarkStart w:id="66" w:name="проверка-воспроизводимости"/>
    <w:p>
      <w:pPr>
        <w:pStyle w:val="Heading1"/>
      </w:pPr>
      <w:r>
        <w:t xml:space="preserve">10. Проверка воспроизводимости</w:t>
      </w:r>
    </w:p>
    <w:p>
      <w:pPr>
        <w:pStyle w:val="FirstParagraph"/>
      </w:pPr>
      <w:r>
        <w:t xml:space="preserve">После генерации все Jupyter Notebook были отдельно выполнены.</w:t>
      </w:r>
    </w:p>
    <w:p>
      <w:pPr>
        <w:pStyle w:val="BodyText"/>
      </w:pPr>
      <w:r>
        <w:t xml:space="preserve">Таким образом проверяется, что автоматически созданные notebooks содержат все необходимые действия и способны самостоятельно повторить вычислительные эксперименты.</w:t>
      </w:r>
    </w:p>
    <w:p>
      <w:pPr>
        <w:pStyle w:val="CaptionedFigure"/>
      </w:pPr>
      <w:r>
        <w:drawing>
          <wp:inline>
            <wp:extent cx="5067300" cy="5378968"/>
            <wp:effectExtent b="0" l="0" r="0" t="0"/>
            <wp:docPr descr="Успешное выполнение Jupyter Notebook" title="" id="64" name="Picture"/>
            <a:graphic>
              <a:graphicData uri="http://schemas.openxmlformats.org/drawingml/2006/picture">
                <pic:pic>
                  <pic:nvPicPr>
                    <pic:cNvPr descr="image/10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378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Успешное выполнение Jupyter Notebook</w:t>
      </w:r>
    </w:p>
    <w:bookmarkEnd w:id="66"/>
    <w:bookmarkStart w:id="70" w:name="структура-проекта"/>
    <w:p>
      <w:pPr>
        <w:pStyle w:val="Heading1"/>
      </w:pPr>
      <w:r>
        <w:t xml:space="preserve">11. Структура проекта</w:t>
      </w:r>
    </w:p>
    <w:p>
      <w:pPr>
        <w:pStyle w:val="FirstParagraph"/>
      </w:pPr>
      <w:r>
        <w:t xml:space="preserve">После выполнения лабораторной работы проект содержит:</w:t>
      </w:r>
    </w:p>
    <w:p>
      <w:pPr>
        <w:pStyle w:val="Compact"/>
        <w:numPr>
          <w:ilvl w:val="0"/>
          <w:numId w:val="1009"/>
        </w:numPr>
      </w:pPr>
      <w:r>
        <w:t xml:space="preserve">модуль</w:t>
      </w:r>
      <w:r>
        <w:t xml:space="preserve"> </w:t>
      </w:r>
      <w:r>
        <w:rPr>
          <w:rStyle w:val="VerbatimChar"/>
        </w:rPr>
        <w:t xml:space="preserve">SIRPetri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литературные программы;</w:t>
      </w:r>
    </w:p>
    <w:p>
      <w:pPr>
        <w:pStyle w:val="Compact"/>
        <w:numPr>
          <w:ilvl w:val="0"/>
          <w:numId w:val="1009"/>
        </w:numPr>
      </w:pPr>
      <w:r>
        <w:t xml:space="preserve">сгенерированный Julia-код;</w:t>
      </w:r>
    </w:p>
    <w:p>
      <w:pPr>
        <w:pStyle w:val="Compact"/>
        <w:numPr>
          <w:ilvl w:val="0"/>
          <w:numId w:val="1009"/>
        </w:numPr>
      </w:pPr>
      <w:r>
        <w:t xml:space="preserve">Jupyter Notebook;</w:t>
      </w:r>
    </w:p>
    <w:p>
      <w:pPr>
        <w:pStyle w:val="Compact"/>
        <w:numPr>
          <w:ilvl w:val="0"/>
          <w:numId w:val="1009"/>
        </w:numPr>
      </w:pPr>
      <w:r>
        <w:t xml:space="preserve">Quarto-документацию;</w:t>
      </w:r>
    </w:p>
    <w:p>
      <w:pPr>
        <w:pStyle w:val="Compact"/>
        <w:numPr>
          <w:ilvl w:val="0"/>
          <w:numId w:val="1009"/>
        </w:numPr>
      </w:pPr>
      <w:r>
        <w:t xml:space="preserve">CSV-файлы;</w:t>
      </w:r>
    </w:p>
    <w:p>
      <w:pPr>
        <w:pStyle w:val="Compact"/>
        <w:numPr>
          <w:ilvl w:val="0"/>
          <w:numId w:val="1009"/>
        </w:numPr>
      </w:pPr>
      <w:r>
        <w:t xml:space="preserve">оригинальные PNG-графики;</w:t>
      </w:r>
    </w:p>
    <w:p>
      <w:pPr>
        <w:pStyle w:val="Compact"/>
        <w:numPr>
          <w:ilvl w:val="0"/>
          <w:numId w:val="1009"/>
        </w:numPr>
      </w:pPr>
      <w:r>
        <w:t xml:space="preserve">GIF-анимацию.</w:t>
      </w:r>
    </w:p>
    <w:p>
      <w:pPr>
        <w:pStyle w:val="CaptionedFigure"/>
      </w:pPr>
      <w:r>
        <w:drawing>
          <wp:inline>
            <wp:extent cx="5067300" cy="5551714"/>
            <wp:effectExtent b="0" l="0" r="0" t="0"/>
            <wp:docPr descr="Итоговая структура проекта" title="" id="68" name="Picture"/>
            <a:graphic>
              <a:graphicData uri="http://schemas.openxmlformats.org/drawingml/2006/picture">
                <pic:pic>
                  <pic:nvPicPr>
                    <pic:cNvPr descr="image/1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551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Итоговая структура проекта</w:t>
      </w:r>
    </w:p>
    <w:bookmarkEnd w:id="70"/>
    <w:bookmarkStart w:id="74" w:name="контроль-версий"/>
    <w:p>
      <w:pPr>
        <w:pStyle w:val="Heading1"/>
      </w:pPr>
      <w:r>
        <w:t xml:space="preserve">12. Контроль версий</w:t>
      </w:r>
    </w:p>
    <w:p>
      <w:pPr>
        <w:pStyle w:val="FirstParagraph"/>
      </w:pPr>
      <w:r>
        <w:t xml:space="preserve">Все материалы лабораторной работы были сохранены в Git и отправлены в удалённые репозитории GitVerse и GitHub.</w:t>
      </w:r>
    </w:p>
    <w:p>
      <w:pPr>
        <w:pStyle w:val="CaptionedFigure"/>
      </w:pPr>
      <w:r>
        <w:drawing>
          <wp:inline>
            <wp:extent cx="5067300" cy="2274131"/>
            <wp:effectExtent b="0" l="0" r="0" t="0"/>
            <wp:docPr descr="Финальное состояние Git" title="" id="72" name="Picture"/>
            <a:graphic>
              <a:graphicData uri="http://schemas.openxmlformats.org/drawingml/2006/picture">
                <pic:pic>
                  <pic:nvPicPr>
                    <pic:cNvPr descr="image/12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274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Финальное состояние Git</w:t>
      </w:r>
    </w:p>
    <w:bookmarkEnd w:id="74"/>
    <w:bookmarkStart w:id="75" w:name="выводы"/>
    <w:p>
      <w:pPr>
        <w:pStyle w:val="Heading1"/>
      </w:pPr>
      <w:r>
        <w:t xml:space="preserve">13. Выводы</w:t>
      </w:r>
    </w:p>
    <w:p>
      <w:pPr>
        <w:pStyle w:val="FirstParagraph"/>
      </w:pPr>
      <w:r>
        <w:t xml:space="preserve">В лабораторной работе модель SIR была представлена в форме сети Петри.</w:t>
      </w:r>
    </w:p>
    <w:p>
      <w:pPr>
        <w:pStyle w:val="BodyText"/>
      </w:pPr>
      <w:r>
        <w:t xml:space="preserve">Переход заражения изменяет маркировку между состояниями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</w:t>
      </w:r>
      <w:r>
        <w:t xml:space="preserve">, а переход выздоровления переводит фишки из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p>
      <w:pPr>
        <w:pStyle w:val="BodyText"/>
      </w:pPr>
      <w:r>
        <w:t xml:space="preserve">Для одной модели были реализованы два способа моделирования. Детерминированный подход использует систему ОДУ и описывает усреднённую непрерывную динамику. Стохастический подход моделирует отдельные случайные события с помощью алгоритма Гиллеспи.</w:t>
      </w:r>
    </w:p>
    <w:p>
      <w:pPr>
        <w:pStyle w:val="BodyText"/>
      </w:pPr>
      <w:r>
        <w:t xml:space="preserve">Дополнительно было исследовано влияние коэффициента заражения и совместное влияние параметров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γ</w:t>
      </w:r>
      <w:r>
        <w:t xml:space="preserve">.</w:t>
      </w:r>
    </w:p>
    <w:p>
      <w:pPr>
        <w:pStyle w:val="BodyText"/>
      </w:pPr>
      <w:r>
        <w:t xml:space="preserve">Результаты вычислений сохраняются отдельно от анализа, что позволяет повторно использовать CSV-файлы без повторного запуска модели.</w:t>
      </w:r>
    </w:p>
    <w:p>
      <w:pPr>
        <w:pStyle w:val="BodyText"/>
      </w:pPr>
      <w:r>
        <w:t xml:space="preserve">Все основные вычислительные сценарии оформлены в литературном стиле, а автоматически созданные notebooks выполнены для проверки воспроизводимости.</w:t>
      </w:r>
    </w:p>
    <w:bookmarkEnd w:id="75"/>
    <w:bookmarkStart w:id="76" w:name="X17f65733b9bf2cf1b8c603cdbb10ad4317e836f"/>
    <w:p>
      <w:pPr>
        <w:pStyle w:val="Heading1"/>
      </w:pPr>
      <w:r>
        <w:t xml:space="preserve">Приложение А. Quarto-документация базового эксперимента</w:t>
      </w:r>
    </w:p>
    <w:p>
      <w:pPr>
        <w:pStyle w:val="FirstParagraph"/>
      </w:pPr>
      <w:r>
        <w:t xml:space="preserve">Ниже интегрирована статическая версия Quarto-документации, автоматически полученной из литературного исходного кода.</w:t>
      </w:r>
    </w:p>
    <w:bookmarkEnd w:id="76"/>
    <w:bookmarkStart w:id="83" w:name="базовый-эксперимент-sir-в-сети-петри"/>
    <w:p>
      <w:pPr>
        <w:pStyle w:val="Heading1"/>
      </w:pPr>
      <w:r>
        <w:t xml:space="preserve">14. Базовый эксперимент SIR в сети Петри</w:t>
      </w:r>
    </w:p>
    <w:p>
      <w:pPr>
        <w:pStyle w:val="FirstParagraph"/>
      </w:pPr>
      <w:r>
        <w:rPr>
          <w:b/>
          <w:bCs/>
        </w:rPr>
        <w:t xml:space="preserve">Автор:</w:t>
      </w:r>
      <w:r>
        <w:t xml:space="preserve"> </w:t>
      </w:r>
      <w:r>
        <w:t xml:space="preserve">Нечаева Кира Андреевна</w:t>
      </w:r>
    </w:p>
    <w:p>
      <w:pPr>
        <w:pStyle w:val="BodyText"/>
      </w:pPr>
      <w:r>
        <w:rPr>
          <w:b/>
          <w:bCs/>
        </w:rPr>
        <w:t xml:space="preserve">Группа:</w:t>
      </w:r>
      <w:r>
        <w:t xml:space="preserve"> </w:t>
      </w:r>
      <w:r>
        <w:t xml:space="preserve">НКНбд-01-23</w:t>
      </w:r>
    </w:p>
    <w:p>
      <w:pPr>
        <w:pStyle w:val="BodyText"/>
      </w:pPr>
      <w:r>
        <w:t xml:space="preserve">Выполняется сравнение детерминированной</w:t>
      </w:r>
      <w:r>
        <w:t xml:space="preserve"> </w:t>
      </w:r>
      <w:r>
        <w:t xml:space="preserve">и стохастической динамики одной модели.</w:t>
      </w:r>
    </w:p>
    <w:p>
      <w:pPr>
        <w:pStyle w:val="SourceCode"/>
      </w:pP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"SIRPetri.jl"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</w:p>
    <w:bookmarkStart w:id="77" w:name="параметры"/>
    <w:p>
      <w:pPr>
        <w:pStyle w:val="Heading2"/>
      </w:pPr>
      <w:r>
        <w:t xml:space="preserve">14.1 Параметры</w:t>
      </w:r>
    </w:p>
    <w:p>
      <w:pPr>
        <w:pStyle w:val="SourceCode"/>
      </w:pPr>
      <w:r>
        <w:rPr>
          <w:rStyle w:val="NormalTok"/>
        </w:rPr>
        <w:t xml:space="preserve">β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0.3</w:t>
      </w:r>
      <w:r>
        <w:br/>
      </w:r>
      <w:r>
        <w:br/>
      </w:r>
      <w:r>
        <w:rPr>
          <w:rStyle w:val="NormalTok"/>
        </w:rPr>
        <w:t xml:space="preserve">γ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100.0</w:t>
      </w:r>
      <w:r>
        <w:br/>
      </w:r>
      <w:r>
        <w:br/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123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"Базовый эксперимент SIR"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"β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β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"γ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γ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"tmax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tmax</w:t>
      </w:r>
      <w:r>
        <w:br/>
      </w:r>
      <w:r>
        <w:rPr>
          <w:rStyle w:val="NormalTok"/>
        </w:rPr>
        <w:t xml:space="preserve">)</w:t>
      </w:r>
    </w:p>
    <w:bookmarkEnd w:id="77"/>
    <w:bookmarkStart w:id="78" w:name="построение-сети"/>
    <w:p>
      <w:pPr>
        <w:pStyle w:val="Heading2"/>
      </w:pPr>
      <w:r>
        <w:t xml:space="preserve">14.2 Построение сети</w:t>
      </w:r>
    </w:p>
    <w:p>
      <w:pPr>
        <w:pStyle w:val="SourceCode"/>
      </w:pPr>
      <w:r>
        <w:rPr>
          <w:rStyle w:val="NormalTok"/>
        </w:rPr>
        <w:t xml:space="preserve">net,</w:t>
      </w:r>
      <w:r>
        <w:br/>
      </w:r>
      <w:r>
        <w:rPr>
          <w:rStyle w:val="NormalTok"/>
        </w:rPr>
        <w:t xml:space="preserve">u0,</w:t>
      </w:r>
      <w:r>
        <w:br/>
      </w:r>
      <w:r>
        <w:rPr>
          <w:rStyle w:val="NormalTok"/>
        </w:rPr>
        <w:t xml:space="preserve">states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β,</w:t>
      </w:r>
      <w:r>
        <w:br/>
      </w:r>
      <w:r>
        <w:rPr>
          <w:rStyle w:val="NormalTok"/>
        </w:rPr>
        <w:t xml:space="preserve">        γ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"Начальная маркировка: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u0</w:t>
      </w:r>
      <w:r>
        <w:br/>
      </w:r>
      <w:r>
        <w:rPr>
          <w:rStyle w:val="NormalTok"/>
        </w:rPr>
        <w:t xml:space="preserve">)</w:t>
      </w:r>
    </w:p>
    <w:bookmarkEnd w:id="78"/>
    <w:bookmarkStart w:id="79" w:name="детерминированная-симуляция"/>
    <w:p>
      <w:pPr>
        <w:pStyle w:val="Heading2"/>
      </w:pPr>
      <w:r>
        <w:t xml:space="preserve">14.3 Детерминированная симуляция</w:t>
      </w:r>
    </w:p>
    <w:p>
      <w:pPr>
        <w:pStyle w:val="SourceCode"/>
      </w:pPr>
      <w:r>
        <w:rPr>
          <w:rStyle w:val="NormalTok"/>
        </w:rPr>
        <w:t xml:space="preserve">df_det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net,</w:t>
      </w:r>
      <w:r>
        <w:br/>
      </w:r>
      <w:r>
        <w:rPr>
          <w:rStyle w:val="NormalTok"/>
        </w:rPr>
        <w:t xml:space="preserve">        u0,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tmax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   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β,</w:t>
      </w:r>
      <w:r>
        <w:br/>
      </w:r>
      <w:r>
        <w:rPr>
          <w:rStyle w:val="NormalTok"/>
        </w:rPr>
        <w:t xml:space="preserve">            γ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"sir_det.csv"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df_det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peak_det_index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df_det.I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peak_det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df_det.I[</w:t>
      </w:r>
      <w:r>
        <w:br/>
      </w:r>
      <w:r>
        <w:rPr>
          <w:rStyle w:val="NormalTok"/>
        </w:rPr>
        <w:t xml:space="preserve">        peak_det_index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peak_det_time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df_det.time[</w:t>
      </w:r>
      <w:r>
        <w:br/>
      </w:r>
      <w:r>
        <w:rPr>
          <w:rStyle w:val="NormalTok"/>
        </w:rPr>
        <w:t xml:space="preserve">        peak_det_index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Детерминированная модель:"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"Пик I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peak_det,</w:t>
      </w:r>
      <w:r>
        <w:br/>
      </w:r>
      <w:r>
        <w:rPr>
          <w:rStyle w:val="NormalTok"/>
        </w:rPr>
        <w:t xml:space="preserve">       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"Время пика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peak_det_time,</w:t>
      </w:r>
      <w:r>
        <w:br/>
      </w:r>
      <w:r>
        <w:rPr>
          <w:rStyle w:val="NormalTok"/>
        </w:rPr>
        <w:t xml:space="preserve">       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"Финальное R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df_det.R[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p_det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df_det;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"Детерминированная динамика SIR"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p_det,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"sir_det_dynamics.png"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</w:p>
    <w:bookmarkEnd w:id="79"/>
    <w:bookmarkStart w:id="80" w:name="стохастическая-симуляция"/>
    <w:p>
      <w:pPr>
        <w:pStyle w:val="Heading2"/>
      </w:pPr>
      <w:r>
        <w:t xml:space="preserve">14.4 Стохастическая симуляция</w:t>
      </w:r>
    </w:p>
    <w:p>
      <w:pPr>
        <w:pStyle w:val="SourceCode"/>
      </w:pP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seed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df_stoch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net,</w:t>
      </w:r>
      <w:r>
        <w:br/>
      </w:r>
      <w:r>
        <w:rPr>
          <w:rStyle w:val="NormalTok"/>
        </w:rPr>
        <w:t xml:space="preserve">        u0,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tmax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    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β,</w:t>
      </w:r>
      <w:r>
        <w:br/>
      </w:r>
      <w:r>
        <w:rPr>
          <w:rStyle w:val="NormalTok"/>
        </w:rPr>
        <w:t xml:space="preserve">            γ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rng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rng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"sir_stoch.csv"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df_stoch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peak_stoch_index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df_stoch.I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peak_stoch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df_stoch.I[</w:t>
      </w:r>
      <w:r>
        <w:br/>
      </w:r>
      <w:r>
        <w:rPr>
          <w:rStyle w:val="NormalTok"/>
        </w:rPr>
        <w:t xml:space="preserve">        peak_stoch_index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peak_stoch_time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df_stoch.time[</w:t>
      </w:r>
      <w:r>
        <w:br/>
      </w:r>
      <w:r>
        <w:rPr>
          <w:rStyle w:val="NormalTok"/>
        </w:rPr>
        <w:t xml:space="preserve">        peak_stoch_index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Стохастическая модель:"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"Пик I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peak_stoch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"Время пика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peak_stoch_time,</w:t>
      </w:r>
      <w:r>
        <w:br/>
      </w:r>
      <w:r>
        <w:rPr>
          <w:rStyle w:val="NormalTok"/>
        </w:rPr>
        <w:t xml:space="preserve">       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"Финальное R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df_stoch.R[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"Число событий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(df_stoch)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p_stoch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df_stoch;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"Стохастическая динамика SIR"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p_stoch,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"sir_stoch_dynamics.png"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</w:p>
    <w:bookmarkEnd w:id="80"/>
    <w:bookmarkStart w:id="81" w:name="результаты"/>
    <w:p>
      <w:pPr>
        <w:pStyle w:val="Heading2"/>
      </w:pPr>
      <w:r>
        <w:t xml:space="preserve">14.5 Результаты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Сохранено:"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"data/sir_det.csv"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"data/sir_stoch.csv"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"plots/sir_det_dynamics.png"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"plots/sir_stoch_dynamics.png"</w:t>
      </w:r>
      <w:r>
        <w:br/>
      </w:r>
      <w:r>
        <w:rPr>
          <w:rStyle w:val="NormalTok"/>
        </w:rPr>
        <w:t xml:space="preserve">)</w:t>
      </w:r>
    </w:p>
    <w:bookmarkEnd w:id="81"/>
    <w:bookmarkStart w:id="82" w:name="вывод"/>
    <w:p>
      <w:pPr>
        <w:pStyle w:val="Heading2"/>
      </w:pPr>
      <w:r>
        <w:t xml:space="preserve">14.6 Вывод</w:t>
      </w:r>
    </w:p>
    <w:p>
      <w:pPr>
        <w:pStyle w:val="FirstParagraph"/>
      </w:pPr>
      <w:r>
        <w:t xml:space="preserve">Детерминированная модель показывает</w:t>
      </w:r>
      <w:r>
        <w:t xml:space="preserve"> </w:t>
      </w:r>
      <w:r>
        <w:t xml:space="preserve">усреднённую непрерывную динамику,</w:t>
      </w:r>
      <w:r>
        <w:t xml:space="preserve"> </w:t>
      </w:r>
      <w:r>
        <w:t xml:space="preserve">а алгоритм Гиллеспи моделирует</w:t>
      </w:r>
      <w:r>
        <w:t xml:space="preserve"> </w:t>
      </w:r>
      <w:r>
        <w:t xml:space="preserve">отдельные случайные события.</w:t>
      </w:r>
    </w:p>
    <w:bookmarkEnd w:id="82"/>
    <w:bookmarkEnd w:id="83"/>
    <w:bookmarkStart w:id="84" w:name="X0bb102a9f3a3a5b2004d56120480aa130c15e64"/>
    <w:p>
      <w:pPr>
        <w:pStyle w:val="Heading1"/>
      </w:pPr>
      <w:r>
        <w:t xml:space="preserve">Приложение Б. Quarto-документация параметрического эксперимента</w:t>
      </w:r>
    </w:p>
    <w:p>
      <w:pPr>
        <w:pStyle w:val="FirstParagraph"/>
      </w:pPr>
      <w:r>
        <w:t xml:space="preserve">Ниже интегрирована статическая версия документации параметрической программы.</w:t>
      </w:r>
    </w:p>
    <w:bookmarkEnd w:id="84"/>
    <w:bookmarkStart w:id="90" w:name="параметрическое-исследование-sir"/>
    <w:p>
      <w:pPr>
        <w:pStyle w:val="Heading1"/>
      </w:pPr>
      <w:r>
        <w:t xml:space="preserve">15. Параметрическое исследование SIR</w:t>
      </w:r>
    </w:p>
    <w:p>
      <w:pPr>
        <w:pStyle w:val="FirstParagraph"/>
      </w:pPr>
      <w:r>
        <w:rPr>
          <w:b/>
          <w:bCs/>
        </w:rPr>
        <w:t xml:space="preserve">Автор:</w:t>
      </w:r>
      <w:r>
        <w:t xml:space="preserve"> </w:t>
      </w:r>
      <w:r>
        <w:t xml:space="preserve">Нечаева Кира Андреевна</w:t>
      </w:r>
    </w:p>
    <w:p>
      <w:pPr>
        <w:pStyle w:val="BodyText"/>
      </w:pPr>
      <w:r>
        <w:rPr>
          <w:b/>
          <w:bCs/>
        </w:rPr>
        <w:t xml:space="preserve">Группа:</w:t>
      </w:r>
      <w:r>
        <w:t xml:space="preserve"> </w:t>
      </w:r>
      <w:r>
        <w:t xml:space="preserve">НКНбд-01-23</w:t>
      </w:r>
    </w:p>
    <w:p>
      <w:pPr>
        <w:pStyle w:val="BodyText"/>
      </w:pPr>
      <w:r>
        <w:t xml:space="preserve">Исследуются комбинации двух параметров:</w:t>
      </w:r>
      <w:r>
        <w:t xml:space="preserve"> </w:t>
      </w:r>
      <w:r>
        <w:t xml:space="preserve">коэффициента заражения β</w:t>
      </w:r>
      <w:r>
        <w:t xml:space="preserve"> </w:t>
      </w:r>
      <w:r>
        <w:t xml:space="preserve">и коэффициента выздоровления γ.</w:t>
      </w:r>
    </w:p>
    <w:p>
      <w:pPr>
        <w:pStyle w:val="SourceCode"/>
      </w:pP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"SIRPetri.jl"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</w:p>
    <w:bookmarkStart w:id="85" w:name="наборы-параметров"/>
    <w:p>
      <w:pPr>
        <w:pStyle w:val="Heading2"/>
      </w:pPr>
      <w:r>
        <w:t xml:space="preserve">15.1 Наборы параметров</w:t>
      </w:r>
    </w:p>
    <w:p>
      <w:pPr>
        <w:pStyle w:val="SourceCode"/>
      </w:pPr>
      <w:r>
        <w:rPr>
          <w:rStyle w:val="NormalTok"/>
        </w:rPr>
        <w:t xml:space="preserve">β_values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γ_values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0.20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100.0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"Параметрическое исследование β × γ"</w:t>
      </w:r>
      <w:r>
        <w:br/>
      </w:r>
      <w:r>
        <w:rPr>
          <w:rStyle w:val="NormalTok"/>
        </w:rPr>
        <w:t xml:space="preserve">)</w:t>
      </w:r>
    </w:p>
    <w:bookmarkEnd w:id="85"/>
    <w:bookmarkStart w:id="86" w:name="серия-расчётов"/>
    <w:p>
      <w:pPr>
        <w:pStyle w:val="Heading2"/>
      </w:pPr>
      <w:r>
        <w:t xml:space="preserve">15.2 Серия расчётов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γ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γ_values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β_values</w:t>
      </w:r>
      <w:r>
        <w:br/>
      </w:r>
      <w:r>
        <w:br/>
      </w:r>
      <w:r>
        <w:rPr>
          <w:rStyle w:val="NormalTok"/>
        </w:rPr>
        <w:t xml:space="preserve">        net,</w:t>
      </w:r>
      <w:r>
        <w:br/>
      </w:r>
      <w:r>
        <w:rPr>
          <w:rStyle w:val="NormalTok"/>
        </w:rPr>
        <w:t xml:space="preserve">        u0,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β,</w:t>
      </w:r>
      <w:r>
        <w:br/>
      </w:r>
      <w:r>
        <w:rPr>
          <w:rStyle w:val="NormalTok"/>
        </w:rPr>
        <w:t xml:space="preserve">                γ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net,</w:t>
      </w:r>
      <w:r>
        <w:br/>
      </w:r>
      <w:r>
        <w:rPr>
          <w:rStyle w:val="NormalTok"/>
        </w:rPr>
        <w:t xml:space="preserve">                u0,</w:t>
      </w:r>
      <w:r>
        <w:br/>
      </w:r>
      <w:r>
        <w:rPr>
          <w:rStyle w:val="NormalTok"/>
        </w:rPr>
        <w:t xml:space="preserve">                (</w:t>
      </w:r>
      <w:r>
        <w:br/>
      </w:r>
      <w:r>
        <w:rPr>
          <w:rStyle w:val="NormalTok"/>
        </w:rPr>
        <w:t xml:space="preserve">                   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tmax</w:t>
      </w:r>
      <w:r>
        <w:br/>
      </w:r>
      <w:r>
        <w:rPr>
          <w:rStyle w:val="NormalTok"/>
        </w:rPr>
        <w:t xml:space="preserve">                );</w:t>
      </w:r>
      <w:r>
        <w:br/>
      </w:r>
      <w:r>
        <w:rPr>
          <w:rStyle w:val="NormalTok"/>
        </w:rPr>
        <w:t xml:space="preserve">               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β,</w:t>
      </w:r>
      <w:r>
        <w:br/>
      </w:r>
      <w:r>
        <w:rPr>
          <w:rStyle w:val="NormalTok"/>
        </w:rPr>
        <w:t xml:space="preserve">                    γ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peak_index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df.I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peak_I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df.I[</w:t>
      </w:r>
      <w:r>
        <w:br/>
      </w:r>
      <w:r>
        <w:rPr>
          <w:rStyle w:val="NormalTok"/>
        </w:rPr>
        <w:t xml:space="preserve">                peak_index</w:t>
      </w:r>
      <w:r>
        <w:br/>
      </w:r>
      <w:r>
        <w:rPr>
          <w:rStyle w:val="NormalTok"/>
        </w:rPr>
        <w:t xml:space="preserve">            ]</w:t>
      </w:r>
      <w:r>
        <w:br/>
      </w:r>
      <w:r>
        <w:br/>
      </w:r>
      <w:r>
        <w:rPr>
          <w:rStyle w:val="NormalTok"/>
        </w:rPr>
        <w:t xml:space="preserve">        peak_time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df.time[</w:t>
      </w:r>
      <w:r>
        <w:br/>
      </w:r>
      <w:r>
        <w:rPr>
          <w:rStyle w:val="NormalTok"/>
        </w:rPr>
        <w:t xml:space="preserve">                peak_index</w:t>
      </w:r>
      <w:r>
        <w:br/>
      </w:r>
      <w:r>
        <w:rPr>
          <w:rStyle w:val="NormalTok"/>
        </w:rPr>
        <w:t xml:space="preserve">            ]</w:t>
      </w:r>
      <w:r>
        <w:br/>
      </w:r>
      <w:r>
        <w:br/>
      </w:r>
      <w:r>
        <w:rPr>
          <w:rStyle w:val="NormalTok"/>
        </w:rPr>
        <w:t xml:space="preserve">        final_R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df.R[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results,</w:t>
      </w:r>
      <w:r>
        <w:br/>
      </w:r>
      <w:r>
        <w:rPr>
          <w:rStyle w:val="NormalTok"/>
        </w:rPr>
        <w:t xml:space="preserve">            (</w:t>
      </w:r>
      <w:r>
        <w:br/>
      </w:r>
      <w:r>
        <w:rPr>
          <w:rStyle w:val="NormalTok"/>
        </w:rPr>
        <w:t xml:space="preserve">                β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β,</w:t>
      </w:r>
      <w:r>
        <w:br/>
      </w:r>
      <w:r>
        <w:rPr>
          <w:rStyle w:val="NormalTok"/>
        </w:rPr>
        <w:t xml:space="preserve">                γ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γ,</w:t>
      </w:r>
      <w:r>
        <w:br/>
      </w:r>
      <w:r>
        <w:rPr>
          <w:rStyle w:val="NormalTok"/>
        </w:rPr>
        <w:t xml:space="preserve">                peak_I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peak_I,</w:t>
      </w:r>
      <w:r>
        <w:br/>
      </w:r>
      <w:r>
        <w:rPr>
          <w:rStyle w:val="NormalTok"/>
        </w:rPr>
        <w:t xml:space="preserve">                peak_time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peak_time,</w:t>
      </w:r>
      <w:r>
        <w:br/>
      </w:r>
      <w:r>
        <w:rPr>
          <w:rStyle w:val="NormalTok"/>
        </w:rPr>
        <w:t xml:space="preserve">                final_R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final_R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"β="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β,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", γ="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γ,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-&gt; peak I="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peak_I,</w:t>
      </w:r>
      <w:r>
        <w:br/>
      </w:r>
      <w:r>
        <w:rPr>
          <w:rStyle w:val="NormalTok"/>
        </w:rPr>
        <w:t xml:space="preserve">               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", t_peak="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peak_time,</w:t>
      </w:r>
      <w:r>
        <w:br/>
      </w:r>
      <w:r>
        <w:rPr>
          <w:rStyle w:val="NormalTok"/>
        </w:rPr>
        <w:t xml:space="preserve">               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bookmarkEnd w:id="86"/>
    <w:bookmarkStart w:id="87" w:name="таблица"/>
    <w:p>
      <w:pPr>
        <w:pStyle w:val="Heading2"/>
      </w:pPr>
      <w:r>
        <w:t xml:space="preserve">15.3 Таблица</w:t>
      </w:r>
    </w:p>
    <w:p>
      <w:pPr>
        <w:pStyle w:val="SourceCode"/>
      </w:pPr>
      <w:r>
        <w:rPr>
          <w:rStyle w:val="NormalTok"/>
        </w:rPr>
        <w:t xml:space="preserve">df_params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results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"sir_parameter_grid.csv"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df_params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Комбинаций рассчитано: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(df_params)</w:t>
      </w:r>
      <w:r>
        <w:br/>
      </w:r>
      <w:r>
        <w:rPr>
          <w:rStyle w:val="NormalTok"/>
        </w:rPr>
        <w:t xml:space="preserve">)</w:t>
      </w:r>
    </w:p>
    <w:bookmarkEnd w:id="87"/>
    <w:bookmarkStart w:id="88" w:name="график"/>
    <w:p>
      <w:pPr>
        <w:pStyle w:val="Heading2"/>
      </w:pPr>
      <w:r>
        <w:t xml:space="preserve">15.4 График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"Пик инфекции для разных β и γ"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γ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γ_values</w:t>
      </w:r>
      <w:r>
        <w:br/>
      </w:r>
      <w:r>
        <w:br/>
      </w:r>
      <w:r>
        <w:rPr>
          <w:rStyle w:val="NormalTok"/>
        </w:rPr>
        <w:t xml:space="preserve">    part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value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    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γ,</w:t>
      </w:r>
      <w:r>
        <w:br/>
      </w:r>
      <w:r>
        <w:rPr>
          <w:rStyle w:val="NormalTok"/>
        </w:rPr>
        <w:t xml:space="preserve">            df_params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p,</w:t>
      </w:r>
      <w:r>
        <w:br/>
      </w:r>
      <w:r>
        <w:rPr>
          <w:rStyle w:val="NormalTok"/>
        </w:rPr>
        <w:t xml:space="preserve">        part.β,</w:t>
      </w:r>
      <w:r>
        <w:br/>
      </w:r>
      <w:r>
        <w:rPr>
          <w:rStyle w:val="NormalTok"/>
        </w:rPr>
        <w:t xml:space="preserve">        part.peak_I;</w:t>
      </w:r>
      <w:r>
        <w:br/>
      </w:r>
      <w:r>
        <w:rPr>
          <w:rStyle w:val="NormalTok"/>
        </w:rPr>
        <w:t xml:space="preserve">       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"γ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γ"</w:t>
      </w:r>
      <w:r>
        <w:br/>
      </w:r>
      <w:r>
        <w:rPr>
          <w:rStyle w:val="StringTok"/>
        </w:rPr>
        <w:t xml:space="preserve">    )</w:t>
      </w:r>
      <w:r>
        <w:br/>
      </w:r>
      <w:r>
        <w:rPr>
          <w:rStyle w:val="Normal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"sir_parameter_grid.png"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"Сохранено:"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"data/sir_parameter_grid.csv"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"plots/sir_parameter_grid.png"</w:t>
      </w:r>
      <w:r>
        <w:br/>
      </w:r>
      <w:r>
        <w:rPr>
          <w:rStyle w:val="NormalTok"/>
        </w:rPr>
        <w:t xml:space="preserve">)</w:t>
      </w:r>
    </w:p>
    <w:bookmarkEnd w:id="88"/>
    <w:bookmarkStart w:id="89" w:name="вывод-1"/>
    <w:p>
      <w:pPr>
        <w:pStyle w:val="Heading2"/>
      </w:pPr>
      <w:r>
        <w:t xml:space="preserve">15.5 Вывод</w:t>
      </w:r>
    </w:p>
    <w:p>
      <w:pPr>
        <w:pStyle w:val="FirstParagraph"/>
      </w:pPr>
      <w:r>
        <w:t xml:space="preserve">Использование сетки параметров позволяет</w:t>
      </w:r>
      <w:r>
        <w:t xml:space="preserve"> </w:t>
      </w:r>
      <w:r>
        <w:t xml:space="preserve">сравнивать совместное влияние скорости</w:t>
      </w:r>
      <w:r>
        <w:t xml:space="preserve"> </w:t>
      </w:r>
      <w:r>
        <w:t xml:space="preserve">заражения и скорости выздоровления.</w:t>
      </w:r>
    </w:p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31" Target="media/rId31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52" Target="media/rId52.png" /><Relationship Type="http://schemas.openxmlformats.org/officeDocument/2006/relationships/image" Id="rId59" Target="media/rId59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24" Target="media/rId24.png" /><Relationship Type="http://schemas.openxmlformats.org/officeDocument/2006/relationships/image" Id="rId55" Target="media/rId55.png" /><Relationship Type="http://schemas.openxmlformats.org/officeDocument/2006/relationships/image" Id="rId34" Target="media/rId34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6</dc:title>
  <dc:creator>Нечаева Кира Андреевна</dc:creator>
  <dc:language>ru-RU</dc:language>
  <cp:keywords/>
  <dcterms:created xsi:type="dcterms:W3CDTF">2026-10-08T06:57:02Z</dcterms:created>
  <dcterms:modified xsi:type="dcterms:W3CDTF">2026-10-08T06:57:02Z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2026-10-08</vt:lpwstr>
  </property>
  <property fmtid="{D5CDD505-2E9C-101B-9397-08002B2CF9AE}" pid="11" name="execute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mainfont">
    <vt:lpwstr>DejaVu Sans</vt:lpwstr>
  </property>
  <property fmtid="{D5CDD505-2E9C-101B-9397-08002B2CF9AE}" pid="17" name="monofont">
    <vt:lpwstr>DejaVu Sans Mono</vt:lpwstr>
  </property>
  <property fmtid="{D5CDD505-2E9C-101B-9397-08002B2CF9AE}" pid="18" name="subtitle">
    <vt:lpwstr>Реализация модели SIR в подходе сетей Петри</vt:lpwstr>
  </property>
  <property fmtid="{D5CDD505-2E9C-101B-9397-08002B2CF9AE}" pid="19" name="toc-title">
    <vt:lpwstr>Содержание</vt:lpwstr>
  </property>
</Properties>
</file>