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61.png" ContentType="image/png"/>
  <Override PartName="/word/media/rId65.png" ContentType="image/png"/>
  <Override PartName="/word/media/rId13.png" ContentType="image/png"/>
  <Override PartName="/word/media/rId18.png" ContentType="image/png"/>
  <Override PartName="/word/media/rId25.png" ContentType="image/png"/>
  <Override PartName="/word/media/rId29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21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</w:t>
      </w:r>
    </w:p>
    <w:p>
      <w:pPr>
        <w:pStyle w:val="Subtitle"/>
      </w:pPr>
      <w:r>
        <w:t xml:space="preserve">Реализация модели SIR в дискретно-событийном подходе</w:t>
      </w:r>
    </w:p>
    <w:p>
      <w:pPr>
        <w:pStyle w:val="Author"/>
      </w:pPr>
      <w:r>
        <w:t xml:space="preserve">Кира Андреевна Нечаева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дискретно-событийному моделированию.</w:t>
      </w:r>
    </w:p>
    <w:p>
      <w:pPr>
        <w:pStyle w:val="Abstract"/>
      </w:pPr>
      <w:r>
        <w:t xml:space="preserve">Реализована стохастическая модель распространения инфекции SIR, выполнен базовый вычислительный эксперимент и исследована модель для набора значений параметра β.</w:t>
      </w:r>
    </w:p>
    <w:p>
      <w:pPr>
        <w:pStyle w:val="Abstract"/>
      </w:pPr>
      <w:r>
        <w:t xml:space="preserve">Программы оформлены в литературном стиле, сгенерированы версии Julia, Jupyter Notebook и Quarto, проведена проверка воспроизводимости вычислений.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работы — реализовать модель распространения инфекции SIR в дискретно-событийном подходе и исследовать её поведение при различных значениях параметра передачи инфекции.</w:t>
      </w:r>
    </w:p>
    <w:p>
      <w:pPr>
        <w:pStyle w:val="BodyText"/>
      </w:pPr>
      <w:r>
        <w:t xml:space="preserve">В отличие от непрерывной модели, состояние здесь изменяется в отдельные моменты событий. Каждый индивид представлен отдельным процессом, а заражение и выздоровление происходят во время запланированных событий.</w:t>
      </w:r>
    </w:p>
    <w:bookmarkEnd w:id="9"/>
    <w:bookmarkStart w:id="16" w:name="подготовка-проекта"/>
    <w:p>
      <w:pPr>
        <w:pStyle w:val="Heading1"/>
      </w:pPr>
      <w:r>
        <w:t xml:space="preserve">2. Подготовка проекта</w:t>
      </w:r>
    </w:p>
    <w:p>
      <w:pPr>
        <w:pStyle w:val="FirstParagraph"/>
      </w:pPr>
      <w:r>
        <w:t xml:space="preserve">Работа выполнялась в Ubuntu через WSL. Перед началом была проверена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 подключение к удалённым репозиториям GitVerse и GitHub.</w:t>
      </w:r>
    </w:p>
    <w:p>
      <w:pPr>
        <w:pStyle w:val="CaptionedFigure"/>
      </w:pPr>
      <w:r>
        <w:drawing>
          <wp:inline>
            <wp:extent cx="5067300" cy="2420924"/>
            <wp:effectExtent b="0" l="0" r="0" t="0"/>
            <wp:docPr descr="Начальное состояние Git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20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Начальное состояние Git</w:t>
      </w:r>
    </w:p>
    <w:p>
      <w:pPr>
        <w:pStyle w:val="BodyText"/>
      </w:pPr>
      <w:r>
        <w:t xml:space="preserve">Для реализации модели использовались библиотеки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StatsPlots</w:t>
      </w:r>
      <w:r>
        <w:t xml:space="preserve">, а также средства литературного программирования и Jupyter Notebook.</w:t>
      </w:r>
    </w:p>
    <w:p>
      <w:pPr>
        <w:pStyle w:val="CaptionedFigure"/>
      </w:pPr>
      <w:r>
        <w:drawing>
          <wp:inline>
            <wp:extent cx="5067300" cy="1168128"/>
            <wp:effectExtent b="0" l="0" r="0" t="0"/>
            <wp:docPr descr="Проверка рабочего окружения" title="" id="14" name="Picture"/>
            <a:graphic>
              <a:graphicData uri="http://schemas.openxmlformats.org/drawingml/2006/picture">
                <pic:pic>
                  <pic:nvPicPr>
                    <pic:cNvPr descr="image/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68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рабочего окружения</w:t>
      </w:r>
    </w:p>
    <w:bookmarkEnd w:id="16"/>
    <w:bookmarkStart w:id="17" w:name="дискретно-событийная-модель-sir"/>
    <w:p>
      <w:pPr>
        <w:pStyle w:val="Heading1"/>
      </w:pPr>
      <w:r>
        <w:t xml:space="preserve">3. Дискретно-событийная модель SIR</w:t>
      </w:r>
    </w:p>
    <w:p>
      <w:pPr>
        <w:pStyle w:val="FirstParagraph"/>
      </w:pPr>
      <w:r>
        <w:t xml:space="preserve">Модель содержит три состояния индивида: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восприимчивый;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инфицированный;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выздоровевший.</w:t>
      </w:r>
    </w:p>
    <w:p>
      <w:pPr>
        <w:pStyle w:val="FirstParagraph"/>
      </w:pPr>
      <w:r>
        <w:t xml:space="preserve">Каждый человек представлен отдельным процессом.</w:t>
      </w:r>
    </w:p>
    <w:p>
      <w:pPr>
        <w:pStyle w:val="BodyText"/>
      </w:pPr>
      <w:r>
        <w:t xml:space="preserve">Для восприимчивого индивида моделируется случайное время до следующего контакта. Затем случайным образом выбирается другой человек. Если он инфицирован, заражение происходит с вероятностью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После заражения для индивида планируется отдельное случайное время до выздоровления.</w:t>
      </w:r>
    </w:p>
    <w:bookmarkEnd w:id="17"/>
    <w:bookmarkStart w:id="24" w:name="базовый-эксперимент"/>
    <w:p>
      <w:pPr>
        <w:pStyle w:val="Heading1"/>
      </w:pPr>
      <w:r>
        <w:t xml:space="preserve">4. Базовый эксперимент</w:t>
      </w:r>
    </w:p>
    <w:p>
      <w:pPr>
        <w:pStyle w:val="FirstParagraph"/>
      </w:pPr>
      <w:r>
        <w:t xml:space="preserve">Для основного прогона использовались параметры: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tmax = 40.0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S(0) = 990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I(0) = 10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R(0) = 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β = 0.05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 = 10.0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γ = 0.25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seed = 1234</w:t>
      </w:r>
      <w:r>
        <w:t xml:space="preserve">.</w:t>
      </w:r>
    </w:p>
    <w:p>
      <w:pPr>
        <w:pStyle w:val="FirstParagraph"/>
      </w:pPr>
      <w:r>
        <w:t xml:space="preserve">После моделирования результат сохраняется в таблицу с колонками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 а также в CSV-файл.</w:t>
      </w:r>
    </w:p>
    <w:p>
      <w:pPr>
        <w:pStyle w:val="CaptionedFigure"/>
      </w:pPr>
      <w:r>
        <w:drawing>
          <wp:inline>
            <wp:extent cx="5067300" cy="2416628"/>
            <wp:effectExtent b="0" l="0" r="0" t="0"/>
            <wp:docPr descr="Результат базового запуска и созданные файлы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16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базового запуска и созданные файлы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Дискретно-событийная динамика SIR" title="" id="22" name="Picture"/>
            <a:graphic>
              <a:graphicData uri="http://schemas.openxmlformats.org/drawingml/2006/picture">
                <pic:pic>
                  <pic:nvPicPr>
                    <pic:cNvPr descr="image/plots/sir_d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Дискретно-событийная динамика SIR</w:t>
      </w:r>
    </w:p>
    <w:bookmarkEnd w:id="24"/>
    <w:bookmarkStart w:id="28" w:name="событийная-структура-данных"/>
    <w:p>
      <w:pPr>
        <w:pStyle w:val="Heading1"/>
      </w:pPr>
      <w:r>
        <w:t xml:space="preserve">5. Событийная структура данных</w:t>
      </w:r>
    </w:p>
    <w:p>
      <w:pPr>
        <w:pStyle w:val="FirstParagraph"/>
      </w:pPr>
      <w:r>
        <w:t xml:space="preserve">В модели состояние сохраняется не через одинаковые интервалы времени, а в моменты фактического возникновения событий.</w:t>
      </w:r>
    </w:p>
    <w:p>
      <w:pPr>
        <w:pStyle w:val="BodyText"/>
      </w:pPr>
      <w:r>
        <w:t xml:space="preserve">Поэтому значения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соответствуют времени заражения или выздоровления конкретных индивидов.</w:t>
      </w:r>
    </w:p>
    <w:p>
      <w:pPr>
        <w:pStyle w:val="CaptionedFigure"/>
      </w:pPr>
      <w:r>
        <w:drawing>
          <wp:inline>
            <wp:extent cx="5067300" cy="1376103"/>
            <wp:effectExtent b="0" l="0" r="0" t="0"/>
            <wp:docPr descr="Последние строки результата базового эксперимента" title="" id="26" name="Picture"/>
            <a:graphic>
              <a:graphicData uri="http://schemas.openxmlformats.org/drawingml/2006/picture">
                <pic:pic>
                  <pic:nvPicPr>
                    <pic:cNvPr descr="image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376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Последние строки результата базового эксперимента</w:t>
      </w:r>
    </w:p>
    <w:p>
      <w:pPr>
        <w:pStyle w:val="BodyText"/>
      </w:pPr>
      <w:r>
        <w:t xml:space="preserve">Такое представление является характерным для дискретно-событийного моделирования: между событиями состояние системы не изменяется.</w:t>
      </w:r>
    </w:p>
    <w:bookmarkEnd w:id="28"/>
    <w:bookmarkStart w:id="44" w:name="вычисление-для-набора-параметров"/>
    <w:p>
      <w:pPr>
        <w:pStyle w:val="Heading1"/>
      </w:pPr>
      <w:r>
        <w:t xml:space="preserve">6. Вычисление для набора параметров</w:t>
      </w:r>
    </w:p>
    <w:p>
      <w:pPr>
        <w:pStyle w:val="FirstParagraph"/>
      </w:pPr>
      <w:r>
        <w:t xml:space="preserve">В отдельной литературной программе было выполнено моделирование для трёх значений вероятности заражения:</w:t>
      </w:r>
    </w:p>
    <w:p>
      <w:pPr>
        <w:pStyle w:val="BodyText"/>
      </w:pPr>
      <w:r>
        <w:rPr>
          <w:rStyle w:val="VerbatimChar"/>
        </w:rPr>
        <w:t xml:space="preserve">β = 0.03, 0.05, 0.07</w:t>
      </w:r>
      <w:r>
        <w:t xml:space="preserve">.</w:t>
      </w:r>
    </w:p>
    <w:p>
      <w:pPr>
        <w:pStyle w:val="BodyText"/>
      </w:pPr>
      <w:r>
        <w:t xml:space="preserve">Для каждого значения остальные параметры оставлялись неизменными: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 = 10.0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γ = 0.25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tmax = 40.0</w:t>
      </w:r>
      <w:r>
        <w:t xml:space="preserve">.</w:t>
      </w:r>
    </w:p>
    <w:p>
      <w:pPr>
        <w:pStyle w:val="FirstParagraph"/>
      </w:pPr>
      <w:r>
        <w:t xml:space="preserve">Таким образом можно сравнить влияние только одного параметра модели.</w:t>
      </w:r>
    </w:p>
    <w:p>
      <w:pPr>
        <w:pStyle w:val="CaptionedFigure"/>
      </w:pPr>
      <w:r>
        <w:drawing>
          <wp:inline>
            <wp:extent cx="5067300" cy="1067655"/>
            <wp:effectExtent b="0" l="0" r="0" t="0"/>
            <wp:docPr descr="Выполнение параметрических прогонов" title="" id="30" name="Picture"/>
            <a:graphic>
              <a:graphicData uri="http://schemas.openxmlformats.org/drawingml/2006/picture">
                <pic:pic>
                  <pic:nvPicPr>
                    <pic:cNvPr descr="image/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067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параметрических прогонов</w:t>
      </w:r>
    </w:p>
    <w:bookmarkStart w:id="35" w:name="β-0.03"/>
    <w:p>
      <w:pPr>
        <w:pStyle w:val="Heading2"/>
      </w:pPr>
      <w:r>
        <w:t xml:space="preserve">6.1 β = 0.03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Динамика SIR при β = 0.03" title="" id="33" name="Picture"/>
            <a:graphic>
              <a:graphicData uri="http://schemas.openxmlformats.org/drawingml/2006/picture">
                <pic:pic>
                  <pic:nvPicPr>
                    <pic:cNvPr descr="image/plots/sir_des_beta_0.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SIR при β = 0.03</w:t>
      </w:r>
    </w:p>
    <w:bookmarkEnd w:id="35"/>
    <w:bookmarkStart w:id="39" w:name="β-0.05"/>
    <w:p>
      <w:pPr>
        <w:pStyle w:val="Heading2"/>
      </w:pPr>
      <w:r>
        <w:t xml:space="preserve">6.2 β = 0.05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Динамика SIR при β = 0.05" title="" id="37" name="Picture"/>
            <a:graphic>
              <a:graphicData uri="http://schemas.openxmlformats.org/drawingml/2006/picture">
                <pic:pic>
                  <pic:nvPicPr>
                    <pic:cNvPr descr="image/plots/sir_des_beta_0.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SIR при β = 0.05</w:t>
      </w:r>
    </w:p>
    <w:bookmarkEnd w:id="39"/>
    <w:bookmarkStart w:id="43" w:name="β-0.07"/>
    <w:p>
      <w:pPr>
        <w:pStyle w:val="Heading2"/>
      </w:pPr>
      <w:r>
        <w:t xml:space="preserve">6.3 β = 0.07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Динамика SIR при β = 0.07" title="" id="41" name="Picture"/>
            <a:graphic>
              <a:graphicData uri="http://schemas.openxmlformats.org/drawingml/2006/picture">
                <pic:pic>
                  <pic:nvPicPr>
                    <pic:cNvPr descr="image/plots/sir_des_beta_0.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SIR при β = 0.07</w:t>
      </w:r>
    </w:p>
    <w:p>
      <w:pPr>
        <w:pStyle w:val="BodyText"/>
      </w:pPr>
      <w:r>
        <w:t xml:space="preserve">Изменение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изменяет вероятность передачи инфекции при контакте, поэтому серия прогонов позволяет исследовать чувствительность модели к этому параметру.</w:t>
      </w:r>
    </w:p>
    <w:bookmarkEnd w:id="43"/>
    <w:bookmarkEnd w:id="44"/>
    <w:bookmarkStart w:id="48" w:name="сохранение-результатов"/>
    <w:p>
      <w:pPr>
        <w:pStyle w:val="Heading1"/>
      </w:pPr>
      <w:r>
        <w:t xml:space="preserve">7. Сохранение результатов</w:t>
      </w:r>
    </w:p>
    <w:p>
      <w:pPr>
        <w:pStyle w:val="FirstParagraph"/>
      </w:pPr>
      <w:r>
        <w:t xml:space="preserve">После выполнения основного и параметрического экспериментов были проверены созданные файлы данных и визуализации.</w:t>
      </w:r>
    </w:p>
    <w:p>
      <w:pPr>
        <w:pStyle w:val="CaptionedFigure"/>
      </w:pPr>
      <w:r>
        <w:drawing>
          <wp:inline>
            <wp:extent cx="5067300" cy="2028007"/>
            <wp:effectExtent b="0" l="0" r="0" t="0"/>
            <wp:docPr descr="Созданные данные и графики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28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Созданные данные и графики</w:t>
      </w:r>
    </w:p>
    <w:p>
      <w:pPr>
        <w:pStyle w:val="BodyText"/>
      </w:pPr>
      <w:r>
        <w:t xml:space="preserve">Результаты хранятся отдельно от исходного кода, поэтому их можно использовать в отчёте без повторного запуска модели.</w:t>
      </w:r>
    </w:p>
    <w:bookmarkEnd w:id="48"/>
    <w:bookmarkStart w:id="52" w:name="литературное-программирование"/>
    <w:p>
      <w:pPr>
        <w:pStyle w:val="Heading1"/>
      </w:pPr>
      <w:r>
        <w:t xml:space="preserve">8. Литературное программирование</w:t>
      </w:r>
    </w:p>
    <w:p>
      <w:pPr>
        <w:pStyle w:val="FirstParagraph"/>
      </w:pPr>
      <w:r>
        <w:t xml:space="preserve">Основная программа и программа для набора параметров были оформлены в литературном стиле.</w:t>
      </w:r>
    </w:p>
    <w:p>
      <w:pPr>
        <w:pStyle w:val="BodyText"/>
      </w:pPr>
      <w:r>
        <w:t xml:space="preserve">Из каждого литературного исходника автоматически создавались:</w:t>
      </w:r>
    </w:p>
    <w:p>
      <w:pPr>
        <w:pStyle w:val="Compact"/>
        <w:numPr>
          <w:ilvl w:val="0"/>
          <w:numId w:val="1004"/>
        </w:numPr>
      </w:pPr>
      <w:r>
        <w:t xml:space="preserve">чистый Julia-код;</w:t>
      </w:r>
    </w:p>
    <w:p>
      <w:pPr>
        <w:pStyle w:val="Compact"/>
        <w:numPr>
          <w:ilvl w:val="0"/>
          <w:numId w:val="1004"/>
        </w:numPr>
      </w:pPr>
      <w:r>
        <w:t xml:space="preserve">Jupyter Notebook;</w:t>
      </w:r>
    </w:p>
    <w:p>
      <w:pPr>
        <w:pStyle w:val="Compact"/>
        <w:numPr>
          <w:ilvl w:val="0"/>
          <w:numId w:val="1004"/>
        </w:numPr>
      </w:pPr>
      <w:r>
        <w:t xml:space="preserve">документация Quarto.</w:t>
      </w:r>
    </w:p>
    <w:p>
      <w:pPr>
        <w:pStyle w:val="CaptionedFigure"/>
      </w:pPr>
      <w:r>
        <w:drawing>
          <wp:inline>
            <wp:extent cx="5067300" cy="2686797"/>
            <wp:effectExtent b="0" l="0" r="0" t="0"/>
            <wp:docPr descr="Сгенерированные Julia, Jupyter и Quarto файлы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86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Сгенерированные Julia, Jupyter и Quarto файлы</w:t>
      </w:r>
    </w:p>
    <w:bookmarkEnd w:id="52"/>
    <w:bookmarkStart w:id="56" w:name="выполнение-базового-jupyter-notebook"/>
    <w:p>
      <w:pPr>
        <w:pStyle w:val="Heading1"/>
      </w:pPr>
      <w:r>
        <w:t xml:space="preserve">9. Выполнение базового Jupyter Notebook</w:t>
      </w:r>
    </w:p>
    <w:p>
      <w:pPr>
        <w:pStyle w:val="FirstParagraph"/>
      </w:pPr>
      <w:r>
        <w:t xml:space="preserve">Сгенерированный Jupyter Notebook для основной модели был выполнен отдельно.</w:t>
      </w:r>
    </w:p>
    <w:p>
      <w:pPr>
        <w:pStyle w:val="BodyText"/>
      </w:pPr>
      <w:r>
        <w:t xml:space="preserve">Это проверяет, что базовый эксперимент можно воспроизвести непосредственно из автоматически созданного notebook.</w:t>
      </w:r>
    </w:p>
    <w:p>
      <w:pPr>
        <w:pStyle w:val="CaptionedFigure"/>
      </w:pPr>
      <w:r>
        <w:drawing>
          <wp:inline>
            <wp:extent cx="5067300" cy="2268220"/>
            <wp:effectExtent b="0" l="0" r="0" t="0"/>
            <wp:docPr descr="Выполнение базового Jupyter Notebook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68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базового Jupyter Notebook</w:t>
      </w:r>
    </w:p>
    <w:bookmarkEnd w:id="56"/>
    <w:bookmarkStart w:id="60" w:name="X6ff1d997afc522b2659113a426eb3c7a7d5367b"/>
    <w:p>
      <w:pPr>
        <w:pStyle w:val="Heading1"/>
      </w:pPr>
      <w:r>
        <w:t xml:space="preserve">10. Выполнение параметрического Jupyter Notebook</w:t>
      </w:r>
    </w:p>
    <w:p>
      <w:pPr>
        <w:pStyle w:val="FirstParagraph"/>
      </w:pPr>
      <w:r>
        <w:t xml:space="preserve">Отдельно был выполнен notebook для серии экспериментов с различными значениями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CaptionedFigure"/>
      </w:pPr>
      <w:r>
        <w:drawing>
          <wp:inline>
            <wp:extent cx="5067300" cy="2411969"/>
            <wp:effectExtent b="0" l="0" r="0" t="0"/>
            <wp:docPr descr="Выполнение параметрического Jupyter Notebook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11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параметрического Jupyter Notebook</w:t>
      </w:r>
    </w:p>
    <w:p>
      <w:pPr>
        <w:pStyle w:val="BodyText"/>
      </w:pPr>
      <w:r>
        <w:t xml:space="preserve">Таким образом проверена воспроизводимость обеих вычислительных программ.</w:t>
      </w:r>
    </w:p>
    <w:bookmarkEnd w:id="60"/>
    <w:bookmarkStart w:id="64" w:name="структура-проекта"/>
    <w:p>
      <w:pPr>
        <w:pStyle w:val="Heading1"/>
      </w:pPr>
      <w:r>
        <w:t xml:space="preserve">11. Структура проекта</w:t>
      </w:r>
    </w:p>
    <w:p>
      <w:pPr>
        <w:pStyle w:val="FirstParagraph"/>
      </w:pPr>
      <w:r>
        <w:t xml:space="preserve">После выполнения лабораторной работы проект содержит:</w:t>
      </w:r>
    </w:p>
    <w:p>
      <w:pPr>
        <w:pStyle w:val="Compact"/>
        <w:numPr>
          <w:ilvl w:val="0"/>
          <w:numId w:val="1005"/>
        </w:numPr>
      </w:pPr>
      <w:r>
        <w:t xml:space="preserve">ядро модели</w:t>
      </w:r>
      <w:r>
        <w:t xml:space="preserve"> </w:t>
      </w:r>
      <w:r>
        <w:rPr>
          <w:rStyle w:val="VerbatimChar"/>
        </w:rPr>
        <w:t xml:space="preserve">sir_model.jl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литературный код базового эксперимента;</w:t>
      </w:r>
    </w:p>
    <w:p>
      <w:pPr>
        <w:pStyle w:val="Compact"/>
        <w:numPr>
          <w:ilvl w:val="0"/>
          <w:numId w:val="1005"/>
        </w:numPr>
      </w:pPr>
      <w:r>
        <w:t xml:space="preserve">литературный код параметрического эксперимента;</w:t>
      </w:r>
    </w:p>
    <w:p>
      <w:pPr>
        <w:pStyle w:val="Compact"/>
        <w:numPr>
          <w:ilvl w:val="0"/>
          <w:numId w:val="1005"/>
        </w:numPr>
      </w:pPr>
      <w:r>
        <w:t xml:space="preserve">автоматически созданные Julia-файлы;</w:t>
      </w:r>
    </w:p>
    <w:p>
      <w:pPr>
        <w:pStyle w:val="Compact"/>
        <w:numPr>
          <w:ilvl w:val="0"/>
          <w:numId w:val="1005"/>
        </w:numPr>
      </w:pPr>
      <w:r>
        <w:t xml:space="preserve">Jupyter Notebook;</w:t>
      </w:r>
    </w:p>
    <w:p>
      <w:pPr>
        <w:pStyle w:val="Compact"/>
        <w:numPr>
          <w:ilvl w:val="0"/>
          <w:numId w:val="1005"/>
        </w:numPr>
      </w:pPr>
      <w:r>
        <w:t xml:space="preserve">Quarto-документацию;</w:t>
      </w:r>
    </w:p>
    <w:p>
      <w:pPr>
        <w:pStyle w:val="Compact"/>
        <w:numPr>
          <w:ilvl w:val="0"/>
          <w:numId w:val="1005"/>
        </w:numPr>
      </w:pPr>
      <w:r>
        <w:t xml:space="preserve">CSV с результатами;</w:t>
      </w:r>
    </w:p>
    <w:p>
      <w:pPr>
        <w:pStyle w:val="Compact"/>
        <w:numPr>
          <w:ilvl w:val="0"/>
          <w:numId w:val="1005"/>
        </w:numPr>
      </w:pPr>
      <w:r>
        <w:t xml:space="preserve">оригинальные PNG-графики.</w:t>
      </w:r>
    </w:p>
    <w:p>
      <w:pPr>
        <w:pStyle w:val="CaptionedFigure"/>
      </w:pPr>
      <w:r>
        <w:drawing>
          <wp:inline>
            <wp:extent cx="5067300" cy="3372786"/>
            <wp:effectExtent b="0" l="0" r="0" t="0"/>
            <wp:docPr descr="Итоговая структура проекта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72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структура проекта</w:t>
      </w:r>
    </w:p>
    <w:bookmarkEnd w:id="64"/>
    <w:bookmarkStart w:id="68" w:name="контроль-версий"/>
    <w:p>
      <w:pPr>
        <w:pStyle w:val="Heading1"/>
      </w:pPr>
      <w:r>
        <w:t xml:space="preserve">12. Контроль версий</w:t>
      </w:r>
    </w:p>
    <w:p>
      <w:pPr>
        <w:pStyle w:val="FirstParagraph"/>
      </w:pPr>
      <w:r>
        <w:t xml:space="preserve">После завершения работы материалы лабораторной были сохранены в Git и отправлены в оба удалённых репозитория.</w:t>
      </w:r>
    </w:p>
    <w:p>
      <w:pPr>
        <w:pStyle w:val="CaptionedFigure"/>
      </w:pPr>
      <w:r>
        <w:drawing>
          <wp:inline>
            <wp:extent cx="5067300" cy="2233682"/>
            <wp:effectExtent b="0" l="0" r="0" t="0"/>
            <wp:docPr descr="Финальное состояние Git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33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Финальное состояние Git</w:t>
      </w:r>
    </w:p>
    <w:bookmarkEnd w:id="68"/>
    <w:bookmarkStart w:id="69" w:name="выводы"/>
    <w:p>
      <w:pPr>
        <w:pStyle w:val="Heading1"/>
      </w:pPr>
      <w:r>
        <w:t xml:space="preserve">13. Выводы</w:t>
      </w:r>
    </w:p>
    <w:p>
      <w:pPr>
        <w:pStyle w:val="FirstParagraph"/>
      </w:pPr>
      <w:r>
        <w:t xml:space="preserve">В лабораторной работе была реализована стохастическая дискретно-событийная модель SIR.</w:t>
      </w:r>
    </w:p>
    <w:p>
      <w:pPr>
        <w:pStyle w:val="BodyText"/>
      </w:pPr>
      <w:r>
        <w:t xml:space="preserve">Вместо непрерывного изменения переменных каждый индивид моделируется отдельным процессом, а состояние системы меняется при наступлении событий контакта, заражения и выздоровления.</w:t>
      </w:r>
    </w:p>
    <w:p>
      <w:pPr>
        <w:pStyle w:val="BodyText"/>
      </w:pPr>
      <w:r>
        <w:t xml:space="preserve">Был выполнен базовый эксперимент с фиксированными параметрами и отдельная серия запусков для значений</w:t>
      </w:r>
      <w:r>
        <w:t xml:space="preserve"> </w:t>
      </w:r>
      <w:r>
        <w:rPr>
          <w:rStyle w:val="VerbatimChar"/>
        </w:rPr>
        <w:t xml:space="preserve">β = 0.03, 0.05, 0.07</w:t>
      </w:r>
      <w:r>
        <w:t xml:space="preserve">.</w:t>
      </w:r>
    </w:p>
    <w:p>
      <w:pPr>
        <w:pStyle w:val="BodyText"/>
      </w:pPr>
      <w:r>
        <w:t xml:space="preserve">Результаты сохраняются в таблицы и графические файлы.</w:t>
      </w:r>
    </w:p>
    <w:p>
      <w:pPr>
        <w:pStyle w:val="BodyText"/>
      </w:pPr>
      <w:r>
        <w:t xml:space="preserve">Основная и параметрическая программы оформлены в литературном стиле. Из них автоматически получены Julia-код, Jupyter Notebook и документация Quarto. Оба notebooks были выполнены отдельно для проверки воспроизводимости.</w:t>
      </w:r>
    </w:p>
    <w:bookmarkEnd w:id="69"/>
    <w:bookmarkStart w:id="70" w:name="Xb354357e10f2c4d3a288c3053b67afe954da9c4"/>
    <w:p>
      <w:pPr>
        <w:pStyle w:val="Heading1"/>
      </w:pPr>
      <w:r>
        <w:t xml:space="preserve">Приложение А. Quarto-документация базовой модели</w:t>
      </w:r>
    </w:p>
    <w:p>
      <w:pPr>
        <w:pStyle w:val="FirstParagraph"/>
      </w:pPr>
      <w:r>
        <w:t xml:space="preserve">Ниже приведена документация, автоматически сформированная из литературного исходного кода базового эксперимента.</w:t>
      </w:r>
    </w:p>
    <w:bookmarkEnd w:id="70"/>
    <w:bookmarkStart w:id="75" w:name="дискретно-событийная-модель-sir-1"/>
    <w:p>
      <w:pPr>
        <w:pStyle w:val="Heading1"/>
      </w:pPr>
      <w:r>
        <w:t xml:space="preserve">14. Дискретно-событийная модель SIR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В этом эксперименте выполняется базовый</w:t>
      </w:r>
      <w:r>
        <w:t xml:space="preserve"> </w:t>
      </w:r>
      <w:r>
        <w:t xml:space="preserve">запуск дискретно-событийной SIR-модели.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"sir_model.jl"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BenchmarkTools</w:t>
      </w:r>
    </w:p>
    <w:bookmarkStart w:id="71" w:name="параметры-модели"/>
    <w:p>
      <w:pPr>
        <w:pStyle w:val="Heading2"/>
      </w:pPr>
      <w:r>
        <w:t xml:space="preserve">14.1 Параметры модели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40.0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1234</w:t>
      </w:r>
      <w:r>
        <w:br/>
      </w:r>
      <w:r>
        <w:rPr>
          <w:rStyle w:val="NormalTok"/>
        </w:rPr>
        <w:t xml:space="preserve">)</w:t>
      </w:r>
    </w:p>
    <w:bookmarkEnd w:id="71"/>
    <w:bookmarkStart w:id="72" w:name="запуск-модели"/>
    <w:p>
      <w:pPr>
        <w:pStyle w:val="Heading2"/>
      </w:pPr>
      <w:r>
        <w:t xml:space="preserve">14.2 Запуск модели</w:t>
      </w:r>
    </w:p>
    <w:p>
      <w:pPr>
        <w:pStyle w:val="SourceCode"/>
      </w:pPr>
      <w:r>
        <w:rPr>
          <w:rStyle w:val="NormalTok"/>
        </w:rPr>
        <w:t xml:space="preserve">des_model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p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des_model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des_model,</w:t>
      </w:r>
      <w:r>
        <w:br/>
      </w:r>
      <w:r>
        <w:rPr>
          <w:rStyle w:val="NormalTok"/>
        </w:rPr>
        <w:t xml:space="preserve">    tmax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data_des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des_model</w:t>
      </w:r>
      <w:r>
        <w:br/>
      </w:r>
      <w:r>
        <w:rPr>
          <w:rStyle w:val="NormalTok"/>
        </w:rPr>
        <w:t xml:space="preserve">    )</w:t>
      </w:r>
    </w:p>
    <w:bookmarkEnd w:id="72"/>
    <w:bookmarkStart w:id="73" w:name="визуализация"/>
    <w:p>
      <w:pPr>
        <w:pStyle w:val="Heading2"/>
      </w:pPr>
      <w:r>
        <w:t xml:space="preserve">14.3 Визуализация</w:t>
      </w:r>
    </w:p>
    <w:p>
      <w:pPr>
        <w:pStyle w:val="SourceCode"/>
      </w:pPr>
      <w:r>
        <w:rPr>
          <w:rStyle w:val="PreprocessorTok"/>
        </w:rPr>
        <w:t xml:space="preserve">@df</w:t>
      </w:r>
      <w:r>
        <w:rPr>
          <w:rStyle w:val="NormalTok"/>
        </w:rPr>
        <w:t xml:space="preserve"> data_des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xlab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"Дискретно-событийная SIR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"sir_des.png"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bookmarkEnd w:id="73"/>
    <w:bookmarkStart w:id="74" w:name="сохранение-результатов-в-csv"/>
    <w:p>
      <w:pPr>
        <w:pStyle w:val="Heading2"/>
      </w:pPr>
      <w:r>
        <w:t xml:space="preserve">14.4 Сохранение результатов в CSV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Dates</w:t>
      </w:r>
      <w:r>
        <w:br/>
      </w:r>
      <w:r>
        <w:br/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.csv"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filename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data_des</w:t>
      </w:r>
      <w:r>
        <w:br/>
      </w:r>
      <w:r>
        <w:rPr>
          <w:rStyle w:val="NormalTok"/>
        </w:rPr>
        <w:t xml:space="preserve">)</w:t>
      </w:r>
    </w:p>
    <w:bookmarkEnd w:id="74"/>
    <w:bookmarkEnd w:id="75"/>
    <w:bookmarkStart w:id="76" w:name="X0bb102a9f3a3a5b2004d56120480aa130c15e64"/>
    <w:p>
      <w:pPr>
        <w:pStyle w:val="Heading1"/>
      </w:pPr>
      <w:r>
        <w:t xml:space="preserve">Приложение Б. Quarto-документация параметрического эксперимента</w:t>
      </w:r>
    </w:p>
    <w:p>
      <w:pPr>
        <w:pStyle w:val="FirstParagraph"/>
      </w:pPr>
      <w:r>
        <w:t xml:space="preserve">Ниже приведена документация, автоматически сформированная из литературной программы для набора параметров.</w:t>
      </w:r>
    </w:p>
    <w:bookmarkEnd w:id="76"/>
    <w:bookmarkStart w:id="80" w:name="анализ-чувствительности-sir-к-β"/>
    <w:p>
      <w:pPr>
        <w:pStyle w:val="Heading1"/>
      </w:pPr>
      <w:r>
        <w:t xml:space="preserve">15. Анализ чувствительности SIR к β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Выполняется набор экспериментов</w:t>
      </w:r>
      <w:r>
        <w:t xml:space="preserve"> </w:t>
      </w:r>
      <w:r>
        <w:t xml:space="preserve">для значений β из методического материала.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"sir_model.jl"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BenchmarkTools</w:t>
      </w:r>
    </w:p>
    <w:bookmarkStart w:id="77" w:name="общие-параметры"/>
    <w:p>
      <w:pPr>
        <w:pStyle w:val="Heading2"/>
      </w:pPr>
      <w:r>
        <w:t xml:space="preserve">15.1 Общие параметры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40.0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1234</w:t>
      </w:r>
      <w:r>
        <w:br/>
      </w:r>
      <w:r>
        <w:rPr>
          <w:rStyle w:val="NormalTok"/>
        </w:rPr>
        <w:t xml:space="preserve">)</w:t>
      </w:r>
    </w:p>
    <w:bookmarkEnd w:id="77"/>
    <w:bookmarkStart w:id="78" w:name="набор-значений-β"/>
    <w:p>
      <w:pPr>
        <w:pStyle w:val="Heading2"/>
      </w:pPr>
      <w:r>
        <w:t xml:space="preserve">15.2 Набор значений β</w:t>
      </w:r>
    </w:p>
    <w:p>
      <w:pPr>
        <w:pStyle w:val="SourceCode"/>
      </w:pPr>
      <w:r>
        <w:rPr>
          <w:rStyle w:val="NormalTok"/>
        </w:rPr>
        <w:t xml:space="preserve">betas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0.07</w:t>
      </w:r>
      <w:r>
        <w:br/>
      </w:r>
      <w:r>
        <w:rPr>
          <w:rStyle w:val="NormalTok"/>
        </w:rPr>
        <w:t xml:space="preserve">    ]</w:t>
      </w:r>
    </w:p>
    <w:bookmarkEnd w:id="78"/>
    <w:bookmarkStart w:id="79" w:name="параметрические-прогоны"/>
    <w:p>
      <w:pPr>
        <w:pStyle w:val="Heading2"/>
      </w:pPr>
      <w:r>
        <w:t xml:space="preserve">15.3 Параметрические прогоны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betas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β,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u0,</w:t>
      </w:r>
      <w:r>
        <w:br/>
      </w:r>
      <w:r>
        <w:rPr>
          <w:rStyle w:val="NormalTok"/>
        </w:rPr>
        <w:t xml:space="preserve">            p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m,</w:t>
      </w:r>
      <w:r>
        <w:br/>
      </w:r>
      <w:r>
        <w:rPr>
          <w:rStyle w:val="NormalTok"/>
        </w:rPr>
        <w:t xml:space="preserve">        tmax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data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xlab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"Дискретно-событийная SIR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"sir_des_beta_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(β)</w:t>
      </w:r>
      <w:r>
        <w:rPr>
          <w:rStyle w:val="StringTok"/>
        </w:rPr>
        <w:t xml:space="preserve">.png"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Кира Андреевна Нечаева</dc:creator>
  <dc:language>ru-RU</dc:language>
  <cp:keywords>дискретно-событийное моделирование, SIR, Julia, ConcurrentSim, Quarto</cp:keywords>
  <dcterms:created xsi:type="dcterms:W3CDTF">2026-10-08T09:53:28Z</dcterms:created>
  <dcterms:modified xsi:type="dcterms:W3CDTF">2026-10-08T09:53:28Z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дискретно-событийному моделированию.Реализована стохастическая модель распространения инфекции SIR, выполнен базовый вычислительный эксперимент и исследована модель для набора значений параметра β.Программы оформлены в литературном стиле, сгенерированы версии Julia, Jupyter Notebook и Quarto, проведена проверка воспроизводимости вычислений.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модели SIR в дискретно-событийном подходе</vt:lpwstr>
  </property>
  <property fmtid="{D5CDD505-2E9C-101B-9397-08002B2CF9AE}" pid="17" name="toc-title">
    <vt:lpwstr>Содержание</vt:lpwstr>
  </property>
</Properties>
</file>