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E16EDCB" w14:textId="77777777" w:rsidR="00775A1C" w:rsidRDefault="003E5282">
      <w:pPr>
        <w:spacing w:after="60"/>
        <w:jc w:val="center"/>
      </w:pPr>
      <w:r>
        <w:rPr>
          <w:b/>
          <w:bCs/>
          <w:color w:val="1A1A1A"/>
          <w:sz w:val="24"/>
          <w:szCs w:val="24"/>
        </w:rPr>
        <w:t>COSMO+ Pan-Cancer · Kempner Institute Accelerator Award 2026</w:t>
      </w:r>
    </w:p>
    <w:p w14:paraId="0E16EDCC" w14:textId="77777777" w:rsidR="00775A1C" w:rsidRDefault="003E5282">
      <w:pPr>
        <w:spacing w:after="160"/>
        <w:jc w:val="center"/>
      </w:pPr>
      <w:r>
        <w:rPr>
          <w:i/>
          <w:iCs/>
          <w:color w:val="555555"/>
          <w:sz w:val="18"/>
          <w:szCs w:val="18"/>
        </w:rPr>
        <w:t>Spatially Grounded Chain-of-Thought Supervision for Whole-Slide Pathology Vision-Language Models. Initial draft, May 14, 2026.</w:t>
      </w:r>
    </w:p>
    <w:p w14:paraId="0E16EDCD" w14:textId="77777777" w:rsidR="00775A1C" w:rsidRDefault="003E5282">
      <w:pPr>
        <w:spacing w:before="180" w:after="60"/>
      </w:pPr>
      <w:r>
        <w:rPr>
          <w:b/>
          <w:bCs/>
          <w:color w:val="A51C30"/>
        </w:rPr>
        <w:t>Summary</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8600"/>
      </w:tblGrid>
      <w:tr w:rsidR="00775A1C" w14:paraId="0E16EDD0" w14:textId="77777777">
        <w:tblPrEx>
          <w:tblCellMar>
            <w:top w:w="0" w:type="dxa"/>
            <w:bottom w:w="0" w:type="dxa"/>
          </w:tblCellMar>
        </w:tblPrEx>
        <w:tc>
          <w:tcPr>
            <w:tcW w:w="2200" w:type="dxa"/>
            <w:tcBorders>
              <w:top w:val="single" w:sz="4" w:space="0" w:color="D9D9D9"/>
              <w:left w:val="single" w:sz="4" w:space="0" w:color="D9D9D9"/>
              <w:bottom w:val="single" w:sz="4" w:space="0" w:color="D9D9D9"/>
              <w:right w:val="single" w:sz="4" w:space="0" w:color="D9D9D9"/>
            </w:tcBorders>
            <w:shd w:val="clear" w:color="auto" w:fill="F4E1E4"/>
            <w:tcMar>
              <w:top w:w="40" w:type="dxa"/>
              <w:left w:w="100" w:type="dxa"/>
              <w:bottom w:w="40" w:type="dxa"/>
              <w:right w:w="100" w:type="dxa"/>
            </w:tcMar>
          </w:tcPr>
          <w:p w14:paraId="0E16EDCE" w14:textId="77777777" w:rsidR="00775A1C" w:rsidRDefault="003E5282">
            <w:pPr>
              <w:spacing w:line="220" w:lineRule="auto"/>
            </w:pPr>
            <w:r>
              <w:rPr>
                <w:b/>
                <w:bCs/>
                <w:sz w:val="16"/>
                <w:szCs w:val="16"/>
              </w:rPr>
              <w:t>Project Title</w:t>
            </w:r>
          </w:p>
        </w:tc>
        <w:tc>
          <w:tcPr>
            <w:tcW w:w="8600" w:type="dxa"/>
            <w:tcBorders>
              <w:top w:val="single" w:sz="4" w:space="0" w:color="D9D9D9"/>
              <w:left w:val="single" w:sz="4" w:space="0" w:color="D9D9D9"/>
              <w:bottom w:val="single" w:sz="4" w:space="0" w:color="D9D9D9"/>
              <w:right w:val="single" w:sz="4" w:space="0" w:color="D9D9D9"/>
            </w:tcBorders>
            <w:tcMar>
              <w:top w:w="40" w:type="dxa"/>
              <w:left w:w="100" w:type="dxa"/>
              <w:bottom w:w="40" w:type="dxa"/>
              <w:right w:w="100" w:type="dxa"/>
            </w:tcMar>
          </w:tcPr>
          <w:p w14:paraId="0E16EDCF" w14:textId="77777777" w:rsidR="00775A1C" w:rsidRDefault="003E5282">
            <w:pPr>
              <w:spacing w:line="220" w:lineRule="auto"/>
            </w:pPr>
            <w:r>
              <w:rPr>
                <w:b/>
                <w:bCs/>
                <w:sz w:val="18"/>
                <w:szCs w:val="18"/>
              </w:rPr>
              <w:t>COSMO+ Pan-Cancer: Spatially Grounded Chain-of-Thought Supervision for Whole-Slide Pathology Vision-Language Models, at the Scale of TCGA</w:t>
            </w:r>
          </w:p>
        </w:tc>
      </w:tr>
      <w:tr w:rsidR="00775A1C" w14:paraId="0E16EDD3" w14:textId="77777777">
        <w:tblPrEx>
          <w:tblCellMar>
            <w:top w:w="0" w:type="dxa"/>
            <w:bottom w:w="0" w:type="dxa"/>
          </w:tblCellMar>
        </w:tblPrEx>
        <w:tc>
          <w:tcPr>
            <w:tcW w:w="2200" w:type="dxa"/>
            <w:tcBorders>
              <w:top w:val="single" w:sz="4" w:space="0" w:color="D9D9D9"/>
              <w:left w:val="single" w:sz="4" w:space="0" w:color="D9D9D9"/>
              <w:bottom w:val="single" w:sz="4" w:space="0" w:color="D9D9D9"/>
              <w:right w:val="single" w:sz="4" w:space="0" w:color="D9D9D9"/>
            </w:tcBorders>
            <w:shd w:val="clear" w:color="auto" w:fill="F4E1E4"/>
            <w:tcMar>
              <w:top w:w="40" w:type="dxa"/>
              <w:left w:w="100" w:type="dxa"/>
              <w:bottom w:w="40" w:type="dxa"/>
              <w:right w:w="100" w:type="dxa"/>
            </w:tcMar>
          </w:tcPr>
          <w:p w14:paraId="0E16EDD1" w14:textId="77777777" w:rsidR="00775A1C" w:rsidRDefault="003E5282">
            <w:pPr>
              <w:spacing w:line="220" w:lineRule="auto"/>
            </w:pPr>
            <w:r>
              <w:rPr>
                <w:b/>
                <w:bCs/>
                <w:sz w:val="16"/>
                <w:szCs w:val="16"/>
              </w:rPr>
              <w:t>Tagline</w:t>
            </w:r>
          </w:p>
        </w:tc>
        <w:tc>
          <w:tcPr>
            <w:tcW w:w="8600" w:type="dxa"/>
            <w:tcBorders>
              <w:top w:val="single" w:sz="4" w:space="0" w:color="D9D9D9"/>
              <w:left w:val="single" w:sz="4" w:space="0" w:color="D9D9D9"/>
              <w:bottom w:val="single" w:sz="4" w:space="0" w:color="D9D9D9"/>
              <w:right w:val="single" w:sz="4" w:space="0" w:color="D9D9D9"/>
            </w:tcBorders>
            <w:tcMar>
              <w:top w:w="40" w:type="dxa"/>
              <w:left w:w="100" w:type="dxa"/>
              <w:bottom w:w="40" w:type="dxa"/>
              <w:right w:w="100" w:type="dxa"/>
            </w:tcMar>
          </w:tcPr>
          <w:p w14:paraId="0E16EDD2" w14:textId="77777777" w:rsidR="00775A1C" w:rsidRDefault="003E5282">
            <w:pPr>
              <w:spacing w:line="220" w:lineRule="auto"/>
            </w:pPr>
            <w:r>
              <w:rPr>
                <w:i/>
                <w:iCs/>
                <w:sz w:val="18"/>
                <w:szCs w:val="18"/>
              </w:rPr>
              <w:t>Does spatially grounded curriculum SFT generalize across organ systems, or is it brain specific? Pan-cancer scaling is the only way to find out.</w:t>
            </w:r>
          </w:p>
        </w:tc>
      </w:tr>
      <w:tr w:rsidR="00775A1C" w14:paraId="0E16EDD6" w14:textId="77777777">
        <w:tblPrEx>
          <w:tblCellMar>
            <w:top w:w="0" w:type="dxa"/>
            <w:bottom w:w="0" w:type="dxa"/>
          </w:tblCellMar>
        </w:tblPrEx>
        <w:tc>
          <w:tcPr>
            <w:tcW w:w="2200" w:type="dxa"/>
            <w:tcBorders>
              <w:top w:val="single" w:sz="4" w:space="0" w:color="D9D9D9"/>
              <w:left w:val="single" w:sz="4" w:space="0" w:color="D9D9D9"/>
              <w:bottom w:val="single" w:sz="4" w:space="0" w:color="D9D9D9"/>
              <w:right w:val="single" w:sz="4" w:space="0" w:color="D9D9D9"/>
            </w:tcBorders>
            <w:shd w:val="clear" w:color="auto" w:fill="F4E1E4"/>
            <w:tcMar>
              <w:top w:w="40" w:type="dxa"/>
              <w:left w:w="100" w:type="dxa"/>
              <w:bottom w:w="40" w:type="dxa"/>
              <w:right w:w="100" w:type="dxa"/>
            </w:tcMar>
          </w:tcPr>
          <w:p w14:paraId="0E16EDD4" w14:textId="77777777" w:rsidR="00775A1C" w:rsidRDefault="003E5282">
            <w:pPr>
              <w:spacing w:line="220" w:lineRule="auto"/>
            </w:pPr>
            <w:r>
              <w:rPr>
                <w:b/>
                <w:bCs/>
                <w:sz w:val="16"/>
                <w:szCs w:val="16"/>
              </w:rPr>
              <w:t>Team</w:t>
            </w:r>
          </w:p>
        </w:tc>
        <w:tc>
          <w:tcPr>
            <w:tcW w:w="8600" w:type="dxa"/>
            <w:tcBorders>
              <w:top w:val="single" w:sz="4" w:space="0" w:color="D9D9D9"/>
              <w:left w:val="single" w:sz="4" w:space="0" w:color="D9D9D9"/>
              <w:bottom w:val="single" w:sz="4" w:space="0" w:color="D9D9D9"/>
              <w:right w:val="single" w:sz="4" w:space="0" w:color="D9D9D9"/>
            </w:tcBorders>
            <w:tcMar>
              <w:top w:w="40" w:type="dxa"/>
              <w:left w:w="100" w:type="dxa"/>
              <w:bottom w:w="40" w:type="dxa"/>
              <w:right w:w="100" w:type="dxa"/>
            </w:tcMar>
          </w:tcPr>
          <w:p w14:paraId="0E16EDD5" w14:textId="77777777" w:rsidR="00775A1C" w:rsidRDefault="003E5282">
            <w:pPr>
              <w:spacing w:line="220" w:lineRule="auto"/>
            </w:pPr>
            <w:r>
              <w:rPr>
                <w:sz w:val="18"/>
                <w:szCs w:val="18"/>
              </w:rPr>
              <w:t>Coordinating PI: Kun-</w:t>
            </w:r>
            <w:proofErr w:type="spellStart"/>
            <w:r>
              <w:rPr>
                <w:sz w:val="18"/>
                <w:szCs w:val="18"/>
              </w:rPr>
              <w:t>Hsing</w:t>
            </w:r>
            <w:proofErr w:type="spellEnd"/>
            <w:r>
              <w:rPr>
                <w:sz w:val="18"/>
                <w:szCs w:val="18"/>
              </w:rPr>
              <w:t xml:space="preserve"> Yu, MD, PhD (Associate Professor, HMS DBMI; ladder faculty eligibility pending confirmation per RFP §Eligibility). Co-PI: to be designated, Harvard ladder faculty. Lead Scientist: Philip Chikontwe, PhD (Research Fellow, HMS DBMI).</w:t>
            </w:r>
          </w:p>
        </w:tc>
      </w:tr>
      <w:tr w:rsidR="00775A1C" w14:paraId="0E16EDD9" w14:textId="77777777">
        <w:tblPrEx>
          <w:tblCellMar>
            <w:top w:w="0" w:type="dxa"/>
            <w:bottom w:w="0" w:type="dxa"/>
          </w:tblCellMar>
        </w:tblPrEx>
        <w:tc>
          <w:tcPr>
            <w:tcW w:w="2200" w:type="dxa"/>
            <w:tcBorders>
              <w:top w:val="single" w:sz="4" w:space="0" w:color="D9D9D9"/>
              <w:left w:val="single" w:sz="4" w:space="0" w:color="D9D9D9"/>
              <w:bottom w:val="single" w:sz="4" w:space="0" w:color="D9D9D9"/>
              <w:right w:val="single" w:sz="4" w:space="0" w:color="D9D9D9"/>
            </w:tcBorders>
            <w:shd w:val="clear" w:color="auto" w:fill="F4E1E4"/>
            <w:tcMar>
              <w:top w:w="40" w:type="dxa"/>
              <w:left w:w="100" w:type="dxa"/>
              <w:bottom w:w="40" w:type="dxa"/>
              <w:right w:w="100" w:type="dxa"/>
            </w:tcMar>
          </w:tcPr>
          <w:p w14:paraId="0E16EDD7" w14:textId="77777777" w:rsidR="00775A1C" w:rsidRDefault="003E5282">
            <w:pPr>
              <w:spacing w:line="220" w:lineRule="auto"/>
            </w:pPr>
            <w:r>
              <w:rPr>
                <w:b/>
                <w:bCs/>
                <w:sz w:val="16"/>
                <w:szCs w:val="16"/>
              </w:rPr>
              <w:t>Subject Areas</w:t>
            </w:r>
          </w:p>
        </w:tc>
        <w:tc>
          <w:tcPr>
            <w:tcW w:w="8600" w:type="dxa"/>
            <w:tcBorders>
              <w:top w:val="single" w:sz="4" w:space="0" w:color="D9D9D9"/>
              <w:left w:val="single" w:sz="4" w:space="0" w:color="D9D9D9"/>
              <w:bottom w:val="single" w:sz="4" w:space="0" w:color="D9D9D9"/>
              <w:right w:val="single" w:sz="4" w:space="0" w:color="D9D9D9"/>
            </w:tcBorders>
            <w:tcMar>
              <w:top w:w="40" w:type="dxa"/>
              <w:left w:w="100" w:type="dxa"/>
              <w:bottom w:w="40" w:type="dxa"/>
              <w:right w:w="100" w:type="dxa"/>
            </w:tcMar>
          </w:tcPr>
          <w:p w14:paraId="0E16EDD8" w14:textId="77777777" w:rsidR="00775A1C" w:rsidRDefault="003E5282">
            <w:pPr>
              <w:spacing w:line="220" w:lineRule="auto"/>
            </w:pPr>
            <w:r>
              <w:rPr>
                <w:sz w:val="18"/>
                <w:szCs w:val="18"/>
              </w:rPr>
              <w:t>Primary: new AI/ML methods and applications, i.e., curriculum supervised fine-tuning, vision-language models, and mechanistic interpretability for clinical reasoning. Secondary: foundation models for biomedicine; long-context multimodal learning; group-relative policy optimization (GRPO); whole-slide image analysis.</w:t>
            </w:r>
          </w:p>
        </w:tc>
      </w:tr>
      <w:tr w:rsidR="00775A1C" w14:paraId="0E16EDDC" w14:textId="77777777">
        <w:tblPrEx>
          <w:tblCellMar>
            <w:top w:w="0" w:type="dxa"/>
            <w:bottom w:w="0" w:type="dxa"/>
          </w:tblCellMar>
        </w:tblPrEx>
        <w:tc>
          <w:tcPr>
            <w:tcW w:w="2200" w:type="dxa"/>
            <w:tcBorders>
              <w:top w:val="single" w:sz="4" w:space="0" w:color="D9D9D9"/>
              <w:left w:val="single" w:sz="4" w:space="0" w:color="D9D9D9"/>
              <w:bottom w:val="single" w:sz="4" w:space="0" w:color="D9D9D9"/>
              <w:right w:val="single" w:sz="4" w:space="0" w:color="D9D9D9"/>
            </w:tcBorders>
            <w:shd w:val="clear" w:color="auto" w:fill="F4E1E4"/>
            <w:tcMar>
              <w:top w:w="40" w:type="dxa"/>
              <w:left w:w="100" w:type="dxa"/>
              <w:bottom w:w="40" w:type="dxa"/>
              <w:right w:w="100" w:type="dxa"/>
            </w:tcMar>
          </w:tcPr>
          <w:p w14:paraId="0E16EDDA" w14:textId="77777777" w:rsidR="00775A1C" w:rsidRDefault="003E5282">
            <w:pPr>
              <w:spacing w:line="220" w:lineRule="auto"/>
            </w:pPr>
            <w:r>
              <w:rPr>
                <w:b/>
                <w:bCs/>
                <w:sz w:val="16"/>
                <w:szCs w:val="16"/>
              </w:rPr>
              <w:t>Resource Request</w:t>
            </w:r>
          </w:p>
        </w:tc>
        <w:tc>
          <w:tcPr>
            <w:tcW w:w="8600" w:type="dxa"/>
            <w:tcBorders>
              <w:top w:val="single" w:sz="4" w:space="0" w:color="D9D9D9"/>
              <w:left w:val="single" w:sz="4" w:space="0" w:color="D9D9D9"/>
              <w:bottom w:val="single" w:sz="4" w:space="0" w:color="D9D9D9"/>
              <w:right w:val="single" w:sz="4" w:space="0" w:color="D9D9D9"/>
            </w:tcBorders>
            <w:tcMar>
              <w:top w:w="40" w:type="dxa"/>
              <w:left w:w="100" w:type="dxa"/>
              <w:bottom w:w="40" w:type="dxa"/>
              <w:right w:w="100" w:type="dxa"/>
            </w:tcMar>
          </w:tcPr>
          <w:p w14:paraId="0E16EDDB" w14:textId="77777777" w:rsidR="00775A1C" w:rsidRDefault="003E5282">
            <w:pPr>
              <w:spacing w:line="220" w:lineRule="auto"/>
            </w:pPr>
            <w:r>
              <w:rPr>
                <w:sz w:val="18"/>
                <w:szCs w:val="18"/>
              </w:rPr>
              <w:t>Up to 64 GPUs (A100 80GB preferred; H100 80GB equivalent), 30-day in-kind allocation. Total budgeted compute is approximately 1,150 GPU-hours (about 8 days end-to-end at full parallelism). The remaining 22 days are reserved for failures, ablations, and two secondary virtual-staining sub-projects.</w:t>
            </w:r>
          </w:p>
        </w:tc>
      </w:tr>
      <w:tr w:rsidR="00775A1C" w14:paraId="0E16EDDF" w14:textId="77777777">
        <w:tblPrEx>
          <w:tblCellMar>
            <w:top w:w="0" w:type="dxa"/>
            <w:bottom w:w="0" w:type="dxa"/>
          </w:tblCellMar>
        </w:tblPrEx>
        <w:tc>
          <w:tcPr>
            <w:tcW w:w="2200" w:type="dxa"/>
            <w:tcBorders>
              <w:top w:val="single" w:sz="4" w:space="0" w:color="D9D9D9"/>
              <w:left w:val="single" w:sz="4" w:space="0" w:color="D9D9D9"/>
              <w:bottom w:val="single" w:sz="4" w:space="0" w:color="D9D9D9"/>
              <w:right w:val="single" w:sz="4" w:space="0" w:color="D9D9D9"/>
            </w:tcBorders>
            <w:shd w:val="clear" w:color="auto" w:fill="F4E1E4"/>
            <w:tcMar>
              <w:top w:w="40" w:type="dxa"/>
              <w:left w:w="100" w:type="dxa"/>
              <w:bottom w:w="40" w:type="dxa"/>
              <w:right w:w="100" w:type="dxa"/>
            </w:tcMar>
          </w:tcPr>
          <w:p w14:paraId="0E16EDDD" w14:textId="77777777" w:rsidR="00775A1C" w:rsidRDefault="003E5282">
            <w:pPr>
              <w:spacing w:line="220" w:lineRule="auto"/>
            </w:pPr>
            <w:r>
              <w:rPr>
                <w:b/>
                <w:bCs/>
                <w:sz w:val="16"/>
                <w:szCs w:val="16"/>
              </w:rPr>
              <w:t>Award Period</w:t>
            </w:r>
          </w:p>
        </w:tc>
        <w:tc>
          <w:tcPr>
            <w:tcW w:w="8600" w:type="dxa"/>
            <w:tcBorders>
              <w:top w:val="single" w:sz="4" w:space="0" w:color="D9D9D9"/>
              <w:left w:val="single" w:sz="4" w:space="0" w:color="D9D9D9"/>
              <w:bottom w:val="single" w:sz="4" w:space="0" w:color="D9D9D9"/>
              <w:right w:val="single" w:sz="4" w:space="0" w:color="D9D9D9"/>
            </w:tcBorders>
            <w:tcMar>
              <w:top w:w="40" w:type="dxa"/>
              <w:left w:w="100" w:type="dxa"/>
              <w:bottom w:w="40" w:type="dxa"/>
              <w:right w:w="100" w:type="dxa"/>
            </w:tcMar>
          </w:tcPr>
          <w:p w14:paraId="0E16EDDE" w14:textId="77777777" w:rsidR="00775A1C" w:rsidRDefault="003E5282">
            <w:pPr>
              <w:spacing w:line="220" w:lineRule="auto"/>
            </w:pPr>
            <w:r>
              <w:rPr>
                <w:sz w:val="18"/>
                <w:szCs w:val="18"/>
              </w:rPr>
              <w:t xml:space="preserve">30 consecutive days within the June 10 to June 30, </w:t>
            </w:r>
            <w:proofErr w:type="gramStart"/>
            <w:r>
              <w:rPr>
                <w:sz w:val="18"/>
                <w:szCs w:val="18"/>
              </w:rPr>
              <w:t>2026</w:t>
            </w:r>
            <w:proofErr w:type="gramEnd"/>
            <w:r>
              <w:rPr>
                <w:sz w:val="18"/>
                <w:szCs w:val="18"/>
              </w:rPr>
              <w:t xml:space="preserve"> start window per RFP §Key Dates.</w:t>
            </w:r>
          </w:p>
        </w:tc>
      </w:tr>
      <w:tr w:rsidR="00775A1C" w14:paraId="0E16EDE2" w14:textId="77777777">
        <w:tblPrEx>
          <w:tblCellMar>
            <w:top w:w="0" w:type="dxa"/>
            <w:bottom w:w="0" w:type="dxa"/>
          </w:tblCellMar>
        </w:tblPrEx>
        <w:tc>
          <w:tcPr>
            <w:tcW w:w="2200" w:type="dxa"/>
            <w:tcBorders>
              <w:top w:val="single" w:sz="4" w:space="0" w:color="D9D9D9"/>
              <w:left w:val="single" w:sz="4" w:space="0" w:color="D9D9D9"/>
              <w:bottom w:val="single" w:sz="4" w:space="0" w:color="D9D9D9"/>
              <w:right w:val="single" w:sz="4" w:space="0" w:color="D9D9D9"/>
            </w:tcBorders>
            <w:shd w:val="clear" w:color="auto" w:fill="F4E1E4"/>
            <w:tcMar>
              <w:top w:w="40" w:type="dxa"/>
              <w:left w:w="100" w:type="dxa"/>
              <w:bottom w:w="40" w:type="dxa"/>
              <w:right w:w="100" w:type="dxa"/>
            </w:tcMar>
          </w:tcPr>
          <w:p w14:paraId="0E16EDE0" w14:textId="77777777" w:rsidR="00775A1C" w:rsidRDefault="003E5282">
            <w:pPr>
              <w:spacing w:line="220" w:lineRule="auto"/>
            </w:pPr>
            <w:r>
              <w:rPr>
                <w:b/>
                <w:bCs/>
                <w:sz w:val="16"/>
                <w:szCs w:val="16"/>
              </w:rPr>
              <w:t>Data &amp; Open Science</w:t>
            </w:r>
          </w:p>
        </w:tc>
        <w:tc>
          <w:tcPr>
            <w:tcW w:w="8600" w:type="dxa"/>
            <w:tcBorders>
              <w:top w:val="single" w:sz="4" w:space="0" w:color="D9D9D9"/>
              <w:left w:val="single" w:sz="4" w:space="0" w:color="D9D9D9"/>
              <w:bottom w:val="single" w:sz="4" w:space="0" w:color="D9D9D9"/>
              <w:right w:val="single" w:sz="4" w:space="0" w:color="D9D9D9"/>
            </w:tcBorders>
            <w:tcMar>
              <w:top w:w="40" w:type="dxa"/>
              <w:left w:w="100" w:type="dxa"/>
              <w:bottom w:w="40" w:type="dxa"/>
              <w:right w:w="100" w:type="dxa"/>
            </w:tcMar>
          </w:tcPr>
          <w:p w14:paraId="0E16EDE1" w14:textId="77777777" w:rsidR="00775A1C" w:rsidRDefault="003E5282">
            <w:pPr>
              <w:spacing w:line="220" w:lineRule="auto"/>
            </w:pPr>
            <w:r>
              <w:rPr>
                <w:sz w:val="18"/>
                <w:szCs w:val="18"/>
              </w:rPr>
              <w:t xml:space="preserve">DSL 1 (public). TCGA whole-slide images and clinical data via NCI GDC; CONCH features pre-extracted on Harvard FASRC research-data storage. No PHI. Open Science Policy acknowledged. Code, splits, evaluation harness, </w:t>
            </w:r>
            <w:proofErr w:type="spellStart"/>
            <w:r>
              <w:rPr>
                <w:sz w:val="18"/>
                <w:szCs w:val="18"/>
              </w:rPr>
              <w:t>LoRA</w:t>
            </w:r>
            <w:proofErr w:type="spellEnd"/>
            <w:r>
              <w:rPr>
                <w:sz w:val="18"/>
                <w:szCs w:val="18"/>
              </w:rPr>
              <w:t xml:space="preserve"> weights, and the dashboard will be released under permissive licenses; manuscripts will be deposited as preprints on </w:t>
            </w:r>
            <w:proofErr w:type="spellStart"/>
            <w:r>
              <w:rPr>
                <w:sz w:val="18"/>
                <w:szCs w:val="18"/>
              </w:rPr>
              <w:t>arXiv</w:t>
            </w:r>
            <w:proofErr w:type="spellEnd"/>
            <w:r>
              <w:rPr>
                <w:sz w:val="18"/>
                <w:szCs w:val="18"/>
              </w:rPr>
              <w:t xml:space="preserve"> or </w:t>
            </w:r>
            <w:proofErr w:type="spellStart"/>
            <w:r>
              <w:rPr>
                <w:sz w:val="18"/>
                <w:szCs w:val="18"/>
              </w:rPr>
              <w:t>bioRxiv</w:t>
            </w:r>
            <w:proofErr w:type="spellEnd"/>
            <w:r>
              <w:rPr>
                <w:sz w:val="18"/>
                <w:szCs w:val="18"/>
              </w:rPr>
              <w:t xml:space="preserve"> at first journal submission.</w:t>
            </w:r>
          </w:p>
        </w:tc>
      </w:tr>
      <w:tr w:rsidR="00775A1C" w14:paraId="0E16EDE5" w14:textId="77777777">
        <w:tblPrEx>
          <w:tblCellMar>
            <w:top w:w="0" w:type="dxa"/>
            <w:bottom w:w="0" w:type="dxa"/>
          </w:tblCellMar>
        </w:tblPrEx>
        <w:tc>
          <w:tcPr>
            <w:tcW w:w="2200" w:type="dxa"/>
            <w:tcBorders>
              <w:top w:val="single" w:sz="4" w:space="0" w:color="D9D9D9"/>
              <w:left w:val="single" w:sz="4" w:space="0" w:color="D9D9D9"/>
              <w:bottom w:val="single" w:sz="4" w:space="0" w:color="D9D9D9"/>
              <w:right w:val="single" w:sz="4" w:space="0" w:color="D9D9D9"/>
            </w:tcBorders>
            <w:shd w:val="clear" w:color="auto" w:fill="F4E1E4"/>
            <w:tcMar>
              <w:top w:w="40" w:type="dxa"/>
              <w:left w:w="100" w:type="dxa"/>
              <w:bottom w:w="40" w:type="dxa"/>
              <w:right w:w="100" w:type="dxa"/>
            </w:tcMar>
          </w:tcPr>
          <w:p w14:paraId="0E16EDE3" w14:textId="77777777" w:rsidR="00775A1C" w:rsidRDefault="003E5282">
            <w:pPr>
              <w:spacing w:line="220" w:lineRule="auto"/>
            </w:pPr>
            <w:r>
              <w:rPr>
                <w:b/>
                <w:bCs/>
                <w:sz w:val="16"/>
                <w:szCs w:val="16"/>
              </w:rPr>
              <w:t>LLM Use Disclosure</w:t>
            </w:r>
          </w:p>
        </w:tc>
        <w:tc>
          <w:tcPr>
            <w:tcW w:w="8600" w:type="dxa"/>
            <w:tcBorders>
              <w:top w:val="single" w:sz="4" w:space="0" w:color="D9D9D9"/>
              <w:left w:val="single" w:sz="4" w:space="0" w:color="D9D9D9"/>
              <w:bottom w:val="single" w:sz="4" w:space="0" w:color="D9D9D9"/>
              <w:right w:val="single" w:sz="4" w:space="0" w:color="D9D9D9"/>
            </w:tcBorders>
            <w:tcMar>
              <w:top w:w="40" w:type="dxa"/>
              <w:left w:w="100" w:type="dxa"/>
              <w:bottom w:w="40" w:type="dxa"/>
              <w:right w:w="100" w:type="dxa"/>
            </w:tcMar>
          </w:tcPr>
          <w:p w14:paraId="0E16EDE4" w14:textId="77777777" w:rsidR="00775A1C" w:rsidRDefault="003E5282">
            <w:pPr>
              <w:spacing w:line="220" w:lineRule="auto"/>
            </w:pPr>
            <w:r>
              <w:rPr>
                <w:sz w:val="18"/>
                <w:szCs w:val="18"/>
              </w:rPr>
              <w:t>GPT-4o-mini is used only at data preparation time to rewrite training Q/A into knowledge-graph grounded chain-of-thought traces (approximately $50 per cancer cohort, lab funded). No external LLM is called at training or inference time. LLM-assisted proofreading was used on this proposal; scientific content was authored and verified by the team.</w:t>
            </w:r>
          </w:p>
        </w:tc>
      </w:tr>
    </w:tbl>
    <w:p w14:paraId="0E16EDE6" w14:textId="77777777" w:rsidR="00775A1C" w:rsidRDefault="003E5282">
      <w:pPr>
        <w:spacing w:before="180" w:after="60"/>
      </w:pPr>
      <w:r>
        <w:rPr>
          <w:b/>
          <w:bCs/>
          <w:color w:val="A51C30"/>
        </w:rPr>
        <w:t>Abstract</w:t>
      </w:r>
    </w:p>
    <w:p w14:paraId="0E16EDE7" w14:textId="77777777" w:rsidR="00775A1C" w:rsidRDefault="003E5282">
      <w:pPr>
        <w:spacing w:before="60" w:after="80"/>
        <w:jc w:val="both"/>
      </w:pPr>
      <w:r>
        <w:t xml:space="preserve">Pathology vision-language models (VLMs), such as </w:t>
      </w:r>
      <w:proofErr w:type="spellStart"/>
      <w:r>
        <w:t>SlideChat</w:t>
      </w:r>
      <w:proofErr w:type="spellEnd"/>
      <w:r>
        <w:t xml:space="preserve"> </w:t>
      </w:r>
      <w:r>
        <w:rPr>
          <w:color w:val="666666"/>
        </w:rPr>
        <w:t>[</w:t>
      </w:r>
      <w:hyperlink w:anchor="ref5" w:history="1">
        <w:r>
          <w:rPr>
            <w:color w:val="666666"/>
            <w:u w:val="single" w:color="666666"/>
          </w:rPr>
          <w:t>5</w:t>
        </w:r>
      </w:hyperlink>
      <w:r>
        <w:rPr>
          <w:color w:val="666666"/>
        </w:rPr>
        <w:t>]</w:t>
      </w:r>
      <w:r>
        <w:t xml:space="preserve"> and WSI-</w:t>
      </w:r>
      <w:proofErr w:type="spellStart"/>
      <w:r>
        <w:t>LLaVA</w:t>
      </w:r>
      <w:proofErr w:type="spellEnd"/>
      <w:r>
        <w:t xml:space="preserve"> </w:t>
      </w:r>
      <w:r>
        <w:rPr>
          <w:color w:val="666666"/>
        </w:rPr>
        <w:t>[</w:t>
      </w:r>
      <w:hyperlink w:anchor="ref6" w:history="1">
        <w:r>
          <w:rPr>
            <w:color w:val="666666"/>
            <w:u w:val="single" w:color="666666"/>
          </w:rPr>
          <w:t>6</w:t>
        </w:r>
      </w:hyperlink>
      <w:r>
        <w:rPr>
          <w:color w:val="666666"/>
        </w:rPr>
        <w:t>]</w:t>
      </w:r>
      <w:r>
        <w:t xml:space="preserve">, now answer slide-level questions with strong accuracy. However, three gaps remain. These models do not check whether their reasoning </w:t>
      </w:r>
      <w:proofErr w:type="gramStart"/>
      <w:r>
        <w:t>actually points</w:t>
      </w:r>
      <w:proofErr w:type="gramEnd"/>
      <w:r>
        <w:t xml:space="preserve"> to the correct regions of tissue, they lose accuracy when forced to produce long reasoning traces, and they have only been studied on a small number of organs. COSMO+ addresses these gaps. Our recipe first fine-tunes the model to answer directly, then adds one epoch of reasoning supervision anchored to spatial pseudo-labels derived from the CONCH pathology f</w:t>
      </w:r>
      <w:r>
        <w:t xml:space="preserve">oundation model </w:t>
      </w:r>
      <w:r>
        <w:rPr>
          <w:color w:val="666666"/>
        </w:rPr>
        <w:t>[</w:t>
      </w:r>
      <w:hyperlink w:anchor="ref4" w:history="1">
        <w:r>
          <w:rPr>
            <w:color w:val="666666"/>
            <w:u w:val="single" w:color="666666"/>
          </w:rPr>
          <w:t>4</w:t>
        </w:r>
      </w:hyperlink>
      <w:r>
        <w:rPr>
          <w:color w:val="666666"/>
        </w:rPr>
        <w:t>]</w:t>
      </w:r>
      <w:r>
        <w:t xml:space="preserve">. On TCGA brain (586 patients, 1,194 slides), this two-step approach recovers 60% of the accuracy that fresh reasoning supervision normally loses, and produces reasoning traces whose spatial pointers can be checked against the tissue itself. A second stage of reinforcement learning further sharpens the recipe using four reward signals (format, diagnostic, spatial grounding, concept grounding). The brain pilot leads the </w:t>
      </w:r>
      <w:proofErr w:type="spellStart"/>
      <w:r>
        <w:t>SlideBench</w:t>
      </w:r>
      <w:proofErr w:type="spellEnd"/>
      <w:r>
        <w:t>-VQA-TCGA leaderboard on the LGG split and exceeds WSI-</w:t>
      </w:r>
      <w:proofErr w:type="spellStart"/>
      <w:r>
        <w:t>LLaVA</w:t>
      </w:r>
      <w:proofErr w:type="spellEnd"/>
      <w:r>
        <w:t xml:space="preserve"> on the WSI-Bench </w:t>
      </w:r>
      <w:r>
        <w:t xml:space="preserve">LGG free-form split by 0.055 METEOR. The central question of this proposal is whether that signal survives the move to the full TCGA pan-cancer pool, i.e., 11,160 patients across 33 cancer types </w:t>
      </w:r>
      <w:r>
        <w:rPr>
          <w:color w:val="666666"/>
        </w:rPr>
        <w:t>[</w:t>
      </w:r>
      <w:hyperlink w:anchor="ref9" w:history="1">
        <w:r>
          <w:rPr>
            <w:color w:val="666666"/>
            <w:u w:val="single" w:color="666666"/>
          </w:rPr>
          <w:t>9</w:t>
        </w:r>
      </w:hyperlink>
      <w:r>
        <w:rPr>
          <w:color w:val="666666"/>
        </w:rPr>
        <w:t>]</w:t>
      </w:r>
      <w:r>
        <w:t>. The evaluation set grows from approximately 340 brain Q/A to approximately 6,000 pan-cancer Q/A without writing a single new annotation. The architecture is identical across cohorts; the data pipeline is organ-agnostic; CONCH features for 32 of 33 cohorts are already on Harvard FASRC storage. In software terms, pan-cancer scaling means writing 31 short configuration files and re-running the same pipeline 31 more times. The workload fits inside 30 days on 64 GPUs, with measurable headroom for two secondar</w:t>
      </w:r>
      <w:r>
        <w:t>y aims on diffusion-based virtual staining from H&amp;E to immunohistochemistry (IHC).</w:t>
      </w:r>
    </w:p>
    <w:p w14:paraId="0E16EDE8" w14:textId="77777777" w:rsidR="00775A1C" w:rsidRDefault="003E5282">
      <w:pPr>
        <w:spacing w:before="180" w:after="60"/>
      </w:pPr>
      <w:r>
        <w:rPr>
          <w:b/>
          <w:bCs/>
          <w:color w:val="A51C30"/>
        </w:rPr>
        <w:t>Project Proposal</w:t>
      </w:r>
    </w:p>
    <w:p w14:paraId="0E16EDE9" w14:textId="77777777" w:rsidR="00775A1C" w:rsidRDefault="003E5282">
      <w:pPr>
        <w:spacing w:before="100" w:after="30"/>
      </w:pPr>
      <w:r>
        <w:rPr>
          <w:b/>
          <w:bCs/>
        </w:rPr>
        <w:t>Mission alignment (100 words).</w:t>
      </w:r>
    </w:p>
    <w:p w14:paraId="0E16EDEA" w14:textId="77777777" w:rsidR="00775A1C" w:rsidRDefault="003E5282">
      <w:pPr>
        <w:spacing w:before="60" w:after="80"/>
        <w:jc w:val="both"/>
      </w:pPr>
      <w:r>
        <w:t xml:space="preserve">The Kempner Institute supports projects that elucidate the foundations of intelligence and advance novel AI/ML methods, with particular interest in studies that join the two. COSMO+ sits at this intersection. As an AI/ML method, it offers a training recipe that resolves a well-known problem with reasoning models, namely that teaching a model to reason out loud often makes its direct answers worse. Recent papers have identified this issue but have not solved it at scale </w:t>
      </w:r>
      <w:r>
        <w:rPr>
          <w:color w:val="666666"/>
        </w:rPr>
        <w:t>[</w:t>
      </w:r>
      <w:hyperlink w:anchor="ref1" w:history="1">
        <w:r>
          <w:rPr>
            <w:color w:val="666666"/>
            <w:u w:val="single" w:color="666666"/>
          </w:rPr>
          <w:t>1</w:t>
        </w:r>
      </w:hyperlink>
      <w:r>
        <w:rPr>
          <w:color w:val="666666"/>
        </w:rPr>
        <w:t xml:space="preserve">, </w:t>
      </w:r>
      <w:hyperlink w:anchor="ref2" w:history="1">
        <w:r>
          <w:rPr>
            <w:color w:val="666666"/>
            <w:u w:val="single" w:color="666666"/>
          </w:rPr>
          <w:t>2</w:t>
        </w:r>
      </w:hyperlink>
      <w:r>
        <w:rPr>
          <w:color w:val="666666"/>
        </w:rPr>
        <w:t xml:space="preserve">, </w:t>
      </w:r>
      <w:hyperlink w:anchor="ref3" w:history="1">
        <w:r>
          <w:rPr>
            <w:color w:val="666666"/>
            <w:u w:val="single" w:color="666666"/>
          </w:rPr>
          <w:t>3</w:t>
        </w:r>
      </w:hyperlink>
      <w:r>
        <w:rPr>
          <w:color w:val="666666"/>
        </w:rPr>
        <w:t>]</w:t>
      </w:r>
      <w:r>
        <w:t>. As AI for science, it produces reasoning traces that pathologists can verify against the actual tissue, giving us tools to audit clinical decisions rather than another opaque predictor.</w:t>
      </w:r>
    </w:p>
    <w:p w14:paraId="0E16EDEB" w14:textId="77777777" w:rsidR="00775A1C" w:rsidRDefault="003E5282">
      <w:pPr>
        <w:spacing w:before="100" w:after="30"/>
      </w:pPr>
      <w:r>
        <w:rPr>
          <w:b/>
          <w:bCs/>
        </w:rPr>
        <w:t>Planned project and key objectives (250 words).</w:t>
      </w:r>
    </w:p>
    <w:p w14:paraId="0E16EDEC" w14:textId="77777777" w:rsidR="00775A1C" w:rsidRDefault="003E5282">
      <w:pPr>
        <w:spacing w:before="60" w:after="80"/>
        <w:jc w:val="both"/>
      </w:pPr>
      <w:r>
        <w:t xml:space="preserve">We propose to scale COSMO+ from a brain proof of concept (TCGA glioblastoma and lower-grade glioma; 586 patients, 1,194 slides) to the full TCGA pan-cancer pool of 11,160 patients across 33 cancer types, within the 30-day allocation. The model architecture is the same across all cohorts. Patch features from the CONCH foundation model </w:t>
      </w:r>
      <w:r>
        <w:rPr>
          <w:color w:val="666666"/>
        </w:rPr>
        <w:t>[</w:t>
      </w:r>
      <w:hyperlink w:anchor="ref4" w:history="1">
        <w:r>
          <w:rPr>
            <w:color w:val="666666"/>
            <w:u w:val="single" w:color="666666"/>
          </w:rPr>
          <w:t>4</w:t>
        </w:r>
      </w:hyperlink>
      <w:r>
        <w:rPr>
          <w:color w:val="666666"/>
        </w:rPr>
        <w:t>]</w:t>
      </w:r>
      <w:r>
        <w:t xml:space="preserve"> are pooled by a small transformer module and passed to the Qwen2.5-7B language model, which is fine-tuned with a parameter-efficient adapter (</w:t>
      </w:r>
      <w:proofErr w:type="spellStart"/>
      <w:r>
        <w:t>LoRA</w:t>
      </w:r>
      <w:proofErr w:type="spellEnd"/>
      <w:r>
        <w:t xml:space="preserve">, 363M trainable parameters, about 4.5% of the backbone). The data pipeline is organ-agnostic by design. Scaling to pan-cancer therefore amounts to writing one short </w:t>
      </w:r>
      <w:r>
        <w:lastRenderedPageBreak/>
        <w:t xml:space="preserve">configuration file per cancer (covering its WHO taxonomy and reasoning templates) and re-running the same pipeline. The work is organized into four Specific Aims (see Specific Aims section for full </w:t>
      </w:r>
      <w:r>
        <w:t>prose):</w:t>
      </w:r>
    </w:p>
    <w:p w14:paraId="0E16EDED" w14:textId="77777777" w:rsidR="00775A1C" w:rsidRDefault="003E5282">
      <w:pPr>
        <w:pStyle w:val="ListParagraph"/>
        <w:numPr>
          <w:ilvl w:val="0"/>
          <w:numId w:val="2"/>
        </w:numPr>
        <w:spacing w:before="30" w:after="30"/>
      </w:pPr>
      <w:r>
        <w:t>Specific Aim 1 (Primary). Scale the spatially grounded curriculum SFT recipe to 32 TCGA solid-tumor cohorts (LAML excluded; no diagnostic slides).</w:t>
      </w:r>
    </w:p>
    <w:p w14:paraId="0E16EDEE" w14:textId="77777777" w:rsidR="00775A1C" w:rsidRDefault="003E5282">
      <w:pPr>
        <w:pStyle w:val="ListParagraph"/>
        <w:numPr>
          <w:ilvl w:val="0"/>
          <w:numId w:val="2"/>
        </w:numPr>
        <w:spacing w:before="30" w:after="30"/>
      </w:pPr>
      <w:r>
        <w:t xml:space="preserve">Specific Aim 2 (Primary). Establish a pan-cancer mechanistic interpretability harness, i.e., </w:t>
      </w:r>
      <w:proofErr w:type="spellStart"/>
      <w:r>
        <w:t>IoU@k</w:t>
      </w:r>
      <w:proofErr w:type="spellEnd"/>
      <w:r>
        <w:t xml:space="preserve">, Concept Grounding Score, Reasoning Fidelity Score, and Hallucination Rate, evaluated on the full </w:t>
      </w:r>
      <w:proofErr w:type="spellStart"/>
      <w:r>
        <w:t>SlideBench</w:t>
      </w:r>
      <w:proofErr w:type="spellEnd"/>
      <w:r>
        <w:t xml:space="preserve">-VQA-TCGA (3,176 MCQs across 31 cancers) </w:t>
      </w:r>
      <w:r>
        <w:rPr>
          <w:color w:val="666666"/>
        </w:rPr>
        <w:t>[</w:t>
      </w:r>
      <w:hyperlink w:anchor="ref5" w:history="1">
        <w:r>
          <w:rPr>
            <w:color w:val="666666"/>
            <w:u w:val="single" w:color="666666"/>
          </w:rPr>
          <w:t>5</w:t>
        </w:r>
      </w:hyperlink>
      <w:r>
        <w:rPr>
          <w:color w:val="666666"/>
        </w:rPr>
        <w:t>]</w:t>
      </w:r>
      <w:r>
        <w:t xml:space="preserve"> and WSI-Bench test split (2,838 Q/A across 30 cancers) </w:t>
      </w:r>
      <w:r>
        <w:rPr>
          <w:color w:val="666666"/>
        </w:rPr>
        <w:t>[</w:t>
      </w:r>
      <w:hyperlink w:anchor="ref6" w:history="1">
        <w:r>
          <w:rPr>
            <w:color w:val="666666"/>
            <w:u w:val="single" w:color="666666"/>
          </w:rPr>
          <w:t>6</w:t>
        </w:r>
      </w:hyperlink>
      <w:r>
        <w:rPr>
          <w:color w:val="666666"/>
        </w:rPr>
        <w:t>]</w:t>
      </w:r>
      <w:r>
        <w:t>.</w:t>
      </w:r>
    </w:p>
    <w:p w14:paraId="0E16EDEF" w14:textId="77777777" w:rsidR="00775A1C" w:rsidRDefault="003E5282">
      <w:pPr>
        <w:pStyle w:val="ListParagraph"/>
        <w:numPr>
          <w:ilvl w:val="0"/>
          <w:numId w:val="2"/>
        </w:numPr>
        <w:spacing w:before="30" w:after="30"/>
      </w:pPr>
      <w:r>
        <w:t>Specific Aim 3 (Secondary, placeholder). Diffusion-based virtual staining of histology to IHC, Sub-project A. Final hypothesis and metrics to be inserted before submission.</w:t>
      </w:r>
    </w:p>
    <w:p w14:paraId="0E16EDF0" w14:textId="77777777" w:rsidR="00775A1C" w:rsidRDefault="003E5282">
      <w:pPr>
        <w:pStyle w:val="ListParagraph"/>
        <w:numPr>
          <w:ilvl w:val="0"/>
          <w:numId w:val="2"/>
        </w:numPr>
        <w:spacing w:before="30" w:after="30"/>
      </w:pPr>
      <w:r>
        <w:t>Specific Aim 4 (Secondary, placeholder). Diffusion-based virtual staining of histology to IHC, Sub-project B. Final hypothesis and metrics to be inserted before submission.</w:t>
      </w:r>
    </w:p>
    <w:p w14:paraId="0E16EDF1" w14:textId="77777777" w:rsidR="00775A1C" w:rsidRDefault="003E5282">
      <w:pPr>
        <w:spacing w:before="100" w:after="30"/>
      </w:pPr>
      <w:r>
        <w:rPr>
          <w:b/>
          <w:bCs/>
        </w:rPr>
        <w:t>Specific scientific question (50 words).</w:t>
      </w:r>
    </w:p>
    <w:p w14:paraId="0E16EDF2" w14:textId="77777777" w:rsidR="00775A1C" w:rsidRDefault="003E5282">
      <w:pPr>
        <w:spacing w:before="60" w:after="80"/>
        <w:jc w:val="both"/>
      </w:pPr>
      <w:r>
        <w:t>Does a two-stage training recipe (first fine-tune the model to answer; then add one epoch of reasoning supervision anchored to spatial pseudo-labels from CONCH) generalize across the 32 TCGA solid-tumor cancer types, or is the positive brain result an organ-specific artifact of glioma morphology?</w:t>
      </w:r>
    </w:p>
    <w:p w14:paraId="0E16EDF3" w14:textId="77777777" w:rsidR="00775A1C" w:rsidRDefault="003E5282">
      <w:pPr>
        <w:spacing w:before="100" w:after="30"/>
      </w:pPr>
      <w:r>
        <w:rPr>
          <w:b/>
          <w:bCs/>
        </w:rPr>
        <w:t>Expected impact (100 words).</w:t>
      </w:r>
    </w:p>
    <w:p w14:paraId="0E16EDF4" w14:textId="77777777" w:rsidR="00775A1C" w:rsidRDefault="003E5282">
      <w:pPr>
        <w:spacing w:before="60" w:after="80"/>
        <w:jc w:val="both"/>
      </w:pPr>
      <w:r>
        <w:t>A positive result will deliver the first organ-agnostic pathology VLM trained at this scale, with measurable accuracy gains over WSI-</w:t>
      </w:r>
      <w:proofErr w:type="spellStart"/>
      <w:r>
        <w:t>LLaVA</w:t>
      </w:r>
      <w:proofErr w:type="spellEnd"/>
      <w:r>
        <w:t xml:space="preserve"> </w:t>
      </w:r>
      <w:r>
        <w:rPr>
          <w:color w:val="666666"/>
        </w:rPr>
        <w:t>[</w:t>
      </w:r>
      <w:hyperlink w:anchor="ref6" w:history="1">
        <w:r>
          <w:rPr>
            <w:color w:val="666666"/>
            <w:u w:val="single" w:color="666666"/>
          </w:rPr>
          <w:t>6</w:t>
        </w:r>
      </w:hyperlink>
      <w:r>
        <w:rPr>
          <w:color w:val="666666"/>
        </w:rPr>
        <w:t>]</w:t>
      </w:r>
      <w:r>
        <w:t xml:space="preserve"> and </w:t>
      </w:r>
      <w:proofErr w:type="spellStart"/>
      <w:r>
        <w:t>SlideChat</w:t>
      </w:r>
      <w:proofErr w:type="spellEnd"/>
      <w:r>
        <w:t xml:space="preserve"> </w:t>
      </w:r>
      <w:r>
        <w:rPr>
          <w:color w:val="666666"/>
        </w:rPr>
        <w:t>[</w:t>
      </w:r>
      <w:hyperlink w:anchor="ref5" w:history="1">
        <w:r>
          <w:rPr>
            <w:color w:val="666666"/>
            <w:u w:val="single" w:color="666666"/>
          </w:rPr>
          <w:t>5</w:t>
        </w:r>
      </w:hyperlink>
      <w:r>
        <w:rPr>
          <w:color w:val="666666"/>
        </w:rPr>
        <w:t>]</w:t>
      </w:r>
      <w:r>
        <w:t xml:space="preserve"> on every TCGA cancer, plus four interpretability scores that let pathologists audit reasoning region by region through an interactive dashboard. A negative result is equally informative. It tells us which cancer types the recipe fails on and informs the open question of how to keep reasoning models well calibrated. Either outcome moves the spatial interpretability program </w:t>
      </w:r>
      <w:r>
        <w:rPr>
          <w:color w:val="666666"/>
        </w:rPr>
        <w:t>[</w:t>
      </w:r>
      <w:hyperlink w:anchor="ref7" w:history="1">
        <w:r>
          <w:rPr>
            <w:color w:val="666666"/>
            <w:u w:val="single" w:color="666666"/>
          </w:rPr>
          <w:t>7</w:t>
        </w:r>
      </w:hyperlink>
      <w:r>
        <w:rPr>
          <w:color w:val="666666"/>
        </w:rPr>
        <w:t>]</w:t>
      </w:r>
      <w:r>
        <w:t xml:space="preserve"> from a single organ to </w:t>
      </w:r>
      <w:proofErr w:type="gramStart"/>
      <w:r>
        <w:t>thirty, and</w:t>
      </w:r>
      <w:proofErr w:type="gramEnd"/>
      <w:r>
        <w:t xml:space="preserve"> supplies a pan-cancer evaluation harness that does not yet exist.</w:t>
      </w:r>
    </w:p>
    <w:p w14:paraId="0E16EDF5" w14:textId="77777777" w:rsidR="00775A1C" w:rsidRDefault="00775A1C">
      <w:pPr>
        <w:pBdr>
          <w:bottom w:val="single" w:sz="4" w:space="1" w:color="C8C8C8"/>
        </w:pBdr>
        <w:spacing w:before="100" w:after="60"/>
      </w:pPr>
    </w:p>
    <w:p w14:paraId="0E16EDF6" w14:textId="77777777" w:rsidR="00775A1C" w:rsidRDefault="003E5282">
      <w:pPr>
        <w:spacing w:before="180" w:after="60"/>
      </w:pPr>
      <w:r>
        <w:rPr>
          <w:b/>
          <w:bCs/>
          <w:color w:val="A51C30"/>
        </w:rPr>
        <w:t>Specific Aims</w:t>
      </w:r>
    </w:p>
    <w:p w14:paraId="0E16EDF7" w14:textId="77777777" w:rsidR="00775A1C" w:rsidRDefault="003E5282">
      <w:pPr>
        <w:spacing w:before="60" w:after="80"/>
        <w:jc w:val="both"/>
      </w:pPr>
      <w:r>
        <w:t xml:space="preserve">The overarching goal of this proposal is to determine whether the spatially grounded curriculum SFT recipe and interpretability harness developed in COSMO+ generalize from a single organ system (brain) to the full TCGA pan-cancer pool. </w:t>
      </w:r>
      <w:r>
        <w:rPr>
          <w:u w:val="single"/>
        </w:rPr>
        <w:t xml:space="preserve">Our central hypothesis </w:t>
      </w:r>
      <w:r>
        <w:t>posits that organ-agnostic chain-of-thought supervision against CONCH-derived spatial pseudo-labels will improve both diagnostic accuracy and reasoning fidelity over plain instruction tuning, and that the gains will be measurable on existing pan-cancer benchmarks without new annotation. We will examine this hypothesis through the following four Specific Aims. Aims 1 and 2 are primary; Aims 3 and 4 are secondary and contain placeholders that will be finalized before submission.</w:t>
      </w:r>
    </w:p>
    <w:p w14:paraId="0E16EDF8" w14:textId="77777777" w:rsidR="00775A1C" w:rsidRDefault="003E5282">
      <w:pPr>
        <w:spacing w:before="140" w:after="40"/>
      </w:pPr>
      <w:r>
        <w:rPr>
          <w:b/>
          <w:bCs/>
        </w:rPr>
        <w:t>Specific Aim 1 (Primary). To scale the two-stage training recipe to the TCGA pan-cancer pool.</w:t>
      </w:r>
    </w:p>
    <w:p w14:paraId="0E16EDF9" w14:textId="77777777" w:rsidR="00775A1C" w:rsidRDefault="003E5282">
      <w:pPr>
        <w:spacing w:before="60" w:after="80"/>
        <w:jc w:val="both"/>
      </w:pPr>
      <w:r>
        <w:rPr>
          <w:u w:val="single"/>
        </w:rPr>
        <w:t xml:space="preserve">We hypothesize that </w:t>
      </w:r>
      <w:r>
        <w:t xml:space="preserve">a two-stage training schedule (first teach the model to answer directly; then teach it to reason) closes the accuracy gap that long reasoning supervision normally introduces, and that this effect holds across the 32 TCGA solid-tumor cohorts. To evaluate this hypothesis, we will train per-cancer baseline and curriculum-stage checkpoints using the existing CONCH feature lake (11,513 diagnostic slides and 18,161 frozen-section slides, totaling 29,674 slides), and report accuracy on the </w:t>
      </w:r>
      <w:proofErr w:type="spellStart"/>
      <w:r>
        <w:t>SlideBench</w:t>
      </w:r>
      <w:proofErr w:type="spellEnd"/>
      <w:r>
        <w:t>-VQA-TCGA lead</w:t>
      </w:r>
      <w:r>
        <w:t xml:space="preserve">erboard </w:t>
      </w:r>
      <w:r>
        <w:rPr>
          <w:color w:val="666666"/>
        </w:rPr>
        <w:t>[</w:t>
      </w:r>
      <w:hyperlink w:anchor="ref5" w:history="1">
        <w:r>
          <w:rPr>
            <w:color w:val="666666"/>
            <w:u w:val="single" w:color="666666"/>
          </w:rPr>
          <w:t>5</w:t>
        </w:r>
      </w:hyperlink>
      <w:r>
        <w:rPr>
          <w:color w:val="666666"/>
        </w:rPr>
        <w:t>]</w:t>
      </w:r>
      <w:r>
        <w:t xml:space="preserve">. On the brain pilot, the curriculum reached 79.6% (letter-only) and 76.4% (with reasoning) on </w:t>
      </w:r>
      <w:proofErr w:type="spellStart"/>
      <w:r>
        <w:t>SlideBench</w:t>
      </w:r>
      <w:proofErr w:type="spellEnd"/>
      <w:r>
        <w:t xml:space="preserve">, recovering 60% of the gap between fresh reasoning supervision and direct-answer training </w:t>
      </w:r>
      <w:r>
        <w:rPr>
          <w:color w:val="666666"/>
        </w:rPr>
        <w:t>[</w:t>
      </w:r>
      <w:hyperlink w:anchor="ref1" w:history="1">
        <w:r>
          <w:rPr>
            <w:color w:val="666666"/>
            <w:u w:val="single" w:color="666666"/>
          </w:rPr>
          <w:t>1</w:t>
        </w:r>
      </w:hyperlink>
      <w:r>
        <w:rPr>
          <w:color w:val="666666"/>
        </w:rPr>
        <w:t xml:space="preserve">, </w:t>
      </w:r>
      <w:r>
        <w:fldChar w:fldCharType="begin"/>
      </w:r>
      <w:r>
        <w:instrText>HYPERLINK \l "ref2"</w:instrText>
      </w:r>
      <w:r>
        <w:fldChar w:fldCharType="separate"/>
      </w:r>
      <w:r>
        <w:rPr>
          <w:color w:val="666666"/>
          <w:u w:val="single" w:color="666666"/>
        </w:rPr>
        <w:t>2</w:t>
      </w:r>
      <w:r>
        <w:rPr>
          <w:color w:val="666666"/>
          <w:u w:val="single" w:color="666666"/>
        </w:rPr>
        <w:fldChar w:fldCharType="end"/>
      </w:r>
      <w:r>
        <w:rPr>
          <w:color w:val="666666"/>
        </w:rPr>
        <w:t>]</w:t>
      </w:r>
      <w:r>
        <w:t>. Pan-cancer scaling is the only way to separate "the recipe helps" from "the recipe helps for brain".</w:t>
      </w:r>
    </w:p>
    <w:p w14:paraId="0E16EDFA" w14:textId="77777777" w:rsidR="00775A1C" w:rsidRDefault="003E5282">
      <w:pPr>
        <w:spacing w:before="140" w:after="40"/>
      </w:pPr>
      <w:r>
        <w:rPr>
          <w:b/>
          <w:bCs/>
        </w:rPr>
        <w:t>Specific Aim 2 (Primary). To establish a pan-cancer interpretability harness for pathology VLMs.</w:t>
      </w:r>
    </w:p>
    <w:p w14:paraId="0E16EDFB" w14:textId="77777777" w:rsidR="00775A1C" w:rsidRDefault="003E5282">
      <w:pPr>
        <w:spacing w:before="60" w:after="80"/>
        <w:jc w:val="both"/>
      </w:pPr>
      <w:r>
        <w:rPr>
          <w:u w:val="single"/>
        </w:rPr>
        <w:t xml:space="preserve">We hypothesize that </w:t>
      </w:r>
      <w:r>
        <w:t xml:space="preserve">diagnostic concepts in pathology VLMs emerge gradually across the layers of the language model, that the spatial pointers the model produces inside its reasoning trace are causally tied to its final answer, and that the model hallucinates more often on rare cancer subtypes where training data is sparse. To evaluate this hypothesis, we will compute four interpretability scores on each per-cancer checkpoint. (1) Spatial Grounding asks whether the model points to the correct tissue regions, measured by </w:t>
      </w:r>
      <w:proofErr w:type="spellStart"/>
      <w:r>
        <w:t>IoU@k</w:t>
      </w:r>
      <w:proofErr w:type="spellEnd"/>
      <w:r>
        <w:t xml:space="preserve"> a</w:t>
      </w:r>
      <w:r>
        <w:t>nd Top-k recall against CONCH pseudo-labels. (2) Concept Grounding (CGS) asks whether the morphological terms the model uses are visually supported, scored as an F1 between predicted terms and pseudo-label terms with a diagnosis-consistency check. (3) Reasoning Fidelity (RFS) separates correct-for-the-right-reason from correct-by-coincidence using a four-way classification (correct vs. incorrect, grounded vs. ungrounded). (4) Hallucination Rate (HR) reports the share of morphology terms the model invokes wi</w:t>
      </w:r>
      <w:r>
        <w:t xml:space="preserve">thout any visual evidence in the slide. Per-cancer results will be served through a public dashboard built on Flask and </w:t>
      </w:r>
      <w:proofErr w:type="spellStart"/>
      <w:r>
        <w:t>OpenSeadragon</w:t>
      </w:r>
      <w:proofErr w:type="spellEnd"/>
      <w:r>
        <w:t xml:space="preserve"> that overlays the model’s spatial reasoning on the actual whole-slide image.</w:t>
      </w:r>
    </w:p>
    <w:p w14:paraId="0E16EDFC" w14:textId="77777777" w:rsidR="00775A1C" w:rsidRDefault="003E5282">
      <w:pPr>
        <w:spacing w:before="140" w:after="40"/>
      </w:pPr>
      <w:r>
        <w:rPr>
          <w:b/>
          <w:bCs/>
        </w:rPr>
        <w:t>Specific Aim 3 (Secondary). Diffusion-based virtual staining of histology to IHC, Sub-project A. [PLACEHOLDER]</w:t>
      </w:r>
    </w:p>
    <w:p w14:paraId="0E16EDFD" w14:textId="77777777" w:rsidR="00775A1C" w:rsidRDefault="003E5282">
      <w:pPr>
        <w:spacing w:before="60" w:after="80"/>
        <w:jc w:val="both"/>
      </w:pPr>
      <w:r>
        <w:rPr>
          <w:u w:val="single"/>
        </w:rPr>
        <w:t xml:space="preserve">We hypothesize that </w:t>
      </w:r>
      <w:r>
        <w:rPr>
          <w:color w:val="6F6F6F"/>
        </w:rPr>
        <w:t xml:space="preserve">[PLACEHOLDER: hypothesis statement to be inserted before submission]. To evaluate this hypothesis, we will [PLACEHOLDER: experimental plan, dataset, and primary outcome metric to be inserted]. Suggested framing: cross-stain spatial-grounding generalization, i.e., does the spatial </w:t>
      </w:r>
      <w:proofErr w:type="spellStart"/>
      <w:r>
        <w:rPr>
          <w:color w:val="6F6F6F"/>
        </w:rPr>
        <w:t>CoT</w:t>
      </w:r>
      <w:proofErr w:type="spellEnd"/>
      <w:r>
        <w:rPr>
          <w:color w:val="6F6F6F"/>
        </w:rPr>
        <w:t xml:space="preserve"> reward survive when the model is trained on H&amp;E but reasoned over a virtual IHC </w:t>
      </w:r>
      <w:r>
        <w:rPr>
          <w:color w:val="6F6F6F"/>
        </w:rPr>
        <w:lastRenderedPageBreak/>
        <w:t>channel produced by a diffusion model? Compute cost for this aim is budgeted within the 22-day buffer reported in §Resource Planning Timeline. Fina</w:t>
      </w:r>
      <w:r>
        <w:rPr>
          <w:color w:val="6F6F6F"/>
        </w:rPr>
        <w:t xml:space="preserve">l scope, hypothesis, baselines, and metrics will be finalized before submission. </w:t>
      </w:r>
    </w:p>
    <w:p w14:paraId="0E16EDFE" w14:textId="77777777" w:rsidR="00775A1C" w:rsidRDefault="003E5282">
      <w:pPr>
        <w:spacing w:before="140" w:after="40"/>
      </w:pPr>
      <w:r>
        <w:rPr>
          <w:b/>
          <w:bCs/>
        </w:rPr>
        <w:t>Specific Aim 4 (Secondary). Diffusion-based virtual staining of histology to IHC, Sub-project B. [PLACEHOLDER]</w:t>
      </w:r>
    </w:p>
    <w:p w14:paraId="0E16EDFF" w14:textId="77777777" w:rsidR="00775A1C" w:rsidRDefault="003E5282">
      <w:pPr>
        <w:spacing w:before="60" w:after="80"/>
        <w:jc w:val="both"/>
      </w:pPr>
      <w:r>
        <w:rPr>
          <w:u w:val="single"/>
        </w:rPr>
        <w:t xml:space="preserve">We hypothesize that </w:t>
      </w:r>
      <w:r>
        <w:rPr>
          <w:color w:val="6F6F6F"/>
        </w:rPr>
        <w:t xml:space="preserve">[PLACEHOLDER: hypothesis statement to be inserted before submission]. To evaluate this hypothesis, we will [PLACEHOLDER: experimental plan, dataset, and primary outcome metric to be inserted]. Suggested framing: IHC-as-pseudo-label upgrade, i.e., does an IHC-conditioned </w:t>
      </w:r>
      <w:proofErr w:type="spellStart"/>
      <w:r>
        <w:rPr>
          <w:color w:val="6F6F6F"/>
        </w:rPr>
        <w:t>CoT</w:t>
      </w:r>
      <w:proofErr w:type="spellEnd"/>
      <w:r>
        <w:rPr>
          <w:color w:val="6F6F6F"/>
        </w:rPr>
        <w:t xml:space="preserve"> trace reduce hallucination rate on tumor-marker subtypes (e.g., HER2 in breast, PD-L1 in lung)? Compute cost for this aim is budgeted within the 22-day buffer reported in §Resource Planning Timeline. Final scope, hypothesis, baselines, a</w:t>
      </w:r>
      <w:r>
        <w:rPr>
          <w:color w:val="6F6F6F"/>
        </w:rPr>
        <w:t xml:space="preserve">nd metrics will be finalized before submission. </w:t>
      </w:r>
    </w:p>
    <w:p w14:paraId="0E16EE00" w14:textId="77777777" w:rsidR="00775A1C" w:rsidRDefault="00775A1C">
      <w:pPr>
        <w:pBdr>
          <w:bottom w:val="single" w:sz="4" w:space="1" w:color="C8C8C8"/>
        </w:pBdr>
        <w:spacing w:before="100" w:after="60"/>
      </w:pPr>
    </w:p>
    <w:p w14:paraId="0E16EE01" w14:textId="77777777" w:rsidR="00775A1C" w:rsidRDefault="003E5282">
      <w:pPr>
        <w:spacing w:before="180" w:after="60"/>
      </w:pPr>
      <w:r>
        <w:rPr>
          <w:b/>
          <w:bCs/>
          <w:color w:val="A51C30"/>
        </w:rPr>
        <w:t>Technical Readiness Report</w:t>
      </w:r>
    </w:p>
    <w:p w14:paraId="0E16EE02" w14:textId="77777777" w:rsidR="00775A1C" w:rsidRDefault="003E5282">
      <w:pPr>
        <w:spacing w:before="100" w:after="30"/>
      </w:pPr>
      <w:r>
        <w:rPr>
          <w:b/>
          <w:bCs/>
        </w:rPr>
        <w:t>Code links.</w:t>
      </w:r>
    </w:p>
    <w:p w14:paraId="0E16EE03" w14:textId="77777777" w:rsidR="00775A1C" w:rsidRDefault="003E5282">
      <w:pPr>
        <w:spacing w:before="60" w:after="80"/>
        <w:jc w:val="both"/>
      </w:pPr>
      <w:r>
        <w:t xml:space="preserve">Primary repository: </w:t>
      </w:r>
      <w:hyperlink r:id="rId7" w:history="1">
        <w:r>
          <w:rPr>
            <w:color w:val="0563C1"/>
            <w:u w:val="single"/>
          </w:rPr>
          <w:t>github.com/</w:t>
        </w:r>
        <w:proofErr w:type="spellStart"/>
        <w:r>
          <w:rPr>
            <w:color w:val="0563C1"/>
            <w:u w:val="single"/>
          </w:rPr>
          <w:t>PhilipChicco</w:t>
        </w:r>
        <w:proofErr w:type="spellEnd"/>
        <w:r>
          <w:rPr>
            <w:color w:val="0563C1"/>
            <w:u w:val="single"/>
          </w:rPr>
          <w:t>/</w:t>
        </w:r>
        <w:proofErr w:type="spellStart"/>
        <w:r>
          <w:rPr>
            <w:color w:val="0563C1"/>
            <w:u w:val="single"/>
          </w:rPr>
          <w:t>cosmo_plus</w:t>
        </w:r>
        <w:proofErr w:type="spellEnd"/>
      </w:hyperlink>
      <w:r>
        <w:t xml:space="preserve"> (currently private; will be made public upon notice of award per the Kempner Open Science Policy). A minimal repository named </w:t>
      </w:r>
      <w:proofErr w:type="spellStart"/>
      <w:r>
        <w:t>cosmo_pancancer</w:t>
      </w:r>
      <w:proofErr w:type="spellEnd"/>
      <w:r>
        <w:t xml:space="preserve"> will be published under the </w:t>
      </w:r>
      <w:proofErr w:type="spellStart"/>
      <w:r>
        <w:t>KempnerInstitute</w:t>
      </w:r>
      <w:proofErr w:type="spellEnd"/>
      <w:r>
        <w:t xml:space="preserve"> organization with a one-command reproducibility script. The Kempner Institute GitHub user has been pre-cleared as a collaborator on the private repository for review.</w:t>
      </w:r>
    </w:p>
    <w:p w14:paraId="0E16EE04" w14:textId="77777777" w:rsidR="00775A1C" w:rsidRDefault="003E5282">
      <w:pPr>
        <w:spacing w:before="100" w:after="30"/>
      </w:pPr>
      <w:r>
        <w:rPr>
          <w:b/>
          <w:bCs/>
        </w:rPr>
        <w:t>Frameworks, libraries, and software environment (≤ 200 words).</w:t>
      </w:r>
    </w:p>
    <w:p w14:paraId="0E16EE05" w14:textId="77777777" w:rsidR="00775A1C" w:rsidRDefault="003E5282">
      <w:pPr>
        <w:spacing w:before="60" w:after="80"/>
        <w:jc w:val="both"/>
      </w:pPr>
      <w:proofErr w:type="spellStart"/>
      <w:r>
        <w:t>PyTorch</w:t>
      </w:r>
      <w:proofErr w:type="spellEnd"/>
      <w:r>
        <w:t xml:space="preserve"> 2.6.0 with CUDA 12.4; Hugging Face Transformers 4.57; TRL 0.23.1 (GRPO trainer); PEFT for </w:t>
      </w:r>
      <w:proofErr w:type="spellStart"/>
      <w:r>
        <w:t>LoRA</w:t>
      </w:r>
      <w:proofErr w:type="spellEnd"/>
      <w:r>
        <w:t xml:space="preserve"> at rank 128, alpha 256, dropout 0.05; Accelerate for multi-GPU training; </w:t>
      </w:r>
      <w:proofErr w:type="spellStart"/>
      <w:r>
        <w:t>bitsandbytes</w:t>
      </w:r>
      <w:proofErr w:type="spellEnd"/>
      <w:r>
        <w:t xml:space="preserve"> for optional 4-bit reference-model loading. The patch encoder is CONCH </w:t>
      </w:r>
      <w:r>
        <w:rPr>
          <w:color w:val="666666"/>
        </w:rPr>
        <w:t>[</w:t>
      </w:r>
      <w:hyperlink w:anchor="ref4" w:history="1">
        <w:r>
          <w:rPr>
            <w:color w:val="666666"/>
            <w:u w:val="single" w:color="666666"/>
          </w:rPr>
          <w:t>4</w:t>
        </w:r>
      </w:hyperlink>
      <w:r>
        <w:rPr>
          <w:color w:val="666666"/>
        </w:rPr>
        <w:t>]</w:t>
      </w:r>
      <w:r>
        <w:t xml:space="preserve"> loaded via its public </w:t>
      </w:r>
      <w:proofErr w:type="spellStart"/>
      <w:r>
        <w:t>pytorch_model.bin</w:t>
      </w:r>
      <w:proofErr w:type="spellEnd"/>
      <w:r>
        <w:t xml:space="preserve">. Pseudo-labels are produced from CONCH text-encoder cosine similarity over a 22-template prompt ensemble. The LLM backbone is Qwen2.5-7B-Instruct. Auxiliary stack: </w:t>
      </w:r>
      <w:proofErr w:type="spellStart"/>
      <w:r>
        <w:t>openslide</w:t>
      </w:r>
      <w:proofErr w:type="spellEnd"/>
      <w:r>
        <w:t xml:space="preserve">-python and </w:t>
      </w:r>
      <w:proofErr w:type="spellStart"/>
      <w:r>
        <w:t>OpenSeadragon</w:t>
      </w:r>
      <w:proofErr w:type="spellEnd"/>
      <w:r>
        <w:t xml:space="preserve"> for slide IO and the dashboard; </w:t>
      </w:r>
      <w:proofErr w:type="spellStart"/>
      <w:r>
        <w:t>wandb</w:t>
      </w:r>
      <w:proofErr w:type="spellEnd"/>
      <w:r>
        <w:t xml:space="preserve"> for run tracking; Flask and </w:t>
      </w:r>
      <w:proofErr w:type="spellStart"/>
      <w:r>
        <w:t>Gradio</w:t>
      </w:r>
      <w:proofErr w:type="spellEnd"/>
      <w:r>
        <w:t xml:space="preserve"> for the interpretability surface; </w:t>
      </w:r>
      <w:proofErr w:type="spellStart"/>
      <w:r>
        <w:t>conda</w:t>
      </w:r>
      <w:proofErr w:type="spellEnd"/>
      <w:r>
        <w:t xml:space="preserve"> for the conch environment on Python 3.10. All training reads pre-extracted .pt features from disk; there is no slide IO inside the training loop, which keeps t</w:t>
      </w:r>
      <w:r>
        <w:t xml:space="preserve">he </w:t>
      </w:r>
      <w:proofErr w:type="spellStart"/>
      <w:r>
        <w:t>walltime</w:t>
      </w:r>
      <w:proofErr w:type="spellEnd"/>
      <w:r>
        <w:t xml:space="preserve"> predictable. We do not containerize on the cluster. Reproducibility is achieved via a pinned </w:t>
      </w:r>
      <w:proofErr w:type="spellStart"/>
      <w:r>
        <w:t>conda</w:t>
      </w:r>
      <w:proofErr w:type="spellEnd"/>
      <w:r>
        <w:t xml:space="preserve"> spec (</w:t>
      </w:r>
      <w:proofErr w:type="spellStart"/>
      <w:r>
        <w:t>environment.yml</w:t>
      </w:r>
      <w:proofErr w:type="spellEnd"/>
      <w:r>
        <w:t>) and a frozen pip requirements file.</w:t>
      </w:r>
    </w:p>
    <w:p w14:paraId="0E16EE06" w14:textId="77777777" w:rsidR="00775A1C" w:rsidRDefault="003E5282">
      <w:pPr>
        <w:spacing w:before="100" w:after="30"/>
      </w:pPr>
      <w:r>
        <w:rPr>
          <w:b/>
          <w:bCs/>
        </w:rPr>
        <w:t>External APIs and AI services.</w:t>
      </w:r>
    </w:p>
    <w:p w14:paraId="0E16EE07" w14:textId="77777777" w:rsidR="00775A1C" w:rsidRDefault="003E5282">
      <w:pPr>
        <w:spacing w:before="60" w:after="80"/>
        <w:jc w:val="both"/>
      </w:pPr>
      <w:r>
        <w:t>GPT-4o-mini (OpenAI) is used only at data preparation time to rewrite each training Q/A into a knowledge-graph grounded &lt;think&gt;/&lt;answer&gt;/&lt;form&gt; chain-of-thought trace. The pipeline is asynchronous and resume safe. Expected cost is approximately $50 per cancer cohort at the brain reference budget (~50,000 Q/A per cohort, ~$0.30 per 1k tokens). External-API cost is funded out of the lab budget and is not requested from the Kempner award. No external API is called at training or inference time.</w:t>
      </w:r>
    </w:p>
    <w:p w14:paraId="0E16EE08" w14:textId="77777777" w:rsidR="00775A1C" w:rsidRDefault="003E5282">
      <w:pPr>
        <w:spacing w:before="100" w:after="30"/>
      </w:pPr>
      <w:r>
        <w:rPr>
          <w:b/>
          <w:bCs/>
        </w:rPr>
        <w:t>Scalability testing.</w:t>
      </w:r>
    </w:p>
    <w:p w14:paraId="0E16EE09" w14:textId="77777777" w:rsidR="00775A1C" w:rsidRDefault="003E5282">
      <w:pPr>
        <w:spacing w:before="60" w:after="80"/>
        <w:jc w:val="both"/>
      </w:pPr>
      <w:r>
        <w:t xml:space="preserve">The Stage-2 supervised fine-tuning pipeline has been measured on the actual brain </w:t>
      </w:r>
      <w:proofErr w:type="spellStart"/>
      <w:r>
        <w:t>SlideBench</w:t>
      </w:r>
      <w:proofErr w:type="spellEnd"/>
      <w:r>
        <w:t>-VQA-TCGA corpus on Harvard FASRC clusters. On A100 80GB, one epoch over 1,583 steps completes in 3.40 h for the no-</w:t>
      </w:r>
      <w:proofErr w:type="spellStart"/>
      <w:r>
        <w:t>CoT</w:t>
      </w:r>
      <w:proofErr w:type="spellEnd"/>
      <w:r>
        <w:t xml:space="preserve"> variant (7.7 s/step) and 5.97 h for curriculum-SFT (13.5 s/step at sequence length 1,280, per-GPU batch 8). The same job runs on L40S 48GB at identical throughput. Multi-GPU scaling uses Hugging Face Accelerate; effective batch size is preserved via gradient accumulation. Prior to submission, we will run a 16-GPU mini pan-cancer batch (16 cohorts at approximately 600 patients per</w:t>
      </w:r>
      <w:r>
        <w:t xml:space="preserve"> cohort) on the FASRC </w:t>
      </w:r>
      <w:proofErr w:type="spellStart"/>
      <w:r>
        <w:t>kempner_requeue</w:t>
      </w:r>
      <w:proofErr w:type="spellEnd"/>
      <w:r>
        <w:t xml:space="preserve"> partition to satisfy the quarter-of-requested-GPUs requirement, and will report the </w:t>
      </w:r>
      <w:proofErr w:type="spellStart"/>
      <w:r>
        <w:t>KempnerPulse</w:t>
      </w:r>
      <w:proofErr w:type="spellEnd"/>
      <w:r>
        <w:t xml:space="preserve"> CSV (GPU type, count, peak memory per GPU, average utilization) alongside the SLURM submission script.</w:t>
      </w:r>
    </w:p>
    <w:p w14:paraId="0E16EE0A" w14:textId="77777777" w:rsidR="00775A1C" w:rsidRDefault="003E5282">
      <w:pPr>
        <w:spacing w:before="100" w:after="30"/>
      </w:pPr>
      <w:r>
        <w:rPr>
          <w:b/>
          <w:bCs/>
        </w:rPr>
        <w:t>GPU type.</w:t>
      </w:r>
    </w:p>
    <w:p w14:paraId="0E16EE0B" w14:textId="77777777" w:rsidR="00775A1C" w:rsidRDefault="003E5282">
      <w:pPr>
        <w:spacing w:before="60" w:after="80"/>
        <w:jc w:val="both"/>
      </w:pPr>
      <w:r>
        <w:t xml:space="preserve">A100 80GB strongly preferred (per-GPU batch 8 at </w:t>
      </w:r>
      <w:proofErr w:type="spellStart"/>
      <w:r>
        <w:t>max_text_length</w:t>
      </w:r>
      <w:proofErr w:type="spellEnd"/>
      <w:r>
        <w:t xml:space="preserve"> 1,280 fits comfortably). H100 80GB is equivalent or faster. L40S 48GB is a validated fallback at batch 4 with accumulation 8. No FP8 dependency; bf16 mixed precision throughout. The workload is memory-bandwidth and tensor-core bound. The LLM and the projector live on the same device.</w:t>
      </w:r>
    </w:p>
    <w:p w14:paraId="0E16EE0C" w14:textId="77777777" w:rsidR="00775A1C" w:rsidRDefault="003E5282">
      <w:pPr>
        <w:spacing w:before="100" w:after="30"/>
      </w:pPr>
      <w:r>
        <w:rPr>
          <w:b/>
          <w:bCs/>
        </w:rPr>
        <w:t>Data requirements.</w:t>
      </w:r>
    </w:p>
    <w:p w14:paraId="0E16EE0D" w14:textId="77777777" w:rsidR="00775A1C" w:rsidRDefault="003E5282">
      <w:pPr>
        <w:spacing w:before="60" w:after="80"/>
        <w:jc w:val="both"/>
      </w:pPr>
      <w:r>
        <w:t xml:space="preserve">All input data is public. TCGA whole-slide images and clinical data come from NCI GDC and the TCGA-CDR Pan-Cancer Clinical Data Resource </w:t>
      </w:r>
      <w:r>
        <w:rPr>
          <w:color w:val="666666"/>
        </w:rPr>
        <w:t>[</w:t>
      </w:r>
      <w:hyperlink w:anchor="ref9" w:history="1">
        <w:r>
          <w:rPr>
            <w:color w:val="666666"/>
            <w:u w:val="single" w:color="666666"/>
          </w:rPr>
          <w:t>9</w:t>
        </w:r>
      </w:hyperlink>
      <w:r>
        <w:rPr>
          <w:color w:val="666666"/>
        </w:rPr>
        <w:t>]</w:t>
      </w:r>
      <w:r>
        <w:t xml:space="preserve">. CONCH 512-d patch features and matched coordinate files are already extracted for 32 of 33 TCGA cohorts (LAML excluded; no diagnostic slides) and held on Harvard FASRC research-data storage as part of the HMS pathology feature lake, verified on 2026-05-13 (11,513 PM diagnostic slides plus 18,161 FS slides, totaling 29,674 slides). Coordinate .h5 files mirror the .pt files 1:1 in a sibling </w:t>
      </w:r>
      <w:proofErr w:type="spellStart"/>
      <w:r>
        <w:t>WSI_coords</w:t>
      </w:r>
      <w:proofErr w:type="spellEnd"/>
      <w:r>
        <w:t>/ tree. Total raw-feature footprint for the recommended PM-only scope is approximately 118 GB; the full PM+</w:t>
      </w:r>
      <w:r>
        <w:t>FS pool is approximately 304 GB. No PHI; no restricted access (DSL 1).</w:t>
      </w:r>
    </w:p>
    <w:p w14:paraId="0E16EE0E" w14:textId="77777777" w:rsidR="00775A1C" w:rsidRDefault="003E5282">
      <w:pPr>
        <w:spacing w:before="100" w:after="30"/>
      </w:pPr>
      <w:r>
        <w:rPr>
          <w:b/>
          <w:bCs/>
        </w:rPr>
        <w:t>Storage needs.</w:t>
      </w:r>
    </w:p>
    <w:p w14:paraId="0E16EE0F" w14:textId="77777777" w:rsidR="00775A1C" w:rsidRDefault="003E5282">
      <w:pPr>
        <w:spacing w:before="60" w:after="80"/>
        <w:jc w:val="both"/>
      </w:pPr>
      <w:r>
        <w:t xml:space="preserve">Rounded up to the nearest terabyte, we request 1 TB of scratch. Itemized: pan-cancer CONCH features at the PM scope approximately 118 GB; coordinate files approximately 3 GB; derived Q/A and pseudo-label splits approximately 50 GB; 32 </w:t>
      </w:r>
      <w:proofErr w:type="spellStart"/>
      <w:r>
        <w:t>LoRA</w:t>
      </w:r>
      <w:proofErr w:type="spellEnd"/>
      <w:r>
        <w:t xml:space="preserve"> adapter checkpoints at approximately 1.5 GB each (about 50 GB); GRPO intermediate checkpoints and logs approximately 100 GB; the </w:t>
      </w:r>
      <w:proofErr w:type="spellStart"/>
      <w:r>
        <w:t>DeepZoom</w:t>
      </w:r>
      <w:proofErr w:type="spellEnd"/>
      <w:r>
        <w:t xml:space="preserve"> </w:t>
      </w:r>
      <w:r>
        <w:lastRenderedPageBreak/>
        <w:t>thumbnail cache approximately 20 GB. Effective working set is under 500 GB; 1 TB is rounded for safety. As an HMS-affiliated team, we will request the temporary scratch directory under the existing FASRC-HMS agreement.</w:t>
      </w:r>
    </w:p>
    <w:p w14:paraId="0E16EE10" w14:textId="77777777" w:rsidR="00775A1C" w:rsidRDefault="003E5282">
      <w:pPr>
        <w:spacing w:before="100" w:after="30"/>
      </w:pPr>
      <w:r>
        <w:rPr>
          <w:b/>
          <w:bCs/>
        </w:rPr>
        <w:t>Technical expertise.</w:t>
      </w:r>
    </w:p>
    <w:p w14:paraId="0E16EE11" w14:textId="77777777" w:rsidR="00775A1C" w:rsidRDefault="003E5282">
      <w:pPr>
        <w:spacing w:before="60" w:after="80"/>
        <w:jc w:val="both"/>
      </w:pPr>
      <w:r>
        <w:t>The team has delivered the brain proof of concept end to end on Harvard FASRC clusters and on HMS Research Computing partitions, covering Stage-1 projector alignment, Stage-2 supervised fine-tuning (no-</w:t>
      </w:r>
      <w:proofErr w:type="spellStart"/>
      <w:r>
        <w:t>CoT</w:t>
      </w:r>
      <w:proofErr w:type="spellEnd"/>
      <w:r>
        <w:t xml:space="preserve">, fresh </w:t>
      </w:r>
      <w:proofErr w:type="spellStart"/>
      <w:r>
        <w:t>CoT</w:t>
      </w:r>
      <w:proofErr w:type="spellEnd"/>
      <w:r>
        <w:t xml:space="preserve">-SFT, curriculum-SFT), Stage-3 GRPO, and the </w:t>
      </w:r>
      <w:proofErr w:type="spellStart"/>
      <w:r>
        <w:t>LatentLens</w:t>
      </w:r>
      <w:proofErr w:type="spellEnd"/>
      <w:r>
        <w:t xml:space="preserve">-derived interpretability stack </w:t>
      </w:r>
      <w:r>
        <w:rPr>
          <w:color w:val="666666"/>
        </w:rPr>
        <w:t>[</w:t>
      </w:r>
      <w:hyperlink w:anchor="ref7" w:history="1">
        <w:r>
          <w:rPr>
            <w:color w:val="666666"/>
            <w:u w:val="single" w:color="666666"/>
          </w:rPr>
          <w:t>7</w:t>
        </w:r>
      </w:hyperlink>
      <w:r>
        <w:rPr>
          <w:color w:val="666666"/>
        </w:rPr>
        <w:t>]</w:t>
      </w:r>
      <w:r>
        <w:t>. Multi-GPU experience covers single-node A100, H100, and L40S, SLURM job orchestration, and Hugging Face Accelerate. The lead scientist has prior published work on few-shot, weakly supervised, and federated learning for medical imaging. The Coordinating PI’s group has shipped pathology foundation models that have been adopted by external institutions for cancer diagnosis research.</w:t>
      </w:r>
    </w:p>
    <w:p w14:paraId="0E16EE12" w14:textId="77777777" w:rsidR="00775A1C" w:rsidRDefault="003E5282">
      <w:pPr>
        <w:spacing w:before="100" w:after="30"/>
      </w:pPr>
      <w:r>
        <w:rPr>
          <w:b/>
          <w:bCs/>
        </w:rPr>
        <w:t>Deliverables.</w:t>
      </w:r>
    </w:p>
    <w:p w14:paraId="0E16EE13" w14:textId="77777777" w:rsidR="00775A1C" w:rsidRDefault="003E5282">
      <w:pPr>
        <w:pStyle w:val="ListParagraph"/>
        <w:numPr>
          <w:ilvl w:val="0"/>
          <w:numId w:val="2"/>
        </w:numPr>
        <w:spacing w:before="30" w:after="30"/>
      </w:pPr>
      <w:r>
        <w:t xml:space="preserve">Public </w:t>
      </w:r>
      <w:proofErr w:type="spellStart"/>
      <w:r>
        <w:t>cosmo_pancancer</w:t>
      </w:r>
      <w:proofErr w:type="spellEnd"/>
      <w:r>
        <w:t xml:space="preserve"> repository with one-command pipeline (data preparation, training, evaluation, dashboard).</w:t>
      </w:r>
    </w:p>
    <w:p w14:paraId="0E16EE14" w14:textId="77777777" w:rsidR="00775A1C" w:rsidRDefault="003E5282">
      <w:pPr>
        <w:pStyle w:val="ListParagraph"/>
        <w:numPr>
          <w:ilvl w:val="0"/>
          <w:numId w:val="2"/>
        </w:numPr>
        <w:spacing w:before="30" w:after="30"/>
      </w:pPr>
      <w:r>
        <w:t xml:space="preserve">Thirty-two per-cancer curriculum-SFT </w:t>
      </w:r>
      <w:proofErr w:type="spellStart"/>
      <w:r>
        <w:t>LoRA</w:t>
      </w:r>
      <w:proofErr w:type="spellEnd"/>
      <w:r>
        <w:t xml:space="preserve"> checkpoints, released on Hugging Face under the </w:t>
      </w:r>
      <w:proofErr w:type="spellStart"/>
      <w:r>
        <w:t>KempnerInstituteAI</w:t>
      </w:r>
      <w:proofErr w:type="spellEnd"/>
      <w:r>
        <w:t xml:space="preserve"> or lab namespace.</w:t>
      </w:r>
    </w:p>
    <w:p w14:paraId="0E16EE15" w14:textId="77777777" w:rsidR="00775A1C" w:rsidRDefault="003E5282">
      <w:pPr>
        <w:pStyle w:val="ListParagraph"/>
        <w:numPr>
          <w:ilvl w:val="0"/>
          <w:numId w:val="2"/>
        </w:numPr>
        <w:spacing w:before="30" w:after="30"/>
      </w:pPr>
      <w:r>
        <w:t xml:space="preserve">Pan-cancer evaluation table covering </w:t>
      </w:r>
      <w:proofErr w:type="spellStart"/>
      <w:r>
        <w:t>SlideBench</w:t>
      </w:r>
      <w:proofErr w:type="spellEnd"/>
      <w:r>
        <w:t xml:space="preserve">-style MCQ accuracy, WSI-Bench-style free-form NLP metrics, </w:t>
      </w:r>
      <w:proofErr w:type="spellStart"/>
      <w:r>
        <w:t>IoU@k</w:t>
      </w:r>
      <w:proofErr w:type="spellEnd"/>
      <w:r>
        <w:t>, and Hallucination Rate across all 32 cancers.</w:t>
      </w:r>
    </w:p>
    <w:p w14:paraId="0E16EE16" w14:textId="77777777" w:rsidR="00775A1C" w:rsidRDefault="003E5282">
      <w:pPr>
        <w:pStyle w:val="ListParagraph"/>
        <w:numPr>
          <w:ilvl w:val="0"/>
          <w:numId w:val="2"/>
        </w:numPr>
        <w:spacing w:before="30" w:after="30"/>
      </w:pPr>
      <w:r>
        <w:t xml:space="preserve">Public Flask and </w:t>
      </w:r>
      <w:proofErr w:type="spellStart"/>
      <w:r>
        <w:t>OpenSeadragon</w:t>
      </w:r>
      <w:proofErr w:type="spellEnd"/>
      <w:r>
        <w:t xml:space="preserve"> dashboard with a one-click cancer selector, hosted for the award window and archived as a static export afterward.</w:t>
      </w:r>
    </w:p>
    <w:p w14:paraId="0E16EE17" w14:textId="77777777" w:rsidR="00775A1C" w:rsidRDefault="003E5282">
      <w:pPr>
        <w:pStyle w:val="ListParagraph"/>
        <w:numPr>
          <w:ilvl w:val="0"/>
          <w:numId w:val="2"/>
        </w:numPr>
        <w:spacing w:before="30" w:after="30"/>
      </w:pPr>
      <w:r>
        <w:t>End-of-award progress report (2 pages) and a Deeper Learning blog post within 90 days of completion, per RFP §Reporting.</w:t>
      </w:r>
    </w:p>
    <w:p w14:paraId="0E16EE18" w14:textId="77777777" w:rsidR="00775A1C" w:rsidRDefault="003E5282">
      <w:pPr>
        <w:pStyle w:val="ListParagraph"/>
        <w:numPr>
          <w:ilvl w:val="0"/>
          <w:numId w:val="2"/>
        </w:numPr>
        <w:spacing w:before="30" w:after="30"/>
      </w:pPr>
      <w:r>
        <w:t>Two diffusion-based H&amp;E to IHC virtual-staining ablation reports from Specific Aims 3 and 4 (final scope inserted before submission).</w:t>
      </w:r>
    </w:p>
    <w:p w14:paraId="0E16EE19" w14:textId="77777777" w:rsidR="00775A1C" w:rsidRDefault="00775A1C">
      <w:pPr>
        <w:pBdr>
          <w:bottom w:val="single" w:sz="4" w:space="1" w:color="C8C8C8"/>
        </w:pBdr>
        <w:spacing w:before="100" w:after="60"/>
      </w:pPr>
    </w:p>
    <w:p w14:paraId="0E16EE1A" w14:textId="77777777" w:rsidR="00775A1C" w:rsidRDefault="003E5282">
      <w:pPr>
        <w:spacing w:before="180" w:after="60"/>
      </w:pPr>
      <w:r>
        <w:rPr>
          <w:b/>
          <w:bCs/>
          <w:color w:val="A51C30"/>
        </w:rPr>
        <w:t>Resource Planning Timeline</w:t>
      </w:r>
    </w:p>
    <w:p w14:paraId="0E16EE1B" w14:textId="77777777" w:rsidR="00775A1C" w:rsidRDefault="003E5282">
      <w:pPr>
        <w:spacing w:before="60" w:after="80"/>
        <w:jc w:val="both"/>
      </w:pPr>
      <w:r>
        <w:t xml:space="preserve">All requested compute is GPU. CPU cores are allocated at the Kempner default ratio (no separate CPU budget is requested). Model size and parameter complexity are constant across phases (Qwen2.5-7B-Instruct backbone plus a 363M-parameter </w:t>
      </w:r>
      <w:proofErr w:type="spellStart"/>
      <w:r>
        <w:t>LoRA</w:t>
      </w:r>
      <w:proofErr w:type="spellEnd"/>
      <w:r>
        <w:t xml:space="preserve"> adapter at rank 128, alpha 256). What evolves across phases is the data scale (586 patients in the brain pilot, scaling to 11,160 patients pan-cancer) and the loss composition (alignment, SFT, GRPO multi-reward), not the model.</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400"/>
        <w:gridCol w:w="800"/>
        <w:gridCol w:w="800"/>
        <w:gridCol w:w="6000"/>
      </w:tblGrid>
      <w:tr w:rsidR="00775A1C" w14:paraId="0E16EE21" w14:textId="77777777">
        <w:tblPrEx>
          <w:tblCellMar>
            <w:top w:w="0" w:type="dxa"/>
            <w:bottom w:w="0" w:type="dxa"/>
          </w:tblCellMar>
        </w:tblPrEx>
        <w:trPr>
          <w:tblHeader/>
        </w:trPr>
        <w:tc>
          <w:tcPr>
            <w:tcW w:w="800" w:type="dxa"/>
            <w:tcBorders>
              <w:top w:val="single" w:sz="4" w:space="0" w:color="D9D9D9"/>
              <w:left w:val="single" w:sz="4" w:space="0" w:color="D9D9D9"/>
              <w:bottom w:val="single" w:sz="4" w:space="0" w:color="D9D9D9"/>
              <w:right w:val="single" w:sz="4" w:space="0" w:color="D9D9D9"/>
            </w:tcBorders>
            <w:shd w:val="clear" w:color="auto" w:fill="A51C30"/>
            <w:tcMar>
              <w:top w:w="40" w:type="dxa"/>
              <w:left w:w="80" w:type="dxa"/>
              <w:bottom w:w="40" w:type="dxa"/>
              <w:right w:w="80" w:type="dxa"/>
            </w:tcMar>
          </w:tcPr>
          <w:p w14:paraId="0E16EE1C" w14:textId="77777777" w:rsidR="00775A1C" w:rsidRDefault="003E5282">
            <w:pPr>
              <w:jc w:val="center"/>
            </w:pPr>
            <w:r>
              <w:rPr>
                <w:b/>
                <w:bCs/>
                <w:color w:val="FFFFFF"/>
                <w:sz w:val="16"/>
                <w:szCs w:val="16"/>
              </w:rPr>
              <w:t>Day</w:t>
            </w:r>
          </w:p>
        </w:tc>
        <w:tc>
          <w:tcPr>
            <w:tcW w:w="2400" w:type="dxa"/>
            <w:tcBorders>
              <w:top w:val="single" w:sz="4" w:space="0" w:color="D9D9D9"/>
              <w:left w:val="single" w:sz="4" w:space="0" w:color="D9D9D9"/>
              <w:bottom w:val="single" w:sz="4" w:space="0" w:color="D9D9D9"/>
              <w:right w:val="single" w:sz="4" w:space="0" w:color="D9D9D9"/>
            </w:tcBorders>
            <w:shd w:val="clear" w:color="auto" w:fill="A51C30"/>
            <w:tcMar>
              <w:top w:w="40" w:type="dxa"/>
              <w:left w:w="80" w:type="dxa"/>
              <w:bottom w:w="40" w:type="dxa"/>
              <w:right w:w="80" w:type="dxa"/>
            </w:tcMar>
          </w:tcPr>
          <w:p w14:paraId="0E16EE1D" w14:textId="77777777" w:rsidR="00775A1C" w:rsidRDefault="003E5282">
            <w:pPr>
              <w:jc w:val="center"/>
            </w:pPr>
            <w:r>
              <w:rPr>
                <w:b/>
                <w:bCs/>
                <w:color w:val="FFFFFF"/>
                <w:sz w:val="16"/>
                <w:szCs w:val="16"/>
              </w:rPr>
              <w:t>Phase</w:t>
            </w:r>
          </w:p>
        </w:tc>
        <w:tc>
          <w:tcPr>
            <w:tcW w:w="800" w:type="dxa"/>
            <w:tcBorders>
              <w:top w:val="single" w:sz="4" w:space="0" w:color="D9D9D9"/>
              <w:left w:val="single" w:sz="4" w:space="0" w:color="D9D9D9"/>
              <w:bottom w:val="single" w:sz="4" w:space="0" w:color="D9D9D9"/>
              <w:right w:val="single" w:sz="4" w:space="0" w:color="D9D9D9"/>
            </w:tcBorders>
            <w:shd w:val="clear" w:color="auto" w:fill="A51C30"/>
            <w:tcMar>
              <w:top w:w="40" w:type="dxa"/>
              <w:left w:w="80" w:type="dxa"/>
              <w:bottom w:w="40" w:type="dxa"/>
              <w:right w:w="80" w:type="dxa"/>
            </w:tcMar>
          </w:tcPr>
          <w:p w14:paraId="0E16EE1E" w14:textId="77777777" w:rsidR="00775A1C" w:rsidRDefault="003E5282">
            <w:pPr>
              <w:jc w:val="center"/>
            </w:pPr>
            <w:r>
              <w:rPr>
                <w:b/>
                <w:bCs/>
                <w:color w:val="FFFFFF"/>
                <w:sz w:val="16"/>
                <w:szCs w:val="16"/>
              </w:rPr>
              <w:t>GPUs</w:t>
            </w:r>
          </w:p>
        </w:tc>
        <w:tc>
          <w:tcPr>
            <w:tcW w:w="800" w:type="dxa"/>
            <w:tcBorders>
              <w:top w:val="single" w:sz="4" w:space="0" w:color="D9D9D9"/>
              <w:left w:val="single" w:sz="4" w:space="0" w:color="D9D9D9"/>
              <w:bottom w:val="single" w:sz="4" w:space="0" w:color="D9D9D9"/>
              <w:right w:val="single" w:sz="4" w:space="0" w:color="D9D9D9"/>
            </w:tcBorders>
            <w:shd w:val="clear" w:color="auto" w:fill="A51C30"/>
            <w:tcMar>
              <w:top w:w="40" w:type="dxa"/>
              <w:left w:w="80" w:type="dxa"/>
              <w:bottom w:w="40" w:type="dxa"/>
              <w:right w:w="80" w:type="dxa"/>
            </w:tcMar>
          </w:tcPr>
          <w:p w14:paraId="0E16EE1F" w14:textId="77777777" w:rsidR="00775A1C" w:rsidRDefault="003E5282">
            <w:pPr>
              <w:jc w:val="center"/>
            </w:pPr>
            <w:r>
              <w:rPr>
                <w:b/>
                <w:bCs/>
                <w:color w:val="FFFFFF"/>
                <w:sz w:val="16"/>
                <w:szCs w:val="16"/>
              </w:rPr>
              <w:t>GPU-h</w:t>
            </w:r>
          </w:p>
        </w:tc>
        <w:tc>
          <w:tcPr>
            <w:tcW w:w="6000" w:type="dxa"/>
            <w:tcBorders>
              <w:top w:val="single" w:sz="4" w:space="0" w:color="D9D9D9"/>
              <w:left w:val="single" w:sz="4" w:space="0" w:color="D9D9D9"/>
              <w:bottom w:val="single" w:sz="4" w:space="0" w:color="D9D9D9"/>
              <w:right w:val="single" w:sz="4" w:space="0" w:color="D9D9D9"/>
            </w:tcBorders>
            <w:shd w:val="clear" w:color="auto" w:fill="A51C30"/>
            <w:tcMar>
              <w:top w:w="40" w:type="dxa"/>
              <w:left w:w="80" w:type="dxa"/>
              <w:bottom w:w="40" w:type="dxa"/>
              <w:right w:w="80" w:type="dxa"/>
            </w:tcMar>
          </w:tcPr>
          <w:p w14:paraId="0E16EE20" w14:textId="77777777" w:rsidR="00775A1C" w:rsidRDefault="003E5282">
            <w:pPr>
              <w:jc w:val="center"/>
            </w:pPr>
            <w:r>
              <w:rPr>
                <w:b/>
                <w:bCs/>
                <w:color w:val="FFFFFF"/>
                <w:sz w:val="16"/>
                <w:szCs w:val="16"/>
              </w:rPr>
              <w:t>Output</w:t>
            </w:r>
          </w:p>
        </w:tc>
      </w:tr>
      <w:tr w:rsidR="00775A1C" w14:paraId="0E16EE27" w14:textId="77777777">
        <w:tblPrEx>
          <w:tblCellMar>
            <w:top w:w="0" w:type="dxa"/>
            <w:bottom w:w="0" w:type="dxa"/>
          </w:tblCellMar>
        </w:tblPrEx>
        <w:tc>
          <w:tcPr>
            <w:tcW w:w="800" w:type="dxa"/>
            <w:tcBorders>
              <w:top w:val="single" w:sz="4" w:space="0" w:color="D9D9D9"/>
              <w:left w:val="single" w:sz="4" w:space="0" w:color="D9D9D9"/>
              <w:bottom w:val="single" w:sz="4" w:space="0" w:color="D9D9D9"/>
              <w:right w:val="single" w:sz="4" w:space="0" w:color="D9D9D9"/>
            </w:tcBorders>
            <w:tcMar>
              <w:top w:w="40" w:type="dxa"/>
              <w:left w:w="100" w:type="dxa"/>
              <w:bottom w:w="40" w:type="dxa"/>
              <w:right w:w="100" w:type="dxa"/>
            </w:tcMar>
          </w:tcPr>
          <w:p w14:paraId="0E16EE22" w14:textId="77777777" w:rsidR="00775A1C" w:rsidRDefault="003E5282">
            <w:pPr>
              <w:spacing w:line="220" w:lineRule="auto"/>
              <w:jc w:val="center"/>
            </w:pPr>
            <w:r>
              <w:rPr>
                <w:sz w:val="16"/>
                <w:szCs w:val="16"/>
              </w:rPr>
              <w:t>1–3</w:t>
            </w:r>
          </w:p>
        </w:tc>
        <w:tc>
          <w:tcPr>
            <w:tcW w:w="2400" w:type="dxa"/>
            <w:tcBorders>
              <w:top w:val="single" w:sz="4" w:space="0" w:color="D9D9D9"/>
              <w:left w:val="single" w:sz="4" w:space="0" w:color="D9D9D9"/>
              <w:bottom w:val="single" w:sz="4" w:space="0" w:color="D9D9D9"/>
              <w:right w:val="single" w:sz="4" w:space="0" w:color="D9D9D9"/>
            </w:tcBorders>
            <w:tcMar>
              <w:top w:w="40" w:type="dxa"/>
              <w:left w:w="100" w:type="dxa"/>
              <w:bottom w:w="40" w:type="dxa"/>
              <w:right w:w="100" w:type="dxa"/>
            </w:tcMar>
          </w:tcPr>
          <w:p w14:paraId="0E16EE23" w14:textId="77777777" w:rsidR="00775A1C" w:rsidRDefault="003E5282">
            <w:pPr>
              <w:spacing w:line="220" w:lineRule="auto"/>
            </w:pPr>
            <w:r>
              <w:rPr>
                <w:sz w:val="16"/>
                <w:szCs w:val="16"/>
              </w:rPr>
              <w:t>Manifests, cleaned reports, CONCH pseudo-labels (32 cancers)</w:t>
            </w:r>
          </w:p>
        </w:tc>
        <w:tc>
          <w:tcPr>
            <w:tcW w:w="800" w:type="dxa"/>
            <w:tcBorders>
              <w:top w:val="single" w:sz="4" w:space="0" w:color="D9D9D9"/>
              <w:left w:val="single" w:sz="4" w:space="0" w:color="D9D9D9"/>
              <w:bottom w:val="single" w:sz="4" w:space="0" w:color="D9D9D9"/>
              <w:right w:val="single" w:sz="4" w:space="0" w:color="D9D9D9"/>
            </w:tcBorders>
            <w:tcMar>
              <w:top w:w="40" w:type="dxa"/>
              <w:left w:w="100" w:type="dxa"/>
              <w:bottom w:w="40" w:type="dxa"/>
              <w:right w:w="100" w:type="dxa"/>
            </w:tcMar>
          </w:tcPr>
          <w:p w14:paraId="0E16EE24" w14:textId="77777777" w:rsidR="00775A1C" w:rsidRDefault="003E5282">
            <w:pPr>
              <w:spacing w:line="220" w:lineRule="auto"/>
              <w:jc w:val="center"/>
            </w:pPr>
            <w:r>
              <w:rPr>
                <w:sz w:val="16"/>
                <w:szCs w:val="16"/>
              </w:rPr>
              <w:t>32</w:t>
            </w:r>
          </w:p>
        </w:tc>
        <w:tc>
          <w:tcPr>
            <w:tcW w:w="800" w:type="dxa"/>
            <w:tcBorders>
              <w:top w:val="single" w:sz="4" w:space="0" w:color="D9D9D9"/>
              <w:left w:val="single" w:sz="4" w:space="0" w:color="D9D9D9"/>
              <w:bottom w:val="single" w:sz="4" w:space="0" w:color="D9D9D9"/>
              <w:right w:val="single" w:sz="4" w:space="0" w:color="D9D9D9"/>
            </w:tcBorders>
            <w:tcMar>
              <w:top w:w="40" w:type="dxa"/>
              <w:left w:w="100" w:type="dxa"/>
              <w:bottom w:w="40" w:type="dxa"/>
              <w:right w:w="100" w:type="dxa"/>
            </w:tcMar>
          </w:tcPr>
          <w:p w14:paraId="0E16EE25" w14:textId="77777777" w:rsidR="00775A1C" w:rsidRDefault="003E5282">
            <w:pPr>
              <w:spacing w:line="220" w:lineRule="auto"/>
              <w:jc w:val="center"/>
            </w:pPr>
            <w:r>
              <w:rPr>
                <w:sz w:val="16"/>
                <w:szCs w:val="16"/>
              </w:rPr>
              <w:t>48</w:t>
            </w:r>
          </w:p>
        </w:tc>
        <w:tc>
          <w:tcPr>
            <w:tcW w:w="6000" w:type="dxa"/>
            <w:tcBorders>
              <w:top w:val="single" w:sz="4" w:space="0" w:color="D9D9D9"/>
              <w:left w:val="single" w:sz="4" w:space="0" w:color="D9D9D9"/>
              <w:bottom w:val="single" w:sz="4" w:space="0" w:color="D9D9D9"/>
              <w:right w:val="single" w:sz="4" w:space="0" w:color="D9D9D9"/>
            </w:tcBorders>
            <w:tcMar>
              <w:top w:w="40" w:type="dxa"/>
              <w:left w:w="100" w:type="dxa"/>
              <w:bottom w:w="40" w:type="dxa"/>
              <w:right w:w="100" w:type="dxa"/>
            </w:tcMar>
          </w:tcPr>
          <w:p w14:paraId="0E16EE26" w14:textId="77777777" w:rsidR="00775A1C" w:rsidRDefault="003E5282">
            <w:pPr>
              <w:spacing w:line="220" w:lineRule="auto"/>
            </w:pPr>
            <w:r>
              <w:rPr>
                <w:sz w:val="16"/>
                <w:szCs w:val="16"/>
              </w:rPr>
              <w:t>Per-cancer patient and slide manifests; per-cancer pseudo-label tables (CONCH-CLIP text embeddings across all PM slides; top-k coordinates per morphology term).</w:t>
            </w:r>
          </w:p>
        </w:tc>
      </w:tr>
      <w:tr w:rsidR="00775A1C" w14:paraId="0E16EE2D" w14:textId="77777777">
        <w:tblPrEx>
          <w:tblCellMar>
            <w:top w:w="0" w:type="dxa"/>
            <w:bottom w:w="0" w:type="dxa"/>
          </w:tblCellMar>
        </w:tblPrEx>
        <w:tc>
          <w:tcPr>
            <w:tcW w:w="800" w:type="dxa"/>
            <w:tcBorders>
              <w:top w:val="single" w:sz="4" w:space="0" w:color="D9D9D9"/>
              <w:left w:val="single" w:sz="4" w:space="0" w:color="D9D9D9"/>
              <w:bottom w:val="single" w:sz="4" w:space="0" w:color="D9D9D9"/>
              <w:right w:val="single" w:sz="4" w:space="0" w:color="D9D9D9"/>
            </w:tcBorders>
            <w:shd w:val="clear" w:color="auto" w:fill="FAFAFA"/>
            <w:tcMar>
              <w:top w:w="40" w:type="dxa"/>
              <w:left w:w="100" w:type="dxa"/>
              <w:bottom w:w="40" w:type="dxa"/>
              <w:right w:w="100" w:type="dxa"/>
            </w:tcMar>
          </w:tcPr>
          <w:p w14:paraId="0E16EE28" w14:textId="77777777" w:rsidR="00775A1C" w:rsidRDefault="003E5282">
            <w:pPr>
              <w:spacing w:line="220" w:lineRule="auto"/>
              <w:jc w:val="center"/>
            </w:pPr>
            <w:r>
              <w:rPr>
                <w:sz w:val="16"/>
                <w:szCs w:val="16"/>
              </w:rPr>
              <w:t>1–7</w:t>
            </w:r>
          </w:p>
        </w:tc>
        <w:tc>
          <w:tcPr>
            <w:tcW w:w="2400" w:type="dxa"/>
            <w:tcBorders>
              <w:top w:val="single" w:sz="4" w:space="0" w:color="D9D9D9"/>
              <w:left w:val="single" w:sz="4" w:space="0" w:color="D9D9D9"/>
              <w:bottom w:val="single" w:sz="4" w:space="0" w:color="D9D9D9"/>
              <w:right w:val="single" w:sz="4" w:space="0" w:color="D9D9D9"/>
            </w:tcBorders>
            <w:shd w:val="clear" w:color="auto" w:fill="FAFAFA"/>
            <w:tcMar>
              <w:top w:w="40" w:type="dxa"/>
              <w:left w:w="100" w:type="dxa"/>
              <w:bottom w:w="40" w:type="dxa"/>
              <w:right w:w="100" w:type="dxa"/>
            </w:tcMar>
          </w:tcPr>
          <w:p w14:paraId="0E16EE29" w14:textId="77777777" w:rsidR="00775A1C" w:rsidRDefault="003E5282">
            <w:pPr>
              <w:spacing w:line="220" w:lineRule="auto"/>
            </w:pPr>
            <w:r>
              <w:rPr>
                <w:sz w:val="16"/>
                <w:szCs w:val="16"/>
              </w:rPr>
              <w:t>GPT-4o-</w:t>
            </w:r>
            <w:proofErr w:type="gramStart"/>
            <w:r>
              <w:rPr>
                <w:sz w:val="16"/>
                <w:szCs w:val="16"/>
              </w:rPr>
              <w:t xml:space="preserve">mini </w:t>
            </w:r>
            <w:proofErr w:type="spellStart"/>
            <w:r>
              <w:rPr>
                <w:sz w:val="16"/>
                <w:szCs w:val="16"/>
              </w:rPr>
              <w:t>CoT</w:t>
            </w:r>
            <w:proofErr w:type="spellEnd"/>
            <w:proofErr w:type="gramEnd"/>
            <w:r>
              <w:rPr>
                <w:sz w:val="16"/>
                <w:szCs w:val="16"/>
              </w:rPr>
              <w:t xml:space="preserve"> trace generation (parallel, API-bound)</w:t>
            </w:r>
          </w:p>
        </w:tc>
        <w:tc>
          <w:tcPr>
            <w:tcW w:w="800" w:type="dxa"/>
            <w:tcBorders>
              <w:top w:val="single" w:sz="4" w:space="0" w:color="D9D9D9"/>
              <w:left w:val="single" w:sz="4" w:space="0" w:color="D9D9D9"/>
              <w:bottom w:val="single" w:sz="4" w:space="0" w:color="D9D9D9"/>
              <w:right w:val="single" w:sz="4" w:space="0" w:color="D9D9D9"/>
            </w:tcBorders>
            <w:shd w:val="clear" w:color="auto" w:fill="FAFAFA"/>
            <w:tcMar>
              <w:top w:w="40" w:type="dxa"/>
              <w:left w:w="100" w:type="dxa"/>
              <w:bottom w:w="40" w:type="dxa"/>
              <w:right w:w="100" w:type="dxa"/>
            </w:tcMar>
          </w:tcPr>
          <w:p w14:paraId="0E16EE2A" w14:textId="77777777" w:rsidR="00775A1C" w:rsidRDefault="003E5282">
            <w:pPr>
              <w:spacing w:line="220" w:lineRule="auto"/>
              <w:jc w:val="center"/>
            </w:pPr>
            <w:r>
              <w:rPr>
                <w:sz w:val="16"/>
                <w:szCs w:val="16"/>
              </w:rPr>
              <w:t>0</w:t>
            </w:r>
          </w:p>
        </w:tc>
        <w:tc>
          <w:tcPr>
            <w:tcW w:w="800" w:type="dxa"/>
            <w:tcBorders>
              <w:top w:val="single" w:sz="4" w:space="0" w:color="D9D9D9"/>
              <w:left w:val="single" w:sz="4" w:space="0" w:color="D9D9D9"/>
              <w:bottom w:val="single" w:sz="4" w:space="0" w:color="D9D9D9"/>
              <w:right w:val="single" w:sz="4" w:space="0" w:color="D9D9D9"/>
            </w:tcBorders>
            <w:shd w:val="clear" w:color="auto" w:fill="FAFAFA"/>
            <w:tcMar>
              <w:top w:w="40" w:type="dxa"/>
              <w:left w:w="100" w:type="dxa"/>
              <w:bottom w:w="40" w:type="dxa"/>
              <w:right w:w="100" w:type="dxa"/>
            </w:tcMar>
          </w:tcPr>
          <w:p w14:paraId="0E16EE2B" w14:textId="77777777" w:rsidR="00775A1C" w:rsidRDefault="003E5282">
            <w:pPr>
              <w:spacing w:line="220" w:lineRule="auto"/>
              <w:jc w:val="center"/>
            </w:pPr>
            <w:r>
              <w:rPr>
                <w:sz w:val="16"/>
                <w:szCs w:val="16"/>
              </w:rPr>
              <w:t>0</w:t>
            </w:r>
          </w:p>
        </w:tc>
        <w:tc>
          <w:tcPr>
            <w:tcW w:w="6000" w:type="dxa"/>
            <w:tcBorders>
              <w:top w:val="single" w:sz="4" w:space="0" w:color="D9D9D9"/>
              <w:left w:val="single" w:sz="4" w:space="0" w:color="D9D9D9"/>
              <w:bottom w:val="single" w:sz="4" w:space="0" w:color="D9D9D9"/>
              <w:right w:val="single" w:sz="4" w:space="0" w:color="D9D9D9"/>
            </w:tcBorders>
            <w:shd w:val="clear" w:color="auto" w:fill="FAFAFA"/>
            <w:tcMar>
              <w:top w:w="40" w:type="dxa"/>
              <w:left w:w="100" w:type="dxa"/>
              <w:bottom w:w="40" w:type="dxa"/>
              <w:right w:w="100" w:type="dxa"/>
            </w:tcMar>
          </w:tcPr>
          <w:p w14:paraId="0E16EE2C" w14:textId="77777777" w:rsidR="00775A1C" w:rsidRDefault="003E5282">
            <w:pPr>
              <w:spacing w:line="220" w:lineRule="auto"/>
            </w:pPr>
            <w:r>
              <w:rPr>
                <w:sz w:val="16"/>
                <w:szCs w:val="16"/>
              </w:rPr>
              <w:t xml:space="preserve">Per-cancer </w:t>
            </w:r>
            <w:proofErr w:type="spellStart"/>
            <w:r>
              <w:rPr>
                <w:sz w:val="16"/>
                <w:szCs w:val="16"/>
              </w:rPr>
              <w:t>CoT</w:t>
            </w:r>
            <w:proofErr w:type="spellEnd"/>
            <w:r>
              <w:rPr>
                <w:sz w:val="16"/>
                <w:szCs w:val="16"/>
              </w:rPr>
              <w:t xml:space="preserve"> trace corpus, knowledge-graph grounded. Runs concurrently with Phase 1; lab funded, not on the Kempner budget.</w:t>
            </w:r>
          </w:p>
        </w:tc>
      </w:tr>
      <w:tr w:rsidR="00775A1C" w14:paraId="0E16EE33" w14:textId="77777777">
        <w:tblPrEx>
          <w:tblCellMar>
            <w:top w:w="0" w:type="dxa"/>
            <w:bottom w:w="0" w:type="dxa"/>
          </w:tblCellMar>
        </w:tblPrEx>
        <w:tc>
          <w:tcPr>
            <w:tcW w:w="800" w:type="dxa"/>
            <w:tcBorders>
              <w:top w:val="single" w:sz="4" w:space="0" w:color="D9D9D9"/>
              <w:left w:val="single" w:sz="4" w:space="0" w:color="D9D9D9"/>
              <w:bottom w:val="single" w:sz="4" w:space="0" w:color="D9D9D9"/>
              <w:right w:val="single" w:sz="4" w:space="0" w:color="D9D9D9"/>
            </w:tcBorders>
            <w:tcMar>
              <w:top w:w="40" w:type="dxa"/>
              <w:left w:w="100" w:type="dxa"/>
              <w:bottom w:w="40" w:type="dxa"/>
              <w:right w:w="100" w:type="dxa"/>
            </w:tcMar>
          </w:tcPr>
          <w:p w14:paraId="0E16EE2E" w14:textId="77777777" w:rsidR="00775A1C" w:rsidRDefault="003E5282">
            <w:pPr>
              <w:spacing w:line="220" w:lineRule="auto"/>
              <w:jc w:val="center"/>
            </w:pPr>
            <w:r>
              <w:rPr>
                <w:sz w:val="16"/>
                <w:szCs w:val="16"/>
              </w:rPr>
              <w:t>4–7</w:t>
            </w:r>
          </w:p>
        </w:tc>
        <w:tc>
          <w:tcPr>
            <w:tcW w:w="2400" w:type="dxa"/>
            <w:tcBorders>
              <w:top w:val="single" w:sz="4" w:space="0" w:color="D9D9D9"/>
              <w:left w:val="single" w:sz="4" w:space="0" w:color="D9D9D9"/>
              <w:bottom w:val="single" w:sz="4" w:space="0" w:color="D9D9D9"/>
              <w:right w:val="single" w:sz="4" w:space="0" w:color="D9D9D9"/>
            </w:tcBorders>
            <w:tcMar>
              <w:top w:w="40" w:type="dxa"/>
              <w:left w:w="100" w:type="dxa"/>
              <w:bottom w:w="40" w:type="dxa"/>
              <w:right w:w="100" w:type="dxa"/>
            </w:tcMar>
          </w:tcPr>
          <w:p w14:paraId="0E16EE2F" w14:textId="77777777" w:rsidR="00775A1C" w:rsidRDefault="003E5282">
            <w:pPr>
              <w:spacing w:line="220" w:lineRule="auto"/>
            </w:pPr>
            <w:r>
              <w:rPr>
                <w:sz w:val="16"/>
                <w:szCs w:val="16"/>
              </w:rPr>
              <w:t>No-</w:t>
            </w:r>
            <w:proofErr w:type="spellStart"/>
            <w:r>
              <w:rPr>
                <w:sz w:val="16"/>
                <w:szCs w:val="16"/>
              </w:rPr>
              <w:t>CoT</w:t>
            </w:r>
            <w:proofErr w:type="spellEnd"/>
            <w:r>
              <w:rPr>
                <w:sz w:val="16"/>
                <w:szCs w:val="16"/>
              </w:rPr>
              <w:t xml:space="preserve"> Stage-2 SFT, 32 cancers</w:t>
            </w:r>
          </w:p>
        </w:tc>
        <w:tc>
          <w:tcPr>
            <w:tcW w:w="800" w:type="dxa"/>
            <w:tcBorders>
              <w:top w:val="single" w:sz="4" w:space="0" w:color="D9D9D9"/>
              <w:left w:val="single" w:sz="4" w:space="0" w:color="D9D9D9"/>
              <w:bottom w:val="single" w:sz="4" w:space="0" w:color="D9D9D9"/>
              <w:right w:val="single" w:sz="4" w:space="0" w:color="D9D9D9"/>
            </w:tcBorders>
            <w:tcMar>
              <w:top w:w="40" w:type="dxa"/>
              <w:left w:w="100" w:type="dxa"/>
              <w:bottom w:w="40" w:type="dxa"/>
              <w:right w:w="100" w:type="dxa"/>
            </w:tcMar>
          </w:tcPr>
          <w:p w14:paraId="0E16EE30" w14:textId="77777777" w:rsidR="00775A1C" w:rsidRDefault="003E5282">
            <w:pPr>
              <w:spacing w:line="220" w:lineRule="auto"/>
              <w:jc w:val="center"/>
            </w:pPr>
            <w:r>
              <w:rPr>
                <w:sz w:val="16"/>
                <w:szCs w:val="16"/>
              </w:rPr>
              <w:t>64</w:t>
            </w:r>
          </w:p>
        </w:tc>
        <w:tc>
          <w:tcPr>
            <w:tcW w:w="800" w:type="dxa"/>
            <w:tcBorders>
              <w:top w:val="single" w:sz="4" w:space="0" w:color="D9D9D9"/>
              <w:left w:val="single" w:sz="4" w:space="0" w:color="D9D9D9"/>
              <w:bottom w:val="single" w:sz="4" w:space="0" w:color="D9D9D9"/>
              <w:right w:val="single" w:sz="4" w:space="0" w:color="D9D9D9"/>
            </w:tcBorders>
            <w:tcMar>
              <w:top w:w="40" w:type="dxa"/>
              <w:left w:w="100" w:type="dxa"/>
              <w:bottom w:w="40" w:type="dxa"/>
              <w:right w:w="100" w:type="dxa"/>
            </w:tcMar>
          </w:tcPr>
          <w:p w14:paraId="0E16EE31" w14:textId="77777777" w:rsidR="00775A1C" w:rsidRDefault="003E5282">
            <w:pPr>
              <w:spacing w:line="220" w:lineRule="auto"/>
              <w:jc w:val="center"/>
            </w:pPr>
            <w:r>
              <w:rPr>
                <w:sz w:val="16"/>
                <w:szCs w:val="16"/>
              </w:rPr>
              <w:t>192</w:t>
            </w:r>
          </w:p>
        </w:tc>
        <w:tc>
          <w:tcPr>
            <w:tcW w:w="6000" w:type="dxa"/>
            <w:tcBorders>
              <w:top w:val="single" w:sz="4" w:space="0" w:color="D9D9D9"/>
              <w:left w:val="single" w:sz="4" w:space="0" w:color="D9D9D9"/>
              <w:bottom w:val="single" w:sz="4" w:space="0" w:color="D9D9D9"/>
              <w:right w:val="single" w:sz="4" w:space="0" w:color="D9D9D9"/>
            </w:tcBorders>
            <w:tcMar>
              <w:top w:w="40" w:type="dxa"/>
              <w:left w:w="100" w:type="dxa"/>
              <w:bottom w:w="40" w:type="dxa"/>
              <w:right w:w="100" w:type="dxa"/>
            </w:tcMar>
          </w:tcPr>
          <w:p w14:paraId="0E16EE32" w14:textId="77777777" w:rsidR="00775A1C" w:rsidRDefault="003E5282">
            <w:pPr>
              <w:spacing w:line="220" w:lineRule="auto"/>
            </w:pPr>
            <w:r>
              <w:rPr>
                <w:sz w:val="16"/>
                <w:szCs w:val="16"/>
              </w:rPr>
              <w:t xml:space="preserve">Per-cancer direct-answer </w:t>
            </w:r>
            <w:proofErr w:type="spellStart"/>
            <w:r>
              <w:rPr>
                <w:sz w:val="16"/>
                <w:szCs w:val="16"/>
              </w:rPr>
              <w:t>LoRA</w:t>
            </w:r>
            <w:proofErr w:type="spellEnd"/>
            <w:r>
              <w:rPr>
                <w:sz w:val="16"/>
                <w:szCs w:val="16"/>
              </w:rPr>
              <w:t xml:space="preserve"> checkpoint; 32-way data parallelism. Approximately 6 h per cohort scaled from the brain reference of 3.4 h by a factor of 1.7 for larger corpora.</w:t>
            </w:r>
          </w:p>
        </w:tc>
      </w:tr>
      <w:tr w:rsidR="00775A1C" w14:paraId="0E16EE39" w14:textId="77777777">
        <w:tblPrEx>
          <w:tblCellMar>
            <w:top w:w="0" w:type="dxa"/>
            <w:bottom w:w="0" w:type="dxa"/>
          </w:tblCellMar>
        </w:tblPrEx>
        <w:tc>
          <w:tcPr>
            <w:tcW w:w="800" w:type="dxa"/>
            <w:tcBorders>
              <w:top w:val="single" w:sz="4" w:space="0" w:color="D9D9D9"/>
              <w:left w:val="single" w:sz="4" w:space="0" w:color="D9D9D9"/>
              <w:bottom w:val="single" w:sz="4" w:space="0" w:color="D9D9D9"/>
              <w:right w:val="single" w:sz="4" w:space="0" w:color="D9D9D9"/>
            </w:tcBorders>
            <w:tcMar>
              <w:top w:w="40" w:type="dxa"/>
              <w:left w:w="100" w:type="dxa"/>
              <w:bottom w:w="40" w:type="dxa"/>
              <w:right w:w="100" w:type="dxa"/>
            </w:tcMar>
          </w:tcPr>
          <w:p w14:paraId="0E16EE34" w14:textId="77777777" w:rsidR="00775A1C" w:rsidRDefault="003E5282">
            <w:pPr>
              <w:spacing w:line="220" w:lineRule="auto"/>
              <w:jc w:val="center"/>
            </w:pPr>
            <w:r>
              <w:rPr>
                <w:sz w:val="16"/>
                <w:szCs w:val="16"/>
              </w:rPr>
              <w:t>8–12</w:t>
            </w:r>
          </w:p>
        </w:tc>
        <w:tc>
          <w:tcPr>
            <w:tcW w:w="2400" w:type="dxa"/>
            <w:tcBorders>
              <w:top w:val="single" w:sz="4" w:space="0" w:color="D9D9D9"/>
              <w:left w:val="single" w:sz="4" w:space="0" w:color="D9D9D9"/>
              <w:bottom w:val="single" w:sz="4" w:space="0" w:color="D9D9D9"/>
              <w:right w:val="single" w:sz="4" w:space="0" w:color="D9D9D9"/>
            </w:tcBorders>
            <w:tcMar>
              <w:top w:w="40" w:type="dxa"/>
              <w:left w:w="100" w:type="dxa"/>
              <w:bottom w:w="40" w:type="dxa"/>
              <w:right w:w="100" w:type="dxa"/>
            </w:tcMar>
          </w:tcPr>
          <w:p w14:paraId="0E16EE35" w14:textId="77777777" w:rsidR="00775A1C" w:rsidRDefault="003E5282">
            <w:pPr>
              <w:spacing w:line="220" w:lineRule="auto"/>
            </w:pPr>
            <w:r>
              <w:rPr>
                <w:sz w:val="16"/>
                <w:szCs w:val="16"/>
              </w:rPr>
              <w:t xml:space="preserve">Curriculum-SFT (1 epoch </w:t>
            </w:r>
            <w:proofErr w:type="spellStart"/>
            <w:r>
              <w:rPr>
                <w:sz w:val="16"/>
                <w:szCs w:val="16"/>
              </w:rPr>
              <w:t>CoT</w:t>
            </w:r>
            <w:proofErr w:type="spellEnd"/>
            <w:r>
              <w:rPr>
                <w:sz w:val="16"/>
                <w:szCs w:val="16"/>
              </w:rPr>
              <w:t xml:space="preserve"> on no-</w:t>
            </w:r>
            <w:proofErr w:type="spellStart"/>
            <w:r>
              <w:rPr>
                <w:sz w:val="16"/>
                <w:szCs w:val="16"/>
              </w:rPr>
              <w:t>CoT</w:t>
            </w:r>
            <w:proofErr w:type="spellEnd"/>
            <w:r>
              <w:rPr>
                <w:sz w:val="16"/>
                <w:szCs w:val="16"/>
              </w:rPr>
              <w:t xml:space="preserve"> base)</w:t>
            </w:r>
          </w:p>
        </w:tc>
        <w:tc>
          <w:tcPr>
            <w:tcW w:w="800" w:type="dxa"/>
            <w:tcBorders>
              <w:top w:val="single" w:sz="4" w:space="0" w:color="D9D9D9"/>
              <w:left w:val="single" w:sz="4" w:space="0" w:color="D9D9D9"/>
              <w:bottom w:val="single" w:sz="4" w:space="0" w:color="D9D9D9"/>
              <w:right w:val="single" w:sz="4" w:space="0" w:color="D9D9D9"/>
            </w:tcBorders>
            <w:tcMar>
              <w:top w:w="40" w:type="dxa"/>
              <w:left w:w="100" w:type="dxa"/>
              <w:bottom w:w="40" w:type="dxa"/>
              <w:right w:w="100" w:type="dxa"/>
            </w:tcMar>
          </w:tcPr>
          <w:p w14:paraId="0E16EE36" w14:textId="77777777" w:rsidR="00775A1C" w:rsidRDefault="003E5282">
            <w:pPr>
              <w:spacing w:line="220" w:lineRule="auto"/>
              <w:jc w:val="center"/>
            </w:pPr>
            <w:r>
              <w:rPr>
                <w:sz w:val="16"/>
                <w:szCs w:val="16"/>
              </w:rPr>
              <w:t>64</w:t>
            </w:r>
          </w:p>
        </w:tc>
        <w:tc>
          <w:tcPr>
            <w:tcW w:w="800" w:type="dxa"/>
            <w:tcBorders>
              <w:top w:val="single" w:sz="4" w:space="0" w:color="D9D9D9"/>
              <w:left w:val="single" w:sz="4" w:space="0" w:color="D9D9D9"/>
              <w:bottom w:val="single" w:sz="4" w:space="0" w:color="D9D9D9"/>
              <w:right w:val="single" w:sz="4" w:space="0" w:color="D9D9D9"/>
            </w:tcBorders>
            <w:tcMar>
              <w:top w:w="40" w:type="dxa"/>
              <w:left w:w="100" w:type="dxa"/>
              <w:bottom w:w="40" w:type="dxa"/>
              <w:right w:w="100" w:type="dxa"/>
            </w:tcMar>
          </w:tcPr>
          <w:p w14:paraId="0E16EE37" w14:textId="77777777" w:rsidR="00775A1C" w:rsidRDefault="003E5282">
            <w:pPr>
              <w:spacing w:line="220" w:lineRule="auto"/>
              <w:jc w:val="center"/>
            </w:pPr>
            <w:r>
              <w:rPr>
                <w:sz w:val="16"/>
                <w:szCs w:val="16"/>
              </w:rPr>
              <w:t>192</w:t>
            </w:r>
          </w:p>
        </w:tc>
        <w:tc>
          <w:tcPr>
            <w:tcW w:w="6000" w:type="dxa"/>
            <w:tcBorders>
              <w:top w:val="single" w:sz="4" w:space="0" w:color="D9D9D9"/>
              <w:left w:val="single" w:sz="4" w:space="0" w:color="D9D9D9"/>
              <w:bottom w:val="single" w:sz="4" w:space="0" w:color="D9D9D9"/>
              <w:right w:val="single" w:sz="4" w:space="0" w:color="D9D9D9"/>
            </w:tcBorders>
            <w:tcMar>
              <w:top w:w="40" w:type="dxa"/>
              <w:left w:w="100" w:type="dxa"/>
              <w:bottom w:w="40" w:type="dxa"/>
              <w:right w:w="100" w:type="dxa"/>
            </w:tcMar>
          </w:tcPr>
          <w:p w14:paraId="0E16EE38" w14:textId="77777777" w:rsidR="00775A1C" w:rsidRDefault="003E5282">
            <w:pPr>
              <w:spacing w:line="220" w:lineRule="auto"/>
            </w:pPr>
            <w:r>
              <w:rPr>
                <w:sz w:val="16"/>
                <w:szCs w:val="16"/>
              </w:rPr>
              <w:t xml:space="preserve">Per-cancer curriculum-SFT </w:t>
            </w:r>
            <w:proofErr w:type="spellStart"/>
            <w:r>
              <w:rPr>
                <w:sz w:val="16"/>
                <w:szCs w:val="16"/>
              </w:rPr>
              <w:t>LoRA</w:t>
            </w:r>
            <w:proofErr w:type="spellEnd"/>
            <w:r>
              <w:rPr>
                <w:sz w:val="16"/>
                <w:szCs w:val="16"/>
              </w:rPr>
              <w:t xml:space="preserve"> at </w:t>
            </w:r>
            <w:proofErr w:type="spellStart"/>
            <w:r>
              <w:rPr>
                <w:sz w:val="16"/>
                <w:szCs w:val="16"/>
              </w:rPr>
              <w:t>lr</w:t>
            </w:r>
            <w:proofErr w:type="spellEnd"/>
            <w:r>
              <w:rPr>
                <w:sz w:val="16"/>
                <w:szCs w:val="16"/>
              </w:rPr>
              <w:t>=1e-5; same throughput as Phase 4. This is the methodological core of Aim 1.</w:t>
            </w:r>
          </w:p>
        </w:tc>
      </w:tr>
      <w:tr w:rsidR="00775A1C" w14:paraId="0E16EE3F" w14:textId="77777777">
        <w:tblPrEx>
          <w:tblCellMar>
            <w:top w:w="0" w:type="dxa"/>
            <w:bottom w:w="0" w:type="dxa"/>
          </w:tblCellMar>
        </w:tblPrEx>
        <w:tc>
          <w:tcPr>
            <w:tcW w:w="800" w:type="dxa"/>
            <w:tcBorders>
              <w:top w:val="single" w:sz="4" w:space="0" w:color="D9D9D9"/>
              <w:left w:val="single" w:sz="4" w:space="0" w:color="D9D9D9"/>
              <w:bottom w:val="single" w:sz="4" w:space="0" w:color="D9D9D9"/>
              <w:right w:val="single" w:sz="4" w:space="0" w:color="D9D9D9"/>
            </w:tcBorders>
            <w:tcMar>
              <w:top w:w="40" w:type="dxa"/>
              <w:left w:w="100" w:type="dxa"/>
              <w:bottom w:w="40" w:type="dxa"/>
              <w:right w:w="100" w:type="dxa"/>
            </w:tcMar>
          </w:tcPr>
          <w:p w14:paraId="0E16EE3A" w14:textId="77777777" w:rsidR="00775A1C" w:rsidRDefault="003E5282">
            <w:pPr>
              <w:spacing w:line="220" w:lineRule="auto"/>
              <w:jc w:val="center"/>
            </w:pPr>
            <w:r>
              <w:rPr>
                <w:sz w:val="16"/>
                <w:szCs w:val="16"/>
              </w:rPr>
              <w:t>13</w:t>
            </w:r>
          </w:p>
        </w:tc>
        <w:tc>
          <w:tcPr>
            <w:tcW w:w="2400" w:type="dxa"/>
            <w:tcBorders>
              <w:top w:val="single" w:sz="4" w:space="0" w:color="D9D9D9"/>
              <w:left w:val="single" w:sz="4" w:space="0" w:color="D9D9D9"/>
              <w:bottom w:val="single" w:sz="4" w:space="0" w:color="D9D9D9"/>
              <w:right w:val="single" w:sz="4" w:space="0" w:color="D9D9D9"/>
            </w:tcBorders>
            <w:tcMar>
              <w:top w:w="40" w:type="dxa"/>
              <w:left w:w="100" w:type="dxa"/>
              <w:bottom w:w="40" w:type="dxa"/>
              <w:right w:w="100" w:type="dxa"/>
            </w:tcMar>
          </w:tcPr>
          <w:p w14:paraId="0E16EE3B" w14:textId="77777777" w:rsidR="00775A1C" w:rsidRDefault="003E5282">
            <w:pPr>
              <w:spacing w:line="220" w:lineRule="auto"/>
            </w:pPr>
            <w:r>
              <w:rPr>
                <w:sz w:val="16"/>
                <w:szCs w:val="16"/>
              </w:rPr>
              <w:t xml:space="preserve">SFT evaluation (MCQ + </w:t>
            </w:r>
            <w:proofErr w:type="gramStart"/>
            <w:r>
              <w:rPr>
                <w:sz w:val="16"/>
                <w:szCs w:val="16"/>
              </w:rPr>
              <w:t>free-form</w:t>
            </w:r>
            <w:proofErr w:type="gramEnd"/>
            <w:r>
              <w:rPr>
                <w:sz w:val="16"/>
                <w:szCs w:val="16"/>
              </w:rPr>
              <w:t>)</w:t>
            </w:r>
          </w:p>
        </w:tc>
        <w:tc>
          <w:tcPr>
            <w:tcW w:w="800" w:type="dxa"/>
            <w:tcBorders>
              <w:top w:val="single" w:sz="4" w:space="0" w:color="D9D9D9"/>
              <w:left w:val="single" w:sz="4" w:space="0" w:color="D9D9D9"/>
              <w:bottom w:val="single" w:sz="4" w:space="0" w:color="D9D9D9"/>
              <w:right w:val="single" w:sz="4" w:space="0" w:color="D9D9D9"/>
            </w:tcBorders>
            <w:tcMar>
              <w:top w:w="40" w:type="dxa"/>
              <w:left w:w="100" w:type="dxa"/>
              <w:bottom w:w="40" w:type="dxa"/>
              <w:right w:w="100" w:type="dxa"/>
            </w:tcMar>
          </w:tcPr>
          <w:p w14:paraId="0E16EE3C" w14:textId="77777777" w:rsidR="00775A1C" w:rsidRDefault="003E5282">
            <w:pPr>
              <w:spacing w:line="220" w:lineRule="auto"/>
              <w:jc w:val="center"/>
            </w:pPr>
            <w:r>
              <w:rPr>
                <w:sz w:val="16"/>
                <w:szCs w:val="16"/>
              </w:rPr>
              <w:t>32</w:t>
            </w:r>
          </w:p>
        </w:tc>
        <w:tc>
          <w:tcPr>
            <w:tcW w:w="800" w:type="dxa"/>
            <w:tcBorders>
              <w:top w:val="single" w:sz="4" w:space="0" w:color="D9D9D9"/>
              <w:left w:val="single" w:sz="4" w:space="0" w:color="D9D9D9"/>
              <w:bottom w:val="single" w:sz="4" w:space="0" w:color="D9D9D9"/>
              <w:right w:val="single" w:sz="4" w:space="0" w:color="D9D9D9"/>
            </w:tcBorders>
            <w:tcMar>
              <w:top w:w="40" w:type="dxa"/>
              <w:left w:w="100" w:type="dxa"/>
              <w:bottom w:w="40" w:type="dxa"/>
              <w:right w:w="100" w:type="dxa"/>
            </w:tcMar>
          </w:tcPr>
          <w:p w14:paraId="0E16EE3D" w14:textId="77777777" w:rsidR="00775A1C" w:rsidRDefault="003E5282">
            <w:pPr>
              <w:spacing w:line="220" w:lineRule="auto"/>
              <w:jc w:val="center"/>
            </w:pPr>
            <w:r>
              <w:rPr>
                <w:sz w:val="16"/>
                <w:szCs w:val="16"/>
              </w:rPr>
              <w:t>16</w:t>
            </w:r>
          </w:p>
        </w:tc>
        <w:tc>
          <w:tcPr>
            <w:tcW w:w="6000" w:type="dxa"/>
            <w:tcBorders>
              <w:top w:val="single" w:sz="4" w:space="0" w:color="D9D9D9"/>
              <w:left w:val="single" w:sz="4" w:space="0" w:color="D9D9D9"/>
              <w:bottom w:val="single" w:sz="4" w:space="0" w:color="D9D9D9"/>
              <w:right w:val="single" w:sz="4" w:space="0" w:color="D9D9D9"/>
            </w:tcBorders>
            <w:tcMar>
              <w:top w:w="40" w:type="dxa"/>
              <w:left w:w="100" w:type="dxa"/>
              <w:bottom w:w="40" w:type="dxa"/>
              <w:right w:w="100" w:type="dxa"/>
            </w:tcMar>
          </w:tcPr>
          <w:p w14:paraId="0E16EE3E" w14:textId="77777777" w:rsidR="00775A1C" w:rsidRDefault="003E5282">
            <w:pPr>
              <w:spacing w:line="220" w:lineRule="auto"/>
            </w:pPr>
            <w:r>
              <w:rPr>
                <w:sz w:val="16"/>
                <w:szCs w:val="16"/>
              </w:rPr>
              <w:t xml:space="preserve">Per-cancer summary tables on </w:t>
            </w:r>
            <w:proofErr w:type="spellStart"/>
            <w:r>
              <w:rPr>
                <w:sz w:val="16"/>
                <w:szCs w:val="16"/>
              </w:rPr>
              <w:t>SlideBench</w:t>
            </w:r>
            <w:proofErr w:type="spellEnd"/>
            <w:r>
              <w:rPr>
                <w:sz w:val="16"/>
                <w:szCs w:val="16"/>
              </w:rPr>
              <w:t>-VQA-TCGA (3,176 MCQs across 31 cancers) and WSI-Bench test (2,838 Q/A across 30 cancers).</w:t>
            </w:r>
          </w:p>
        </w:tc>
      </w:tr>
      <w:tr w:rsidR="00775A1C" w14:paraId="0E16EE45" w14:textId="77777777">
        <w:tblPrEx>
          <w:tblCellMar>
            <w:top w:w="0" w:type="dxa"/>
            <w:bottom w:w="0" w:type="dxa"/>
          </w:tblCellMar>
        </w:tblPrEx>
        <w:tc>
          <w:tcPr>
            <w:tcW w:w="800" w:type="dxa"/>
            <w:tcBorders>
              <w:top w:val="single" w:sz="4" w:space="0" w:color="D9D9D9"/>
              <w:left w:val="single" w:sz="4" w:space="0" w:color="D9D9D9"/>
              <w:bottom w:val="single" w:sz="4" w:space="0" w:color="D9D9D9"/>
              <w:right w:val="single" w:sz="4" w:space="0" w:color="D9D9D9"/>
            </w:tcBorders>
            <w:tcMar>
              <w:top w:w="40" w:type="dxa"/>
              <w:left w:w="100" w:type="dxa"/>
              <w:bottom w:w="40" w:type="dxa"/>
              <w:right w:w="100" w:type="dxa"/>
            </w:tcMar>
          </w:tcPr>
          <w:p w14:paraId="0E16EE40" w14:textId="77777777" w:rsidR="00775A1C" w:rsidRDefault="003E5282">
            <w:pPr>
              <w:spacing w:line="220" w:lineRule="auto"/>
              <w:jc w:val="center"/>
            </w:pPr>
            <w:r>
              <w:rPr>
                <w:sz w:val="16"/>
                <w:szCs w:val="16"/>
              </w:rPr>
              <w:t>14–22</w:t>
            </w:r>
          </w:p>
        </w:tc>
        <w:tc>
          <w:tcPr>
            <w:tcW w:w="2400" w:type="dxa"/>
            <w:tcBorders>
              <w:top w:val="single" w:sz="4" w:space="0" w:color="D9D9D9"/>
              <w:left w:val="single" w:sz="4" w:space="0" w:color="D9D9D9"/>
              <w:bottom w:val="single" w:sz="4" w:space="0" w:color="D9D9D9"/>
              <w:right w:val="single" w:sz="4" w:space="0" w:color="D9D9D9"/>
            </w:tcBorders>
            <w:tcMar>
              <w:top w:w="40" w:type="dxa"/>
              <w:left w:w="100" w:type="dxa"/>
              <w:bottom w:w="40" w:type="dxa"/>
              <w:right w:w="100" w:type="dxa"/>
            </w:tcMar>
          </w:tcPr>
          <w:p w14:paraId="0E16EE41" w14:textId="77777777" w:rsidR="00775A1C" w:rsidRDefault="003E5282">
            <w:pPr>
              <w:spacing w:line="220" w:lineRule="auto"/>
            </w:pPr>
            <w:r>
              <w:rPr>
                <w:sz w:val="16"/>
                <w:szCs w:val="16"/>
              </w:rPr>
              <w:t>GRPO on curriculum base, 32 cancers</w:t>
            </w:r>
          </w:p>
        </w:tc>
        <w:tc>
          <w:tcPr>
            <w:tcW w:w="800" w:type="dxa"/>
            <w:tcBorders>
              <w:top w:val="single" w:sz="4" w:space="0" w:color="D9D9D9"/>
              <w:left w:val="single" w:sz="4" w:space="0" w:color="D9D9D9"/>
              <w:bottom w:val="single" w:sz="4" w:space="0" w:color="D9D9D9"/>
              <w:right w:val="single" w:sz="4" w:space="0" w:color="D9D9D9"/>
            </w:tcBorders>
            <w:tcMar>
              <w:top w:w="40" w:type="dxa"/>
              <w:left w:w="100" w:type="dxa"/>
              <w:bottom w:w="40" w:type="dxa"/>
              <w:right w:w="100" w:type="dxa"/>
            </w:tcMar>
          </w:tcPr>
          <w:p w14:paraId="0E16EE42" w14:textId="77777777" w:rsidR="00775A1C" w:rsidRDefault="003E5282">
            <w:pPr>
              <w:spacing w:line="220" w:lineRule="auto"/>
              <w:jc w:val="center"/>
            </w:pPr>
            <w:r>
              <w:rPr>
                <w:sz w:val="16"/>
                <w:szCs w:val="16"/>
              </w:rPr>
              <w:t>32–64</w:t>
            </w:r>
          </w:p>
        </w:tc>
        <w:tc>
          <w:tcPr>
            <w:tcW w:w="800" w:type="dxa"/>
            <w:tcBorders>
              <w:top w:val="single" w:sz="4" w:space="0" w:color="D9D9D9"/>
              <w:left w:val="single" w:sz="4" w:space="0" w:color="D9D9D9"/>
              <w:bottom w:val="single" w:sz="4" w:space="0" w:color="D9D9D9"/>
              <w:right w:val="single" w:sz="4" w:space="0" w:color="D9D9D9"/>
            </w:tcBorders>
            <w:tcMar>
              <w:top w:w="40" w:type="dxa"/>
              <w:left w:w="100" w:type="dxa"/>
              <w:bottom w:w="40" w:type="dxa"/>
              <w:right w:w="100" w:type="dxa"/>
            </w:tcMar>
          </w:tcPr>
          <w:p w14:paraId="0E16EE43" w14:textId="77777777" w:rsidR="00775A1C" w:rsidRDefault="003E5282">
            <w:pPr>
              <w:spacing w:line="220" w:lineRule="auto"/>
              <w:jc w:val="center"/>
            </w:pPr>
            <w:r>
              <w:rPr>
                <w:sz w:val="16"/>
                <w:szCs w:val="16"/>
              </w:rPr>
              <w:t>640</w:t>
            </w:r>
          </w:p>
        </w:tc>
        <w:tc>
          <w:tcPr>
            <w:tcW w:w="6000" w:type="dxa"/>
            <w:tcBorders>
              <w:top w:val="single" w:sz="4" w:space="0" w:color="D9D9D9"/>
              <w:left w:val="single" w:sz="4" w:space="0" w:color="D9D9D9"/>
              <w:bottom w:val="single" w:sz="4" w:space="0" w:color="D9D9D9"/>
              <w:right w:val="single" w:sz="4" w:space="0" w:color="D9D9D9"/>
            </w:tcBorders>
            <w:tcMar>
              <w:top w:w="40" w:type="dxa"/>
              <w:left w:w="100" w:type="dxa"/>
              <w:bottom w:w="40" w:type="dxa"/>
              <w:right w:w="100" w:type="dxa"/>
            </w:tcMar>
          </w:tcPr>
          <w:p w14:paraId="0E16EE44" w14:textId="77777777" w:rsidR="00775A1C" w:rsidRDefault="003E5282">
            <w:pPr>
              <w:spacing w:line="220" w:lineRule="auto"/>
            </w:pPr>
            <w:r>
              <w:rPr>
                <w:sz w:val="16"/>
                <w:szCs w:val="16"/>
              </w:rPr>
              <w:t>200 steps at approximately 355 s per step using a four-reward composition (format, diagnostic, spatial, concept). Four- to eight-way cohort parallelism.</w:t>
            </w:r>
          </w:p>
        </w:tc>
      </w:tr>
      <w:tr w:rsidR="00775A1C" w14:paraId="0E16EE4B" w14:textId="77777777">
        <w:tblPrEx>
          <w:tblCellMar>
            <w:top w:w="0" w:type="dxa"/>
            <w:bottom w:w="0" w:type="dxa"/>
          </w:tblCellMar>
        </w:tblPrEx>
        <w:tc>
          <w:tcPr>
            <w:tcW w:w="800" w:type="dxa"/>
            <w:tcBorders>
              <w:top w:val="single" w:sz="4" w:space="0" w:color="D9D9D9"/>
              <w:left w:val="single" w:sz="4" w:space="0" w:color="D9D9D9"/>
              <w:bottom w:val="single" w:sz="4" w:space="0" w:color="D9D9D9"/>
              <w:right w:val="single" w:sz="4" w:space="0" w:color="D9D9D9"/>
            </w:tcBorders>
            <w:tcMar>
              <w:top w:w="40" w:type="dxa"/>
              <w:left w:w="100" w:type="dxa"/>
              <w:bottom w:w="40" w:type="dxa"/>
              <w:right w:w="100" w:type="dxa"/>
            </w:tcMar>
          </w:tcPr>
          <w:p w14:paraId="0E16EE46" w14:textId="77777777" w:rsidR="00775A1C" w:rsidRDefault="003E5282">
            <w:pPr>
              <w:spacing w:line="220" w:lineRule="auto"/>
              <w:jc w:val="center"/>
            </w:pPr>
            <w:r>
              <w:rPr>
                <w:sz w:val="16"/>
                <w:szCs w:val="16"/>
              </w:rPr>
              <w:t>23–25</w:t>
            </w:r>
          </w:p>
        </w:tc>
        <w:tc>
          <w:tcPr>
            <w:tcW w:w="2400" w:type="dxa"/>
            <w:tcBorders>
              <w:top w:val="single" w:sz="4" w:space="0" w:color="D9D9D9"/>
              <w:left w:val="single" w:sz="4" w:space="0" w:color="D9D9D9"/>
              <w:bottom w:val="single" w:sz="4" w:space="0" w:color="D9D9D9"/>
              <w:right w:val="single" w:sz="4" w:space="0" w:color="D9D9D9"/>
            </w:tcBorders>
            <w:tcMar>
              <w:top w:w="40" w:type="dxa"/>
              <w:left w:w="100" w:type="dxa"/>
              <w:bottom w:w="40" w:type="dxa"/>
              <w:right w:w="100" w:type="dxa"/>
            </w:tcMar>
          </w:tcPr>
          <w:p w14:paraId="0E16EE47" w14:textId="77777777" w:rsidR="00775A1C" w:rsidRDefault="003E5282">
            <w:pPr>
              <w:spacing w:line="220" w:lineRule="auto"/>
            </w:pPr>
            <w:r>
              <w:rPr>
                <w:sz w:val="16"/>
                <w:szCs w:val="16"/>
              </w:rPr>
              <w:t>Interpretability evaluation</w:t>
            </w:r>
          </w:p>
        </w:tc>
        <w:tc>
          <w:tcPr>
            <w:tcW w:w="800" w:type="dxa"/>
            <w:tcBorders>
              <w:top w:val="single" w:sz="4" w:space="0" w:color="D9D9D9"/>
              <w:left w:val="single" w:sz="4" w:space="0" w:color="D9D9D9"/>
              <w:bottom w:val="single" w:sz="4" w:space="0" w:color="D9D9D9"/>
              <w:right w:val="single" w:sz="4" w:space="0" w:color="D9D9D9"/>
            </w:tcBorders>
            <w:tcMar>
              <w:top w:w="40" w:type="dxa"/>
              <w:left w:w="100" w:type="dxa"/>
              <w:bottom w:w="40" w:type="dxa"/>
              <w:right w:w="100" w:type="dxa"/>
            </w:tcMar>
          </w:tcPr>
          <w:p w14:paraId="0E16EE48" w14:textId="77777777" w:rsidR="00775A1C" w:rsidRDefault="003E5282">
            <w:pPr>
              <w:spacing w:line="220" w:lineRule="auto"/>
              <w:jc w:val="center"/>
            </w:pPr>
            <w:r>
              <w:rPr>
                <w:sz w:val="16"/>
                <w:szCs w:val="16"/>
              </w:rPr>
              <w:t>16</w:t>
            </w:r>
          </w:p>
        </w:tc>
        <w:tc>
          <w:tcPr>
            <w:tcW w:w="800" w:type="dxa"/>
            <w:tcBorders>
              <w:top w:val="single" w:sz="4" w:space="0" w:color="D9D9D9"/>
              <w:left w:val="single" w:sz="4" w:space="0" w:color="D9D9D9"/>
              <w:bottom w:val="single" w:sz="4" w:space="0" w:color="D9D9D9"/>
              <w:right w:val="single" w:sz="4" w:space="0" w:color="D9D9D9"/>
            </w:tcBorders>
            <w:tcMar>
              <w:top w:w="40" w:type="dxa"/>
              <w:left w:w="100" w:type="dxa"/>
              <w:bottom w:w="40" w:type="dxa"/>
              <w:right w:w="100" w:type="dxa"/>
            </w:tcMar>
          </w:tcPr>
          <w:p w14:paraId="0E16EE49" w14:textId="77777777" w:rsidR="00775A1C" w:rsidRDefault="003E5282">
            <w:pPr>
              <w:spacing w:line="220" w:lineRule="auto"/>
              <w:jc w:val="center"/>
            </w:pPr>
            <w:r>
              <w:rPr>
                <w:sz w:val="16"/>
                <w:szCs w:val="16"/>
              </w:rPr>
              <w:t>64</w:t>
            </w:r>
          </w:p>
        </w:tc>
        <w:tc>
          <w:tcPr>
            <w:tcW w:w="6000" w:type="dxa"/>
            <w:tcBorders>
              <w:top w:val="single" w:sz="4" w:space="0" w:color="D9D9D9"/>
              <w:left w:val="single" w:sz="4" w:space="0" w:color="D9D9D9"/>
              <w:bottom w:val="single" w:sz="4" w:space="0" w:color="D9D9D9"/>
              <w:right w:val="single" w:sz="4" w:space="0" w:color="D9D9D9"/>
            </w:tcBorders>
            <w:tcMar>
              <w:top w:w="40" w:type="dxa"/>
              <w:left w:w="100" w:type="dxa"/>
              <w:bottom w:w="40" w:type="dxa"/>
              <w:right w:w="100" w:type="dxa"/>
            </w:tcMar>
          </w:tcPr>
          <w:p w14:paraId="0E16EE4A" w14:textId="77777777" w:rsidR="00775A1C" w:rsidRDefault="003E5282">
            <w:pPr>
              <w:spacing w:line="220" w:lineRule="auto"/>
            </w:pPr>
            <w:r>
              <w:rPr>
                <w:sz w:val="16"/>
                <w:szCs w:val="16"/>
              </w:rPr>
              <w:t xml:space="preserve">Per-cancer RFS, </w:t>
            </w:r>
            <w:proofErr w:type="spellStart"/>
            <w:r>
              <w:rPr>
                <w:sz w:val="16"/>
                <w:szCs w:val="16"/>
              </w:rPr>
              <w:t>IoU@k</w:t>
            </w:r>
            <w:proofErr w:type="spellEnd"/>
            <w:r>
              <w:rPr>
                <w:sz w:val="16"/>
                <w:szCs w:val="16"/>
              </w:rPr>
              <w:t xml:space="preserve">, Concept Grounding, and Hallucination Rate; layer-wise concept emergence via </w:t>
            </w:r>
            <w:proofErr w:type="spellStart"/>
            <w:r>
              <w:rPr>
                <w:sz w:val="16"/>
                <w:szCs w:val="16"/>
              </w:rPr>
              <w:t>LatentLens</w:t>
            </w:r>
            <w:proofErr w:type="spellEnd"/>
            <w:r>
              <w:rPr>
                <w:sz w:val="16"/>
                <w:szCs w:val="16"/>
              </w:rPr>
              <w:t>.</w:t>
            </w:r>
          </w:p>
        </w:tc>
      </w:tr>
      <w:tr w:rsidR="00775A1C" w14:paraId="0E16EE51" w14:textId="77777777">
        <w:tblPrEx>
          <w:tblCellMar>
            <w:top w:w="0" w:type="dxa"/>
            <w:bottom w:w="0" w:type="dxa"/>
          </w:tblCellMar>
        </w:tblPrEx>
        <w:tc>
          <w:tcPr>
            <w:tcW w:w="800" w:type="dxa"/>
            <w:tcBorders>
              <w:top w:val="single" w:sz="4" w:space="0" w:color="D9D9D9"/>
              <w:left w:val="single" w:sz="4" w:space="0" w:color="D9D9D9"/>
              <w:bottom w:val="single" w:sz="4" w:space="0" w:color="D9D9D9"/>
              <w:right w:val="single" w:sz="4" w:space="0" w:color="D9D9D9"/>
            </w:tcBorders>
            <w:shd w:val="clear" w:color="auto" w:fill="F4E1E4"/>
            <w:tcMar>
              <w:top w:w="40" w:type="dxa"/>
              <w:left w:w="100" w:type="dxa"/>
              <w:bottom w:w="40" w:type="dxa"/>
              <w:right w:w="100" w:type="dxa"/>
            </w:tcMar>
          </w:tcPr>
          <w:p w14:paraId="0E16EE4C" w14:textId="77777777" w:rsidR="00775A1C" w:rsidRDefault="003E5282">
            <w:pPr>
              <w:spacing w:line="220" w:lineRule="auto"/>
              <w:jc w:val="center"/>
            </w:pPr>
            <w:r>
              <w:rPr>
                <w:sz w:val="16"/>
                <w:szCs w:val="16"/>
              </w:rPr>
              <w:t>26–30</w:t>
            </w:r>
          </w:p>
        </w:tc>
        <w:tc>
          <w:tcPr>
            <w:tcW w:w="2400" w:type="dxa"/>
            <w:tcBorders>
              <w:top w:val="single" w:sz="4" w:space="0" w:color="D9D9D9"/>
              <w:left w:val="single" w:sz="4" w:space="0" w:color="D9D9D9"/>
              <w:bottom w:val="single" w:sz="4" w:space="0" w:color="D9D9D9"/>
              <w:right w:val="single" w:sz="4" w:space="0" w:color="D9D9D9"/>
            </w:tcBorders>
            <w:shd w:val="clear" w:color="auto" w:fill="F4E1E4"/>
            <w:tcMar>
              <w:top w:w="40" w:type="dxa"/>
              <w:left w:w="100" w:type="dxa"/>
              <w:bottom w:w="40" w:type="dxa"/>
              <w:right w:w="100" w:type="dxa"/>
            </w:tcMar>
          </w:tcPr>
          <w:p w14:paraId="0E16EE4D" w14:textId="77777777" w:rsidR="00775A1C" w:rsidRDefault="003E5282">
            <w:pPr>
              <w:spacing w:line="220" w:lineRule="auto"/>
            </w:pPr>
            <w:r>
              <w:rPr>
                <w:sz w:val="16"/>
                <w:szCs w:val="16"/>
              </w:rPr>
              <w:t>Buffer: failures, ablations, virtual-staining sub-projects (Aims 3–4), write-up</w:t>
            </w:r>
          </w:p>
        </w:tc>
        <w:tc>
          <w:tcPr>
            <w:tcW w:w="800" w:type="dxa"/>
            <w:tcBorders>
              <w:top w:val="single" w:sz="4" w:space="0" w:color="D9D9D9"/>
              <w:left w:val="single" w:sz="4" w:space="0" w:color="D9D9D9"/>
              <w:bottom w:val="single" w:sz="4" w:space="0" w:color="D9D9D9"/>
              <w:right w:val="single" w:sz="4" w:space="0" w:color="D9D9D9"/>
            </w:tcBorders>
            <w:shd w:val="clear" w:color="auto" w:fill="F4E1E4"/>
            <w:tcMar>
              <w:top w:w="40" w:type="dxa"/>
              <w:left w:w="100" w:type="dxa"/>
              <w:bottom w:w="40" w:type="dxa"/>
              <w:right w:w="100" w:type="dxa"/>
            </w:tcMar>
          </w:tcPr>
          <w:p w14:paraId="0E16EE4E" w14:textId="77777777" w:rsidR="00775A1C" w:rsidRDefault="003E5282">
            <w:pPr>
              <w:spacing w:line="220" w:lineRule="auto"/>
              <w:jc w:val="center"/>
            </w:pPr>
            <w:r>
              <w:rPr>
                <w:sz w:val="16"/>
                <w:szCs w:val="16"/>
              </w:rPr>
              <w:t>16–32</w:t>
            </w:r>
          </w:p>
        </w:tc>
        <w:tc>
          <w:tcPr>
            <w:tcW w:w="800" w:type="dxa"/>
            <w:tcBorders>
              <w:top w:val="single" w:sz="4" w:space="0" w:color="D9D9D9"/>
              <w:left w:val="single" w:sz="4" w:space="0" w:color="D9D9D9"/>
              <w:bottom w:val="single" w:sz="4" w:space="0" w:color="D9D9D9"/>
              <w:right w:val="single" w:sz="4" w:space="0" w:color="D9D9D9"/>
            </w:tcBorders>
            <w:shd w:val="clear" w:color="auto" w:fill="F4E1E4"/>
            <w:tcMar>
              <w:top w:w="40" w:type="dxa"/>
              <w:left w:w="100" w:type="dxa"/>
              <w:bottom w:w="40" w:type="dxa"/>
              <w:right w:w="100" w:type="dxa"/>
            </w:tcMar>
          </w:tcPr>
          <w:p w14:paraId="0E16EE4F" w14:textId="77777777" w:rsidR="00775A1C" w:rsidRDefault="003E5282">
            <w:pPr>
              <w:spacing w:line="220" w:lineRule="auto"/>
              <w:jc w:val="center"/>
            </w:pPr>
            <w:r>
              <w:rPr>
                <w:sz w:val="16"/>
                <w:szCs w:val="16"/>
              </w:rPr>
              <w:t>—</w:t>
            </w:r>
          </w:p>
        </w:tc>
        <w:tc>
          <w:tcPr>
            <w:tcW w:w="6000" w:type="dxa"/>
            <w:tcBorders>
              <w:top w:val="single" w:sz="4" w:space="0" w:color="D9D9D9"/>
              <w:left w:val="single" w:sz="4" w:space="0" w:color="D9D9D9"/>
              <w:bottom w:val="single" w:sz="4" w:space="0" w:color="D9D9D9"/>
              <w:right w:val="single" w:sz="4" w:space="0" w:color="D9D9D9"/>
            </w:tcBorders>
            <w:shd w:val="clear" w:color="auto" w:fill="F4E1E4"/>
            <w:tcMar>
              <w:top w:w="40" w:type="dxa"/>
              <w:left w:w="100" w:type="dxa"/>
              <w:bottom w:w="40" w:type="dxa"/>
              <w:right w:w="100" w:type="dxa"/>
            </w:tcMar>
          </w:tcPr>
          <w:p w14:paraId="0E16EE50" w14:textId="77777777" w:rsidR="00775A1C" w:rsidRDefault="003E5282">
            <w:pPr>
              <w:spacing w:line="220" w:lineRule="auto"/>
            </w:pPr>
            <w:r>
              <w:rPr>
                <w:sz w:val="16"/>
                <w:szCs w:val="16"/>
              </w:rPr>
              <w:t xml:space="preserve">Rare-subtype analysis, </w:t>
            </w:r>
            <w:proofErr w:type="spellStart"/>
            <w:r>
              <w:rPr>
                <w:sz w:val="16"/>
                <w:szCs w:val="16"/>
              </w:rPr>
              <w:t>SCALe</w:t>
            </w:r>
            <w:proofErr w:type="spellEnd"/>
            <w:r>
              <w:rPr>
                <w:sz w:val="16"/>
                <w:szCs w:val="16"/>
              </w:rPr>
              <w:t xml:space="preserve"> loss-schedule ablation, two diffusion-based H&amp;E to IHC virtual-staining sub-projects (final scope before submission), and the Deeper Learning blog draft.</w:t>
            </w:r>
          </w:p>
        </w:tc>
      </w:tr>
      <w:tr w:rsidR="00775A1C" w14:paraId="0E16EE57" w14:textId="77777777">
        <w:tblPrEx>
          <w:tblCellMar>
            <w:top w:w="0" w:type="dxa"/>
            <w:bottom w:w="0" w:type="dxa"/>
          </w:tblCellMar>
        </w:tblPrEx>
        <w:tc>
          <w:tcPr>
            <w:tcW w:w="800" w:type="dxa"/>
            <w:tcBorders>
              <w:top w:val="single" w:sz="4" w:space="0" w:color="D9D9D9"/>
              <w:left w:val="single" w:sz="4" w:space="0" w:color="D9D9D9"/>
              <w:bottom w:val="single" w:sz="4" w:space="0" w:color="D9D9D9"/>
              <w:right w:val="single" w:sz="4" w:space="0" w:color="D9D9D9"/>
            </w:tcBorders>
            <w:shd w:val="clear" w:color="auto" w:fill="F4E1E4"/>
            <w:tcMar>
              <w:top w:w="40" w:type="dxa"/>
              <w:left w:w="100" w:type="dxa"/>
              <w:bottom w:w="40" w:type="dxa"/>
              <w:right w:w="100" w:type="dxa"/>
            </w:tcMar>
          </w:tcPr>
          <w:p w14:paraId="0E16EE52" w14:textId="77777777" w:rsidR="00775A1C" w:rsidRDefault="003E5282">
            <w:pPr>
              <w:spacing w:line="220" w:lineRule="auto"/>
              <w:jc w:val="center"/>
            </w:pPr>
            <w:r>
              <w:rPr>
                <w:b/>
                <w:bCs/>
                <w:sz w:val="16"/>
                <w:szCs w:val="16"/>
              </w:rPr>
              <w:t>Total</w:t>
            </w:r>
          </w:p>
        </w:tc>
        <w:tc>
          <w:tcPr>
            <w:tcW w:w="2400" w:type="dxa"/>
            <w:tcBorders>
              <w:top w:val="single" w:sz="4" w:space="0" w:color="D9D9D9"/>
              <w:left w:val="single" w:sz="4" w:space="0" w:color="D9D9D9"/>
              <w:bottom w:val="single" w:sz="4" w:space="0" w:color="D9D9D9"/>
              <w:right w:val="single" w:sz="4" w:space="0" w:color="D9D9D9"/>
            </w:tcBorders>
            <w:shd w:val="clear" w:color="auto" w:fill="F4E1E4"/>
            <w:tcMar>
              <w:top w:w="40" w:type="dxa"/>
              <w:left w:w="100" w:type="dxa"/>
              <w:bottom w:w="40" w:type="dxa"/>
              <w:right w:w="100" w:type="dxa"/>
            </w:tcMar>
          </w:tcPr>
          <w:p w14:paraId="0E16EE53" w14:textId="77777777" w:rsidR="00775A1C" w:rsidRDefault="003E5282">
            <w:pPr>
              <w:spacing w:line="220" w:lineRule="auto"/>
            </w:pPr>
            <w:r>
              <w:rPr>
                <w:b/>
                <w:bCs/>
                <w:sz w:val="16"/>
                <w:szCs w:val="16"/>
              </w:rPr>
              <w:t>30 days, approximately 1,150 GPU-hours</w:t>
            </w:r>
          </w:p>
        </w:tc>
        <w:tc>
          <w:tcPr>
            <w:tcW w:w="800" w:type="dxa"/>
            <w:tcBorders>
              <w:top w:val="single" w:sz="4" w:space="0" w:color="D9D9D9"/>
              <w:left w:val="single" w:sz="4" w:space="0" w:color="D9D9D9"/>
              <w:bottom w:val="single" w:sz="4" w:space="0" w:color="D9D9D9"/>
              <w:right w:val="single" w:sz="4" w:space="0" w:color="D9D9D9"/>
            </w:tcBorders>
            <w:shd w:val="clear" w:color="auto" w:fill="F4E1E4"/>
            <w:tcMar>
              <w:top w:w="40" w:type="dxa"/>
              <w:left w:w="100" w:type="dxa"/>
              <w:bottom w:w="40" w:type="dxa"/>
              <w:right w:w="100" w:type="dxa"/>
            </w:tcMar>
          </w:tcPr>
          <w:p w14:paraId="0E16EE54" w14:textId="77777777" w:rsidR="00775A1C" w:rsidRDefault="003E5282">
            <w:pPr>
              <w:spacing w:line="220" w:lineRule="auto"/>
              <w:jc w:val="center"/>
            </w:pPr>
            <w:r>
              <w:rPr>
                <w:b/>
                <w:bCs/>
                <w:sz w:val="16"/>
                <w:szCs w:val="16"/>
              </w:rPr>
              <w:t>≤ 64</w:t>
            </w:r>
          </w:p>
        </w:tc>
        <w:tc>
          <w:tcPr>
            <w:tcW w:w="800" w:type="dxa"/>
            <w:tcBorders>
              <w:top w:val="single" w:sz="4" w:space="0" w:color="D9D9D9"/>
              <w:left w:val="single" w:sz="4" w:space="0" w:color="D9D9D9"/>
              <w:bottom w:val="single" w:sz="4" w:space="0" w:color="D9D9D9"/>
              <w:right w:val="single" w:sz="4" w:space="0" w:color="D9D9D9"/>
            </w:tcBorders>
            <w:shd w:val="clear" w:color="auto" w:fill="F4E1E4"/>
            <w:tcMar>
              <w:top w:w="40" w:type="dxa"/>
              <w:left w:w="100" w:type="dxa"/>
              <w:bottom w:w="40" w:type="dxa"/>
              <w:right w:w="100" w:type="dxa"/>
            </w:tcMar>
          </w:tcPr>
          <w:p w14:paraId="0E16EE55" w14:textId="77777777" w:rsidR="00775A1C" w:rsidRDefault="003E5282">
            <w:pPr>
              <w:spacing w:line="220" w:lineRule="auto"/>
              <w:jc w:val="center"/>
            </w:pPr>
            <w:r>
              <w:rPr>
                <w:b/>
                <w:bCs/>
                <w:sz w:val="16"/>
                <w:szCs w:val="16"/>
              </w:rPr>
              <w:t>~1,150</w:t>
            </w:r>
          </w:p>
        </w:tc>
        <w:tc>
          <w:tcPr>
            <w:tcW w:w="6000" w:type="dxa"/>
            <w:tcBorders>
              <w:top w:val="single" w:sz="4" w:space="0" w:color="D9D9D9"/>
              <w:left w:val="single" w:sz="4" w:space="0" w:color="D9D9D9"/>
              <w:bottom w:val="single" w:sz="4" w:space="0" w:color="D9D9D9"/>
              <w:right w:val="single" w:sz="4" w:space="0" w:color="D9D9D9"/>
            </w:tcBorders>
            <w:shd w:val="clear" w:color="auto" w:fill="F4E1E4"/>
            <w:tcMar>
              <w:top w:w="40" w:type="dxa"/>
              <w:left w:w="100" w:type="dxa"/>
              <w:bottom w:w="40" w:type="dxa"/>
              <w:right w:w="100" w:type="dxa"/>
            </w:tcMar>
          </w:tcPr>
          <w:p w14:paraId="0E16EE56" w14:textId="77777777" w:rsidR="00775A1C" w:rsidRDefault="003E5282">
            <w:pPr>
              <w:spacing w:line="220" w:lineRule="auto"/>
            </w:pPr>
            <w:r>
              <w:rPr>
                <w:b/>
                <w:bCs/>
                <w:sz w:val="16"/>
                <w:szCs w:val="16"/>
              </w:rPr>
              <w:t>The end-to-end pipeline finishes in approximately 8 wall-clock days at full parallelism. The remaining 22 days absorb failures, ablations, and the two secondary sub-projects.</w:t>
            </w:r>
          </w:p>
        </w:tc>
      </w:tr>
    </w:tbl>
    <w:p w14:paraId="0E16EE58" w14:textId="77777777" w:rsidR="00775A1C" w:rsidRDefault="003E5282">
      <w:pPr>
        <w:spacing w:before="60" w:after="80"/>
        <w:jc w:val="both"/>
      </w:pPr>
      <w:r>
        <w:t xml:space="preserve">The 1,150 GPU-hour total is derived from measured </w:t>
      </w:r>
      <w:proofErr w:type="spellStart"/>
      <w:r>
        <w:t>walltimes</w:t>
      </w:r>
      <w:proofErr w:type="spellEnd"/>
      <w:r>
        <w:t xml:space="preserve"> on Harvard FASRC clusters between April and May 2026 (13.3 s per step on A100 80GB for Qwen2.5-7B with the CONCH-Perceiver projector, verified across no-</w:t>
      </w:r>
      <w:proofErr w:type="spellStart"/>
      <w:r>
        <w:t>CoT</w:t>
      </w:r>
      <w:proofErr w:type="spellEnd"/>
      <w:r>
        <w:t xml:space="preserve">, </w:t>
      </w:r>
      <w:proofErr w:type="spellStart"/>
      <w:r>
        <w:t>CoT</w:t>
      </w:r>
      <w:proofErr w:type="spellEnd"/>
      <w:r>
        <w:t>-SFT, and curriculum-SFT runs). Per-cancer scaling is linear in step count because CONCH features are pre-extracted; per-step cost is invariant to organ. The 22-day buffer is engineered to absorb expected failure modes (rare subtype underperformance, GRPO instability on the longest-tail cohorts) and to host Aims 3 and 4.</w:t>
      </w:r>
    </w:p>
    <w:p w14:paraId="0E16EE59" w14:textId="77777777" w:rsidR="00775A1C" w:rsidRDefault="00775A1C">
      <w:pPr>
        <w:pBdr>
          <w:bottom w:val="single" w:sz="4" w:space="1" w:color="C8C8C8"/>
        </w:pBdr>
        <w:spacing w:before="100" w:after="60"/>
      </w:pPr>
    </w:p>
    <w:p w14:paraId="022B2F43" w14:textId="77777777" w:rsidR="00F854D7" w:rsidRDefault="00F854D7">
      <w:pPr>
        <w:spacing w:before="180" w:after="60"/>
        <w:rPr>
          <w:b/>
          <w:bCs/>
          <w:color w:val="A51C30"/>
        </w:rPr>
      </w:pPr>
    </w:p>
    <w:p w14:paraId="0E16EE5A" w14:textId="18B21062" w:rsidR="00775A1C" w:rsidRDefault="003E5282">
      <w:pPr>
        <w:spacing w:before="180" w:after="60"/>
      </w:pPr>
      <w:r>
        <w:rPr>
          <w:b/>
          <w:bCs/>
          <w:color w:val="A51C30"/>
        </w:rPr>
        <w:lastRenderedPageBreak/>
        <w:t>Open Science and Reproducibility</w:t>
      </w:r>
    </w:p>
    <w:p w14:paraId="0E16EE5B" w14:textId="77777777" w:rsidR="00775A1C" w:rsidRDefault="003E5282">
      <w:pPr>
        <w:spacing w:before="60" w:after="80"/>
        <w:jc w:val="both"/>
      </w:pPr>
      <w:r>
        <w:t xml:space="preserve">All artifacts produced under this award (code, splits, evaluation harness, </w:t>
      </w:r>
      <w:proofErr w:type="spellStart"/>
      <w:r>
        <w:t>LoRA</w:t>
      </w:r>
      <w:proofErr w:type="spellEnd"/>
      <w:r>
        <w:t xml:space="preserve"> adapter weights, dashboard, and the Deeper Learning blog) will be released under permissive licenses, i.e., MIT for code, CC-BY for derived data tables, and Apache-2.0 for model weights. Manuscripts will be deposited to </w:t>
      </w:r>
      <w:proofErr w:type="spellStart"/>
      <w:r>
        <w:t>arXiv</w:t>
      </w:r>
      <w:proofErr w:type="spellEnd"/>
      <w:r>
        <w:t xml:space="preserve"> or </w:t>
      </w:r>
      <w:proofErr w:type="spellStart"/>
      <w:r>
        <w:t>bioRxiv</w:t>
      </w:r>
      <w:proofErr w:type="spellEnd"/>
      <w:r>
        <w:t xml:space="preserve"> at first journal submission, per the Kempner Open Science Policy. The acknowledgement clause will read: “This work has been possible in part by a gift from the Chan Zuckerberg Initiative Foundation to establish the Kempner Institute for the Study of Natural and Artifici</w:t>
      </w:r>
      <w:r>
        <w:t>al Intelligence.”</w:t>
      </w:r>
    </w:p>
    <w:p w14:paraId="0E16EE5C" w14:textId="77777777" w:rsidR="00775A1C" w:rsidRDefault="003E5282">
      <w:pPr>
        <w:spacing w:before="180" w:after="60"/>
      </w:pPr>
      <w:r>
        <w:rPr>
          <w:b/>
          <w:bCs/>
          <w:color w:val="A51C30"/>
        </w:rPr>
        <w:t>Risks and Mitigations</w:t>
      </w:r>
    </w:p>
    <w:p w14:paraId="0E16EE5D" w14:textId="77777777" w:rsidR="00775A1C" w:rsidRDefault="003E5282">
      <w:pPr>
        <w:pStyle w:val="ListParagraph"/>
        <w:numPr>
          <w:ilvl w:val="0"/>
          <w:numId w:val="2"/>
        </w:numPr>
        <w:spacing w:before="30" w:after="30"/>
      </w:pPr>
      <w:r>
        <w:rPr>
          <w:b/>
          <w:bCs/>
        </w:rPr>
        <w:t>Curriculum recipe fails to generalize beyond brain.</w:t>
      </w:r>
      <w:r>
        <w:t xml:space="preserve"> Likelihood medium. The brain result will be reproduced as a sanity check inside the first 48 hours of the award window. If pan-cancer accuracy is statistically indistinguishable from the no-</w:t>
      </w:r>
      <w:proofErr w:type="spellStart"/>
      <w:r>
        <w:t>CoT</w:t>
      </w:r>
      <w:proofErr w:type="spellEnd"/>
      <w:r>
        <w:t xml:space="preserve"> baseline across more than a third of cohorts, we will pivot to organ-stratified hyperparameter selection. The </w:t>
      </w:r>
      <w:proofErr w:type="spellStart"/>
      <w:r>
        <w:t>walltime</w:t>
      </w:r>
      <w:proofErr w:type="spellEnd"/>
      <w:r>
        <w:t xml:space="preserve"> budget accommodates a second curriculum pass on a subset.</w:t>
      </w:r>
    </w:p>
    <w:p w14:paraId="0E16EE5E" w14:textId="77777777" w:rsidR="00775A1C" w:rsidRDefault="003E5282">
      <w:pPr>
        <w:pStyle w:val="ListParagraph"/>
        <w:numPr>
          <w:ilvl w:val="0"/>
          <w:numId w:val="2"/>
        </w:numPr>
        <w:spacing w:before="30" w:after="30"/>
      </w:pPr>
      <w:r>
        <w:rPr>
          <w:b/>
          <w:bCs/>
        </w:rPr>
        <w:t>Per-cohort Q/A train budget is unknown after augmentation.</w:t>
      </w:r>
      <w:r>
        <w:t xml:space="preserve"> Likelihood medium. WSI-Bench train provides 177,173 Q/A across 30 cancers; </w:t>
      </w:r>
      <w:proofErr w:type="spellStart"/>
      <w:r>
        <w:t>SlideBench</w:t>
      </w:r>
      <w:proofErr w:type="spellEnd"/>
      <w:r>
        <w:t>-style augmentation yielded 50,634 brain rows from the brain WHO YAML. We expect 30,000 to 60,000 rows per cohort and will report the realized count per cancer in the end-of-award table.</w:t>
      </w:r>
    </w:p>
    <w:p w14:paraId="0E16EE5F" w14:textId="77777777" w:rsidR="00775A1C" w:rsidRDefault="003E5282">
      <w:pPr>
        <w:pStyle w:val="ListParagraph"/>
        <w:numPr>
          <w:ilvl w:val="0"/>
          <w:numId w:val="2"/>
        </w:numPr>
        <w:spacing w:before="30" w:after="30"/>
      </w:pPr>
      <w:r>
        <w:rPr>
          <w:b/>
          <w:bCs/>
        </w:rPr>
        <w:t>Single aggregated NLP score (e.g., METEOR) may not generalize across organs.</w:t>
      </w:r>
      <w:r>
        <w:t xml:space="preserve"> Likelihood high. We commit to per-organ held-out MCQ and free-form evaluation rather than a single aggregated number. </w:t>
      </w:r>
      <w:proofErr w:type="spellStart"/>
      <w:r>
        <w:t>IoU@k</w:t>
      </w:r>
      <w:proofErr w:type="spellEnd"/>
      <w:r>
        <w:t xml:space="preserve"> and Reasoning Fidelity are designed to be cross-organ comparable.</w:t>
      </w:r>
    </w:p>
    <w:p w14:paraId="0E16EE60" w14:textId="77777777" w:rsidR="00775A1C" w:rsidRDefault="003E5282">
      <w:pPr>
        <w:pStyle w:val="ListParagraph"/>
        <w:numPr>
          <w:ilvl w:val="0"/>
          <w:numId w:val="2"/>
        </w:numPr>
        <w:spacing w:before="30" w:after="30"/>
      </w:pPr>
      <w:r>
        <w:rPr>
          <w:b/>
          <w:bCs/>
        </w:rPr>
        <w:t>Thirty days are insufficient for 32 cohorts and the full pipeline.</w:t>
      </w:r>
      <w:r>
        <w:t xml:space="preserve"> Likelihood low. Phase 7 GRPO is the long tail. If it overruns, we will ship curriculum-SFT pan-cancer plus GRPO on the eight most-prevalent cohorts and report the remainder as preliminary.</w:t>
      </w:r>
    </w:p>
    <w:p w14:paraId="0E16EE61" w14:textId="77777777" w:rsidR="00775A1C" w:rsidRDefault="003E5282">
      <w:pPr>
        <w:pStyle w:val="ListParagraph"/>
        <w:numPr>
          <w:ilvl w:val="0"/>
          <w:numId w:val="2"/>
        </w:numPr>
        <w:spacing w:before="30" w:after="30"/>
      </w:pPr>
      <w:r>
        <w:rPr>
          <w:b/>
          <w:bCs/>
        </w:rPr>
        <w:t>Aim 3 and Aim 4 (virtual staining) scope is open at submission time.</w:t>
      </w:r>
      <w:r>
        <w:t xml:space="preserve"> Likelihood medium. Both aims are scoped within the 22-day buffer and are not on the critical path for Aims 1 and 2. If diffusion-model training does not converge inside the buffer, the relevant sub-project will be reported as a negative result with the trained intermediate artifacts released under the same Open Science licenses.</w:t>
      </w:r>
    </w:p>
    <w:p w14:paraId="0E16EE62" w14:textId="77777777" w:rsidR="00775A1C" w:rsidRDefault="003E5282">
      <w:pPr>
        <w:spacing w:before="180" w:after="60"/>
      </w:pPr>
      <w:r>
        <w:rPr>
          <w:b/>
          <w:bCs/>
          <w:color w:val="A51C30"/>
        </w:rPr>
        <w:t>Team</w:t>
      </w:r>
    </w:p>
    <w:p w14:paraId="0E16EE63" w14:textId="77777777" w:rsidR="00775A1C" w:rsidRDefault="003E5282">
      <w:pPr>
        <w:spacing w:before="60" w:after="80"/>
        <w:jc w:val="both"/>
      </w:pPr>
      <w:r>
        <w:rPr>
          <w:b/>
          <w:bCs/>
        </w:rPr>
        <w:t>Kun-</w:t>
      </w:r>
      <w:proofErr w:type="spellStart"/>
      <w:r>
        <w:rPr>
          <w:b/>
          <w:bCs/>
        </w:rPr>
        <w:t>Hsing</w:t>
      </w:r>
      <w:proofErr w:type="spellEnd"/>
      <w:r>
        <w:rPr>
          <w:b/>
          <w:bCs/>
        </w:rPr>
        <w:t xml:space="preserve"> Yu, MD, PhD</w:t>
      </w:r>
      <w:r>
        <w:t xml:space="preserve"> is the Coordinating PI. He is Associate Professor in the Department of Biomedical Informatics at Harvard Medical School. His research integrates multi-omics profiles with quantitative histopathology, with publications in Nature (2024) and a record of pathology foundation models adopted by external institutions for cancer diagnosis research. Three supporting publications will be listed in the application portal.</w:t>
      </w:r>
    </w:p>
    <w:p w14:paraId="0E16EE64" w14:textId="77777777" w:rsidR="00775A1C" w:rsidRDefault="003E5282">
      <w:pPr>
        <w:spacing w:before="60" w:after="80"/>
        <w:jc w:val="both"/>
      </w:pPr>
      <w:r>
        <w:rPr>
          <w:b/>
          <w:bCs/>
        </w:rPr>
        <w:t>Co-PI</w:t>
      </w:r>
      <w:r>
        <w:t xml:space="preserve"> to be designated before submission, from the candidate pool of Harvard ladder faculty with PI rights.</w:t>
      </w:r>
    </w:p>
    <w:p w14:paraId="0E16EE65" w14:textId="77777777" w:rsidR="00775A1C" w:rsidRDefault="003E5282">
      <w:pPr>
        <w:spacing w:before="60" w:after="80"/>
        <w:jc w:val="both"/>
      </w:pPr>
      <w:r>
        <w:rPr>
          <w:b/>
          <w:bCs/>
        </w:rPr>
        <w:t>Philip Chikontwe, PhD</w:t>
      </w:r>
      <w:r>
        <w:t xml:space="preserve"> is the Lead Scientist. He is a Research Fellow in the Department of Biomedical Informatics at Harvard Medical School. His research covers few-shot, weakly supervised, and federated learning for medical imaging. He is the author of the COSMO+ codebase and the brain proof of concept.</w:t>
      </w:r>
    </w:p>
    <w:p w14:paraId="0E16EE66" w14:textId="77777777" w:rsidR="00775A1C" w:rsidRDefault="003E5282">
      <w:pPr>
        <w:spacing w:before="60" w:after="80"/>
        <w:jc w:val="both"/>
      </w:pPr>
      <w:r>
        <w:t>Additional project team members, all with active Harvard email addresses and FASRC eligibility, will be listed in the portal application. Per RFP §Eligibility, no Kempner Institute Investigators or Associate Faculty are included.</w:t>
      </w:r>
    </w:p>
    <w:p w14:paraId="0E16EE67" w14:textId="77777777" w:rsidR="00775A1C" w:rsidRDefault="003E5282">
      <w:r>
        <w:br w:type="page"/>
      </w:r>
    </w:p>
    <w:p w14:paraId="0E16EE69" w14:textId="2F3BC06D" w:rsidR="00775A1C" w:rsidRDefault="003E5282" w:rsidP="00870867">
      <w:pPr>
        <w:spacing w:before="180" w:after="60"/>
      </w:pPr>
      <w:r>
        <w:rPr>
          <w:b/>
          <w:bCs/>
          <w:color w:val="A51C30"/>
        </w:rPr>
        <w:lastRenderedPageBreak/>
        <w:t>References</w:t>
      </w:r>
    </w:p>
    <w:p w14:paraId="0E16EE6A" w14:textId="77777777" w:rsidR="00775A1C" w:rsidRDefault="003E5282" w:rsidP="00870867">
      <w:pPr>
        <w:spacing w:before="30" w:after="30"/>
        <w:ind w:left="360" w:hanging="360"/>
        <w:jc w:val="both"/>
      </w:pPr>
      <w:bookmarkStart w:id="0" w:name="ref1"/>
      <w:r>
        <w:rPr>
          <w:b/>
          <w:bCs/>
          <w:color w:val="A51C30"/>
        </w:rPr>
        <w:t>[1]</w:t>
      </w:r>
      <w:bookmarkEnd w:id="0"/>
      <w:r>
        <w:t xml:space="preserve"> Wen, L., Cai, Y., Xiao, F., He, X., An, Q., Duan, Z., Du, Y., Liu, J., Tang, L., </w:t>
      </w:r>
      <w:proofErr w:type="spellStart"/>
      <w:r>
        <w:t>Lv</w:t>
      </w:r>
      <w:proofErr w:type="spellEnd"/>
      <w:r>
        <w:t>, X., Zou, H., Deng, Y., Jia, S. &amp; Zhang, X. Light-R1: Curriculum SFT, DPO and RL for Long COT from Scratch and Beyond. arXiv:2503.10460 (2025). https://arxiv.org/abs/2503.10460</w:t>
      </w:r>
    </w:p>
    <w:p w14:paraId="0E16EE6B" w14:textId="4ED32B13" w:rsidR="00775A1C" w:rsidRDefault="003E5282" w:rsidP="00870867">
      <w:pPr>
        <w:spacing w:before="30" w:after="30"/>
        <w:ind w:left="360" w:hanging="360"/>
        <w:jc w:val="both"/>
      </w:pPr>
      <w:bookmarkStart w:id="1" w:name="ref2"/>
      <w:r>
        <w:rPr>
          <w:b/>
          <w:bCs/>
          <w:color w:val="A51C30"/>
        </w:rPr>
        <w:t>[2]</w:t>
      </w:r>
      <w:bookmarkEnd w:id="1"/>
      <w:r>
        <w:t xml:space="preserve"> </w:t>
      </w:r>
      <w:r w:rsidR="00A41779" w:rsidRPr="00A41779">
        <w:t xml:space="preserve">Shi, </w:t>
      </w:r>
      <w:proofErr w:type="spellStart"/>
      <w:r w:rsidR="00A41779" w:rsidRPr="00A41779">
        <w:t>Xiaofeng</w:t>
      </w:r>
      <w:proofErr w:type="spellEnd"/>
      <w:r w:rsidR="00A41779" w:rsidRPr="00A41779">
        <w:t xml:space="preserve">, et al. "Rethinking Supervised Fine-Tuning: Emphasizing Key Answer Tokens for Improved LLM Accuracy." </w:t>
      </w:r>
      <w:proofErr w:type="spellStart"/>
      <w:r w:rsidR="00A41779" w:rsidRPr="00A41779">
        <w:t>arXiv</w:t>
      </w:r>
      <w:proofErr w:type="spellEnd"/>
      <w:r w:rsidR="00A41779" w:rsidRPr="00A41779">
        <w:t xml:space="preserve"> preprint arXiv:2512.21017 (2025)</w:t>
      </w:r>
    </w:p>
    <w:p w14:paraId="0E16EE6C" w14:textId="308AEC28" w:rsidR="00775A1C" w:rsidRDefault="003E5282" w:rsidP="00870867">
      <w:pPr>
        <w:spacing w:before="30" w:after="30"/>
        <w:ind w:left="360" w:hanging="360"/>
        <w:jc w:val="both"/>
      </w:pPr>
      <w:bookmarkStart w:id="2" w:name="ref3"/>
      <w:r>
        <w:rPr>
          <w:b/>
          <w:bCs/>
          <w:color w:val="A51C30"/>
        </w:rPr>
        <w:t>[3]</w:t>
      </w:r>
      <w:bookmarkEnd w:id="2"/>
      <w:r>
        <w:t xml:space="preserve"> </w:t>
      </w:r>
      <w:r w:rsidR="006D42D1" w:rsidRPr="006D42D1">
        <w:t xml:space="preserve">Chen, </w:t>
      </w:r>
      <w:proofErr w:type="spellStart"/>
      <w:r w:rsidR="006D42D1" w:rsidRPr="006D42D1">
        <w:t>Jierun</w:t>
      </w:r>
      <w:proofErr w:type="spellEnd"/>
      <w:r w:rsidR="006D42D1" w:rsidRPr="006D42D1">
        <w:t xml:space="preserve">, et al. "The synergy dilemma of long-cot </w:t>
      </w:r>
      <w:proofErr w:type="spellStart"/>
      <w:r w:rsidR="006D42D1" w:rsidRPr="006D42D1">
        <w:t>sft</w:t>
      </w:r>
      <w:proofErr w:type="spellEnd"/>
      <w:r w:rsidR="006D42D1" w:rsidRPr="006D42D1">
        <w:t xml:space="preserve"> and </w:t>
      </w:r>
      <w:proofErr w:type="spellStart"/>
      <w:r w:rsidR="006D42D1" w:rsidRPr="006D42D1">
        <w:t>rl</w:t>
      </w:r>
      <w:proofErr w:type="spellEnd"/>
      <w:r w:rsidR="006D42D1" w:rsidRPr="006D42D1">
        <w:t xml:space="preserve">: Investigating post-training techniques for reasoning </w:t>
      </w:r>
      <w:proofErr w:type="spellStart"/>
      <w:r w:rsidR="006D42D1" w:rsidRPr="006D42D1">
        <w:t>vlms</w:t>
      </w:r>
      <w:proofErr w:type="spellEnd"/>
      <w:r w:rsidR="006D42D1" w:rsidRPr="006D42D1">
        <w:t xml:space="preserve">." </w:t>
      </w:r>
      <w:proofErr w:type="spellStart"/>
      <w:r w:rsidR="006D42D1" w:rsidRPr="006D42D1">
        <w:t>arXiv</w:t>
      </w:r>
      <w:proofErr w:type="spellEnd"/>
      <w:r w:rsidR="006D42D1" w:rsidRPr="006D42D1">
        <w:t xml:space="preserve"> preprint arXiv:2507.07562 (2025).</w:t>
      </w:r>
    </w:p>
    <w:p w14:paraId="0E16EE6D" w14:textId="77777777" w:rsidR="00775A1C" w:rsidRDefault="003E5282" w:rsidP="00870867">
      <w:pPr>
        <w:spacing w:before="30" w:after="30"/>
        <w:ind w:left="360" w:hanging="360"/>
        <w:jc w:val="both"/>
      </w:pPr>
      <w:bookmarkStart w:id="3" w:name="ref4"/>
      <w:r>
        <w:rPr>
          <w:b/>
          <w:bCs/>
          <w:color w:val="A51C30"/>
        </w:rPr>
        <w:t>[4]</w:t>
      </w:r>
      <w:bookmarkEnd w:id="3"/>
      <w:r>
        <w:t xml:space="preserve"> Lu, M. Y., Chen, B., Williamson, D. F. K., Chen, R. J., Liang, I., Ding, T., Jaume, G., Odintsov, I., Le, L. P., Gerber, G., </w:t>
      </w:r>
      <w:proofErr w:type="spellStart"/>
      <w:r>
        <w:t>Parwani</w:t>
      </w:r>
      <w:proofErr w:type="spellEnd"/>
      <w:r>
        <w:t>, A. V., Zhang, A. &amp; Mahmood, F. A visual-language foundation model for computational pathology. Nature Medicine 30, 863–874 (2024). https://doi.org/10.1038/s41591-024-02856-4</w:t>
      </w:r>
    </w:p>
    <w:p w14:paraId="0E16EE6E" w14:textId="77777777" w:rsidR="00775A1C" w:rsidRDefault="003E5282" w:rsidP="00870867">
      <w:pPr>
        <w:spacing w:before="30" w:after="30"/>
        <w:ind w:left="360" w:hanging="360"/>
        <w:jc w:val="both"/>
      </w:pPr>
      <w:bookmarkStart w:id="4" w:name="ref5"/>
      <w:r>
        <w:rPr>
          <w:b/>
          <w:bCs/>
          <w:color w:val="A51C30"/>
        </w:rPr>
        <w:t>[5]</w:t>
      </w:r>
      <w:bookmarkEnd w:id="4"/>
      <w:r>
        <w:t xml:space="preserve"> Chen, Y., Wang, G., Ji, Y., Li, Y., Ye, J., Li, T., Hu, M., Yu, R., </w:t>
      </w:r>
      <w:proofErr w:type="spellStart"/>
      <w:r>
        <w:t>Qiao</w:t>
      </w:r>
      <w:proofErr w:type="spellEnd"/>
      <w:r>
        <w:t xml:space="preserve">, Y. &amp; He, J. </w:t>
      </w:r>
      <w:proofErr w:type="spellStart"/>
      <w:r>
        <w:t>SlideChat</w:t>
      </w:r>
      <w:proofErr w:type="spellEnd"/>
      <w:r>
        <w:t>: A Large Vision-Language Assistant for Whole-Slide Pathology Image Understanding. Proc. IEEE/CVF CVPR (2025). https://arxiv.org/abs/2410.11761</w:t>
      </w:r>
    </w:p>
    <w:p w14:paraId="0E16EE6F" w14:textId="77777777" w:rsidR="00775A1C" w:rsidRDefault="003E5282" w:rsidP="00870867">
      <w:pPr>
        <w:spacing w:before="30" w:after="30"/>
        <w:ind w:left="360" w:hanging="360"/>
        <w:jc w:val="both"/>
      </w:pPr>
      <w:bookmarkStart w:id="5" w:name="ref6"/>
      <w:r>
        <w:rPr>
          <w:b/>
          <w:bCs/>
          <w:color w:val="A51C30"/>
        </w:rPr>
        <w:t>[6]</w:t>
      </w:r>
      <w:bookmarkEnd w:id="5"/>
      <w:r>
        <w:t xml:space="preserve"> Liang, Y., Lyu, X., Chen, W., Ding, M., Zhang, J., He, X., Wu, S., Xing, X., Yang, S., Wang, X. &amp; Shen, L. WSI-</w:t>
      </w:r>
      <w:proofErr w:type="spellStart"/>
      <w:r>
        <w:t>LLaVA</w:t>
      </w:r>
      <w:proofErr w:type="spellEnd"/>
      <w:r>
        <w:t>: A Multimodal Large Language Model for Whole Slide Image Interpretation. Proc. IEEE/CVF ICCV (2025), pp. 22718–22727. https://arxiv.org/abs/2412.02141</w:t>
      </w:r>
    </w:p>
    <w:p w14:paraId="0E16EE70" w14:textId="3A907DDD" w:rsidR="00775A1C" w:rsidRDefault="003E5282" w:rsidP="00870867">
      <w:pPr>
        <w:spacing w:before="30" w:after="30"/>
        <w:ind w:left="360" w:hanging="360"/>
        <w:jc w:val="both"/>
      </w:pPr>
      <w:bookmarkStart w:id="6" w:name="ref7"/>
      <w:r>
        <w:rPr>
          <w:b/>
          <w:bCs/>
          <w:color w:val="A51C30"/>
        </w:rPr>
        <w:t>[7]</w:t>
      </w:r>
      <w:bookmarkEnd w:id="6"/>
      <w:r>
        <w:t xml:space="preserve"> </w:t>
      </w:r>
      <w:proofErr w:type="spellStart"/>
      <w:r w:rsidR="00836022" w:rsidRPr="00836022">
        <w:t>Krojer</w:t>
      </w:r>
      <w:proofErr w:type="spellEnd"/>
      <w:r w:rsidR="00836022" w:rsidRPr="00836022">
        <w:t>, Benno, et al.</w:t>
      </w:r>
      <w:r w:rsidR="0000400B">
        <w:t xml:space="preserve"> </w:t>
      </w:r>
      <w:proofErr w:type="spellStart"/>
      <w:r w:rsidR="0000400B" w:rsidRPr="0000400B">
        <w:t>LatentLens</w:t>
      </w:r>
      <w:proofErr w:type="spellEnd"/>
      <w:r w:rsidR="0000400B" w:rsidRPr="0000400B">
        <w:t>:</w:t>
      </w:r>
      <w:r w:rsidR="00340437" w:rsidRPr="00340437">
        <w:t xml:space="preserve"> Revealing Highly Interpretable Visual Tokens in LLMs</w:t>
      </w:r>
      <w:r>
        <w:t xml:space="preserve">. </w:t>
      </w:r>
      <w:r w:rsidR="0000400B">
        <w:t>ICML</w:t>
      </w:r>
    </w:p>
    <w:p w14:paraId="0E16EE71" w14:textId="77777777" w:rsidR="00775A1C" w:rsidRDefault="003E5282" w:rsidP="00870867">
      <w:pPr>
        <w:spacing w:before="30" w:after="30"/>
        <w:ind w:left="360" w:hanging="360"/>
        <w:jc w:val="both"/>
      </w:pPr>
      <w:bookmarkStart w:id="7" w:name="ref8"/>
      <w:r>
        <w:rPr>
          <w:b/>
          <w:bCs/>
          <w:color w:val="A51C30"/>
        </w:rPr>
        <w:t>[8]</w:t>
      </w:r>
      <w:bookmarkEnd w:id="7"/>
      <w:r>
        <w:t xml:space="preserve"> </w:t>
      </w:r>
      <w:proofErr w:type="spellStart"/>
      <w:r>
        <w:t>DeepSeek</w:t>
      </w:r>
      <w:proofErr w:type="spellEnd"/>
      <w:r>
        <w:t>-AI; Liu, A. et al. DeepSeek-R1: Incentivizing Reasoning Capability in LLMs via Reinforcement Learning. arXiv:2501.12948 (2025). https://arxiv.org/abs/2501.12948</w:t>
      </w:r>
    </w:p>
    <w:p w14:paraId="0E16EE72" w14:textId="77777777" w:rsidR="00775A1C" w:rsidRDefault="003E5282" w:rsidP="00870867">
      <w:pPr>
        <w:spacing w:before="30" w:after="30"/>
        <w:ind w:left="360" w:hanging="360"/>
        <w:jc w:val="both"/>
      </w:pPr>
      <w:bookmarkStart w:id="8" w:name="ref9"/>
      <w:r>
        <w:rPr>
          <w:b/>
          <w:bCs/>
          <w:color w:val="A51C30"/>
        </w:rPr>
        <w:t>[9]</w:t>
      </w:r>
      <w:bookmarkEnd w:id="8"/>
      <w:r>
        <w:t xml:space="preserve"> Liu, J., Lichtenberg, T., Hoadley, K. A. et al. An Integrated TCGA Pan-Cancer Clinical Data Resource to Drive High-Quality Survival Outcome Analytics. Cell 173, 400–416.e11 (2018). https://doi.org/10.1016/j.cell.2018.02.052</w:t>
      </w:r>
    </w:p>
    <w:p w14:paraId="0E16EE73" w14:textId="77777777" w:rsidR="00775A1C" w:rsidRDefault="003E5282" w:rsidP="00870867">
      <w:pPr>
        <w:spacing w:before="30" w:after="30"/>
        <w:ind w:left="360" w:hanging="360"/>
        <w:jc w:val="both"/>
      </w:pPr>
      <w:bookmarkStart w:id="9" w:name="ref10"/>
      <w:r>
        <w:rPr>
          <w:b/>
          <w:bCs/>
          <w:color w:val="A51C30"/>
        </w:rPr>
        <w:t>[10]</w:t>
      </w:r>
      <w:bookmarkEnd w:id="9"/>
      <w:r>
        <w:t xml:space="preserve"> Chandak, P., Huang, K. &amp; </w:t>
      </w:r>
      <w:proofErr w:type="spellStart"/>
      <w:r>
        <w:t>Zitnik</w:t>
      </w:r>
      <w:proofErr w:type="spellEnd"/>
      <w:r>
        <w:t>, M. Building a knowledge graph to enable precision medicine. Scientific Data 10, 67 (2023). https://doi.org/10.1038/s41597-023-01960-3</w:t>
      </w:r>
    </w:p>
    <w:p w14:paraId="0E16EE74" w14:textId="03BCF665" w:rsidR="00775A1C" w:rsidRDefault="003E5282" w:rsidP="00870867">
      <w:pPr>
        <w:spacing w:before="30" w:after="30"/>
        <w:ind w:left="360" w:hanging="360"/>
        <w:jc w:val="both"/>
      </w:pPr>
      <w:bookmarkStart w:id="10" w:name="ref11"/>
      <w:r>
        <w:rPr>
          <w:b/>
          <w:bCs/>
          <w:color w:val="A51C30"/>
        </w:rPr>
        <w:t>[11]</w:t>
      </w:r>
      <w:bookmarkEnd w:id="10"/>
      <w:r>
        <w:t xml:space="preserve"> Sheng, B. et al. Train Long, Think Short: Token-Budget Curricula for Reasoning. arXiv:2508.08940 (2025). </w:t>
      </w:r>
    </w:p>
    <w:p w14:paraId="0E16EE7C" w14:textId="76A7952F" w:rsidR="00775A1C" w:rsidRDefault="00775A1C" w:rsidP="003E5282"/>
    <w:sectPr w:rsidR="00775A1C">
      <w:headerReference w:type="default" r:id="rId8"/>
      <w:footerReference w:type="default" r:id="rId9"/>
      <w:headerReference w:type="first" r:id="rId10"/>
      <w:pgSz w:w="12240" w:h="15840"/>
      <w:pgMar w:top="720" w:right="720" w:bottom="720" w:left="720" w:header="144"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E16EE84" w14:textId="77777777" w:rsidR="003E5282" w:rsidRDefault="003E5282">
      <w:r>
        <w:separator/>
      </w:r>
    </w:p>
  </w:endnote>
  <w:endnote w:type="continuationSeparator" w:id="0">
    <w:p w14:paraId="0E16EE86" w14:textId="77777777" w:rsidR="003E5282" w:rsidRDefault="003E52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16EE7E" w14:textId="72E8D666" w:rsidR="00775A1C" w:rsidRDefault="003E5282">
    <w:pPr>
      <w:tabs>
        <w:tab w:val="right" w:pos="10800"/>
      </w:tabs>
    </w:pPr>
    <w:r>
      <w:rPr>
        <w:color w:val="666666"/>
        <w:sz w:val="16"/>
        <w:szCs w:val="16"/>
      </w:rPr>
      <w:t>COSMO+ Pan-Cancer · Kempner Institute Accelerator Award · 2026</w:t>
    </w:r>
    <w:r>
      <w:rPr>
        <w:color w:val="666666"/>
        <w:sz w:val="16"/>
        <w:szCs w:val="16"/>
      </w:rPr>
      <w:tab/>
      <w:t xml:space="preserve">Page </w:t>
    </w:r>
    <w:r>
      <w:rPr>
        <w:color w:val="666666"/>
        <w:sz w:val="16"/>
        <w:szCs w:val="16"/>
      </w:rPr>
      <w:fldChar w:fldCharType="begin"/>
    </w:r>
    <w:r>
      <w:rPr>
        <w:color w:val="666666"/>
        <w:sz w:val="16"/>
        <w:szCs w:val="16"/>
      </w:rPr>
      <w:instrText>PAGE</w:instrText>
    </w:r>
    <w:r>
      <w:rPr>
        <w:color w:val="666666"/>
        <w:sz w:val="16"/>
        <w:szCs w:val="16"/>
      </w:rPr>
      <w:fldChar w:fldCharType="separate"/>
    </w:r>
    <w:r w:rsidR="00F854D7">
      <w:rPr>
        <w:noProof/>
        <w:color w:val="666666"/>
        <w:sz w:val="16"/>
        <w:szCs w:val="16"/>
      </w:rPr>
      <w:t>2</w:t>
    </w:r>
    <w:r>
      <w:rPr>
        <w:color w:val="666666"/>
        <w:sz w:val="16"/>
        <w:szCs w:val="16"/>
      </w:rPr>
      <w:fldChar w:fldCharType="end"/>
    </w:r>
    <w:r>
      <w:rPr>
        <w:color w:val="666666"/>
        <w:sz w:val="16"/>
        <w:szCs w:val="16"/>
      </w:rPr>
      <w:t xml:space="preserve"> of </w:t>
    </w:r>
    <w:r>
      <w:rPr>
        <w:color w:val="666666"/>
        <w:sz w:val="16"/>
        <w:szCs w:val="16"/>
      </w:rPr>
      <w:fldChar w:fldCharType="begin"/>
    </w:r>
    <w:r>
      <w:rPr>
        <w:color w:val="666666"/>
        <w:sz w:val="16"/>
        <w:szCs w:val="16"/>
      </w:rPr>
      <w:instrText>NUMPAGES</w:instrText>
    </w:r>
    <w:r>
      <w:rPr>
        <w:color w:val="666666"/>
        <w:sz w:val="16"/>
        <w:szCs w:val="16"/>
      </w:rPr>
      <w:fldChar w:fldCharType="separate"/>
    </w:r>
    <w:r w:rsidR="00F854D7">
      <w:rPr>
        <w:noProof/>
        <w:color w:val="666666"/>
        <w:sz w:val="16"/>
        <w:szCs w:val="16"/>
      </w:rPr>
      <w:t>3</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E16EE80" w14:textId="77777777" w:rsidR="003E5282" w:rsidRDefault="003E5282">
      <w:r>
        <w:separator/>
      </w:r>
    </w:p>
  </w:footnote>
  <w:footnote w:type="continuationSeparator" w:id="0">
    <w:p w14:paraId="0E16EE82" w14:textId="77777777" w:rsidR="003E5282" w:rsidRDefault="003E52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16EE7D" w14:textId="77777777" w:rsidR="00775A1C" w:rsidRDefault="00775A1C"/>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16EE7F" w14:textId="77777777" w:rsidR="00775A1C" w:rsidRDefault="003E5282">
    <w:pPr>
      <w:jc w:val="center"/>
    </w:pPr>
    <w:r>
      <w:rPr>
        <w:i/>
        <w:iCs/>
        <w:color w:val="8C8C8C"/>
        <w:sz w:val="14"/>
        <w:szCs w:val="14"/>
      </w:rPr>
      <w:t xml:space="preserve">[ Harvard Medical School logo — place 3.0" × 0.42" PNG here, page 1 </w:t>
    </w:r>
    <w:proofErr w:type="gramStart"/>
    <w:r>
      <w:rPr>
        <w:i/>
        <w:iCs/>
        <w:color w:val="8C8C8C"/>
        <w:sz w:val="14"/>
        <w:szCs w:val="14"/>
      </w:rPr>
      <w:t>only ]</w:t>
    </w:r>
    <w:proofErr w:type="gram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C34353"/>
    <w:multiLevelType w:val="hybridMultilevel"/>
    <w:tmpl w:val="FE1AC892"/>
    <w:lvl w:ilvl="0" w:tplc="34E0DC80">
      <w:start w:val="1"/>
      <w:numFmt w:val="bullet"/>
      <w:lvlText w:val="•"/>
      <w:lvlJc w:val="left"/>
      <w:pPr>
        <w:ind w:left="360" w:hanging="200"/>
      </w:pPr>
    </w:lvl>
    <w:lvl w:ilvl="1" w:tplc="B14E7BB0">
      <w:numFmt w:val="decimal"/>
      <w:lvlText w:val=""/>
      <w:lvlJc w:val="left"/>
    </w:lvl>
    <w:lvl w:ilvl="2" w:tplc="879CE3CA">
      <w:numFmt w:val="decimal"/>
      <w:lvlText w:val=""/>
      <w:lvlJc w:val="left"/>
    </w:lvl>
    <w:lvl w:ilvl="3" w:tplc="55F404F0">
      <w:numFmt w:val="decimal"/>
      <w:lvlText w:val=""/>
      <w:lvlJc w:val="left"/>
    </w:lvl>
    <w:lvl w:ilvl="4" w:tplc="B5ECA196">
      <w:numFmt w:val="decimal"/>
      <w:lvlText w:val=""/>
      <w:lvlJc w:val="left"/>
    </w:lvl>
    <w:lvl w:ilvl="5" w:tplc="99944CE8">
      <w:numFmt w:val="decimal"/>
      <w:lvlText w:val=""/>
      <w:lvlJc w:val="left"/>
    </w:lvl>
    <w:lvl w:ilvl="6" w:tplc="F76CA85E">
      <w:numFmt w:val="decimal"/>
      <w:lvlText w:val=""/>
      <w:lvlJc w:val="left"/>
    </w:lvl>
    <w:lvl w:ilvl="7" w:tplc="9E444320">
      <w:numFmt w:val="decimal"/>
      <w:lvlText w:val=""/>
      <w:lvlJc w:val="left"/>
    </w:lvl>
    <w:lvl w:ilvl="8" w:tplc="88686AD2">
      <w:numFmt w:val="decimal"/>
      <w:lvlText w:val=""/>
      <w:lvlJc w:val="left"/>
    </w:lvl>
  </w:abstractNum>
  <w:abstractNum w:abstractNumId="1" w15:restartNumberingAfterBreak="0">
    <w:nsid w:val="20AD31CD"/>
    <w:multiLevelType w:val="hybridMultilevel"/>
    <w:tmpl w:val="985807A0"/>
    <w:lvl w:ilvl="0" w:tplc="CBD8AEF4">
      <w:start w:val="1"/>
      <w:numFmt w:val="bullet"/>
      <w:lvlText w:val="●"/>
      <w:lvlJc w:val="left"/>
      <w:pPr>
        <w:ind w:left="720" w:hanging="360"/>
      </w:pPr>
    </w:lvl>
    <w:lvl w:ilvl="1" w:tplc="6576DC26">
      <w:start w:val="1"/>
      <w:numFmt w:val="bullet"/>
      <w:lvlText w:val="○"/>
      <w:lvlJc w:val="left"/>
      <w:pPr>
        <w:ind w:left="1440" w:hanging="360"/>
      </w:pPr>
    </w:lvl>
    <w:lvl w:ilvl="2" w:tplc="4A447F38">
      <w:start w:val="1"/>
      <w:numFmt w:val="bullet"/>
      <w:lvlText w:val="■"/>
      <w:lvlJc w:val="left"/>
      <w:pPr>
        <w:ind w:left="2160" w:hanging="360"/>
      </w:pPr>
    </w:lvl>
    <w:lvl w:ilvl="3" w:tplc="0EC4BCA6">
      <w:start w:val="1"/>
      <w:numFmt w:val="bullet"/>
      <w:lvlText w:val="●"/>
      <w:lvlJc w:val="left"/>
      <w:pPr>
        <w:ind w:left="2880" w:hanging="360"/>
      </w:pPr>
    </w:lvl>
    <w:lvl w:ilvl="4" w:tplc="AC3CFC06">
      <w:start w:val="1"/>
      <w:numFmt w:val="bullet"/>
      <w:lvlText w:val="○"/>
      <w:lvlJc w:val="left"/>
      <w:pPr>
        <w:ind w:left="3600" w:hanging="360"/>
      </w:pPr>
    </w:lvl>
    <w:lvl w:ilvl="5" w:tplc="2488BC56">
      <w:start w:val="1"/>
      <w:numFmt w:val="bullet"/>
      <w:lvlText w:val="■"/>
      <w:lvlJc w:val="left"/>
      <w:pPr>
        <w:ind w:left="4320" w:hanging="360"/>
      </w:pPr>
    </w:lvl>
    <w:lvl w:ilvl="6" w:tplc="BC0224B2">
      <w:start w:val="1"/>
      <w:numFmt w:val="bullet"/>
      <w:lvlText w:val="●"/>
      <w:lvlJc w:val="left"/>
      <w:pPr>
        <w:ind w:left="5040" w:hanging="360"/>
      </w:pPr>
    </w:lvl>
    <w:lvl w:ilvl="7" w:tplc="4A667978">
      <w:start w:val="1"/>
      <w:numFmt w:val="bullet"/>
      <w:lvlText w:val="●"/>
      <w:lvlJc w:val="left"/>
      <w:pPr>
        <w:ind w:left="5760" w:hanging="360"/>
      </w:pPr>
    </w:lvl>
    <w:lvl w:ilvl="8" w:tplc="6C96126E">
      <w:start w:val="1"/>
      <w:numFmt w:val="bullet"/>
      <w:lvlText w:val="●"/>
      <w:lvlJc w:val="left"/>
      <w:pPr>
        <w:ind w:left="6480" w:hanging="360"/>
      </w:pPr>
    </w:lvl>
  </w:abstractNum>
  <w:num w:numId="1" w16cid:durableId="168911636">
    <w:abstractNumId w:val="1"/>
    <w:lvlOverride w:ilvl="0">
      <w:startOverride w:val="1"/>
    </w:lvlOverride>
  </w:num>
  <w:num w:numId="2" w16cid:durableId="60885552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5A1C"/>
    <w:rsid w:val="0000400B"/>
    <w:rsid w:val="000047BF"/>
    <w:rsid w:val="00340437"/>
    <w:rsid w:val="003E5282"/>
    <w:rsid w:val="005F5E68"/>
    <w:rsid w:val="006D42D1"/>
    <w:rsid w:val="00775A1C"/>
    <w:rsid w:val="00836022"/>
    <w:rsid w:val="00870867"/>
    <w:rsid w:val="00A41779"/>
    <w:rsid w:val="00AE67E4"/>
    <w:rsid w:val="00F854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E16EDCB"/>
  <w15:docId w15:val="{003E126F-94A1-9A4B-8993-8CB0AE12F2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color w:val="2B2B2B"/>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A51C30"/>
      <w:u w:val="single" w:color="A51C30"/>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1159757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github.com/PhilipChicco/cosmo_plus"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4068</Words>
  <Characters>23190</Characters>
  <Application>Microsoft Office Word</Application>
  <DocSecurity>0</DocSecurity>
  <Lines>193</Lines>
  <Paragraphs>54</Paragraphs>
  <ScaleCrop>false</ScaleCrop>
  <Company/>
  <LinksUpToDate>false</LinksUpToDate>
  <CharactersWithSpaces>27204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Kempner Accelerator Award — COSMO+ Pan-Cancer (Initial Draft)</dc:title>
  <dc:creator>Philip Chikontwe</dc:creator>
  <dc:description>Initial draft of COSMO+ pan-cancer Kempner Accelerator Award proposal</dc:description>
  <cp:lastModifiedBy>Chikontwe, Philip</cp:lastModifiedBy>
  <cp:revision>3</cp:revision>
  <dcterms:created xsi:type="dcterms:W3CDTF">2026-05-14T20:08:00Z</dcterms:created>
  <dcterms:modified xsi:type="dcterms:W3CDTF">2026-05-14T20:08:00Z</dcterms:modified>
</cp:coreProperties>
</file>