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 相关工作</w:t>
      </w:r>
    </w:p>
    <w:p>
      <w:pPr>
        <w:spacing w:line="360" w:lineRule="auto" w:after="60"/>
        <w:ind w:firstLine="420"/>
      </w:pPr>
      <w:r>
        <w:rPr>
          <w:rFonts w:ascii="Times New Roman" w:hAnsi="Times New Roman" w:eastAsia="宋体"/>
          <w:sz w:val="21"/>
        </w:rPr>
        <w:t>本章围绕羽毛球视频智能分析所涉及的关键技术展开讨论。与按照单篇文献逐一罗列不同，本文参考可视分析和计算机视觉论文中常用的主题化归纳方式，将相关研究划分为体育小目标轨迹检测、人体姿态估计与多目标跟踪、体育视频理解与可视分析三个方向。这样的组织方式有助于说明本文系统所依赖的技术基础，也便于进一步明确现有研究与本文工作的差异：已有方法已经分别在球轨迹检测、球员定位、目标跟踪和视频理解等方面取得进展，但面向本地课程项目的完整工程链路仍需要将这些模块进行有效整合，并对结果可信度进行显式表达。</w:t>
      </w:r>
    </w:p>
    <w:p>
      <w:pPr>
        <w:pStyle w:val="Heading2"/>
      </w:pPr>
      <w:r>
        <w:t>2.1 体育小目标轨迹检测</w:t>
      </w:r>
    </w:p>
    <w:p>
      <w:pPr>
        <w:spacing w:line="360" w:lineRule="auto" w:after="60"/>
        <w:ind w:firstLine="420"/>
      </w:pPr>
      <w:r>
        <w:rPr>
          <w:rFonts w:ascii="Times New Roman" w:hAnsi="Times New Roman" w:eastAsia="宋体"/>
          <w:sz w:val="21"/>
        </w:rPr>
        <w:t>体育视频中的小目标轨迹检测一直是细粒度运动分析中的重要问题。与普通目标检测任务相比，羽毛球、网球等目标在视频帧中所占比例较小，运动速度较快，外观特征不稳定，单帧图像中可用于识别的纹理信息十分有限。因此，许多研究并不只依赖静态外观特征，而是利用连续帧中的时间线索和运动模式来估计目标位置。TrackNet 系列方法正是这一思路的典型代表，其通过连续帧输入和热力图输出描述高速小球在图像中的位置分布，使模型能够结合短时间内的运动信息完成轨迹检测[2-3]。这类方法说明，对于羽毛球这类高速小目标，时间上下文往往比单帧检测框更加关键。</w:t>
      </w:r>
    </w:p>
    <w:p>
      <w:pPr>
        <w:spacing w:line="360" w:lineRule="auto" w:after="60"/>
        <w:ind w:firstLine="420"/>
      </w:pPr>
      <w:r>
        <w:rPr>
          <w:rFonts w:ascii="Times New Roman" w:hAnsi="Times New Roman" w:eastAsia="宋体"/>
          <w:sz w:val="21"/>
        </w:rPr>
        <w:t>在羽毛球场景中，MonoTrack 进一步将单目视频中的球场结构、球员姿态和羽毛球轨迹联系起来，尝试从普通比赛视频中恢复羽毛球运动过程[1]。该类工作表明，羽毛球轨迹并不是孤立存在的视觉目标，而与球场几何、球员位置和回合过程密切相关。TrackNetV3 通过轨迹修正与数据增强提升羽毛球跟踪效果，TrackNetV4 则进一步强调运动注意力图对于快速体育目标跟踪的价值[2-3]。这些研究共同说明，羽毛球轨迹检测需要同时考虑检测响应、时间连续性和运动合理性。</w:t>
      </w:r>
    </w:p>
    <w:p>
      <w:pPr>
        <w:spacing w:line="360" w:lineRule="auto" w:after="60"/>
        <w:ind w:firstLine="420"/>
      </w:pPr>
      <w:r>
        <w:rPr>
          <w:rFonts w:ascii="Times New Roman" w:hAnsi="Times New Roman" w:eastAsia="宋体"/>
          <w:sz w:val="21"/>
        </w:rPr>
        <w:t>然而，已有小目标轨迹检测方法在真实工程应用中仍面临结果稳定性问题。模型输出的坐标可能受到遮挡、背景固定物、场地线和画面压缩质量影响，直接用于可视化时容易产生跳点、伪轨迹或短时断裂。本文并不重新训练 TrackNet 模型，也不将小目标检测本身作为新的算法贡献，而是在已有检测输出之后加入轨迹后处理和质量门控机制。通过 ROI 过滤、静态锁定剔除、跳点拒绝、Kalman 平滑和短缺口插值，本文将检测结果转化为更适合系统展示和实验分析的轨迹数据。</w:t>
      </w:r>
    </w:p>
    <w:p>
      <w:pPr>
        <w:pStyle w:val="Heading2"/>
      </w:pPr>
      <w:r>
        <w:t>2.2 人体姿态估计与多目标跟踪</w:t>
      </w:r>
    </w:p>
    <w:p>
      <w:pPr>
        <w:spacing w:line="360" w:lineRule="auto" w:after="60"/>
        <w:ind w:firstLine="420"/>
      </w:pPr>
      <w:r>
        <w:rPr>
          <w:rFonts w:ascii="Times New Roman" w:hAnsi="Times New Roman" w:eastAsia="宋体"/>
          <w:sz w:val="21"/>
        </w:rPr>
        <w:t>除羽毛球轨迹外，球员运动信息也是比赛视频分析的重要组成部分。人体姿态估计方法能够从视频帧中获得人体关键点，为球员脚点估计、移动速度计算和站位分析提供基础。YOLO-Pose 将 YOLO 式检测框架扩展到多人姿态估计任务，在实时性和关键点预测之间取得了较好的平衡[17]。ViTPose 通过视觉 Transformer 结构展示了大规模视觉模型在人体关键点定位中的能力[18]，RTMPose 则进一步强调多人姿态估计在实时应用中的部署效率[19]。这些研究为从比赛视频中获得球员身体位置和运动姿态提供了方法基础。</w:t>
      </w:r>
    </w:p>
    <w:p>
      <w:pPr>
        <w:spacing w:line="360" w:lineRule="auto" w:after="60"/>
        <w:ind w:firstLine="420"/>
      </w:pPr>
      <w:r>
        <w:rPr>
          <w:rFonts w:ascii="Times New Roman" w:hAnsi="Times New Roman" w:eastAsia="宋体"/>
          <w:sz w:val="21"/>
        </w:rPr>
        <w:t>在连续视频中，仅有单帧姿态估计仍不足以描述球员运动过程。多目标跟踪方法需要在相邻帧之间保持目标身份一致，从而形成连续轨迹。ByteTrack 通过关联高置信度和低置信度检测框，减少遮挡和检测置信度下降造成的轨迹中断[9]；OC-SORT 从观测中心的角度改进 SORT 框架，提高非线性运动和遮挡场景下的鲁棒性[10]；BoT-SORT 则结合运动信息和外观信息改善多行人跟踪中的身份保持问题[11]。这些方法说明，身份连续性对于运动统计具有基础作用。若同一名球员在视频中频繁发生身份切换，后续速度、距离和站位分析都会受到影响。</w:t>
      </w:r>
    </w:p>
    <w:p>
      <w:pPr>
        <w:spacing w:line="360" w:lineRule="auto" w:after="60"/>
        <w:ind w:firstLine="420"/>
      </w:pPr>
      <w:r>
        <w:rPr>
          <w:rFonts w:ascii="Times New Roman" w:hAnsi="Times New Roman" w:eastAsia="宋体"/>
          <w:sz w:val="21"/>
        </w:rPr>
        <w:t>本文的球员分析模块使用 YOLOv8-pose 获取球员关键点，并结合 ByteTrack 保持 near/far 两名球员的身份连续性。本文并不把姿态估计模型本身作为创新对象，而是将其作为运动统计流程中的基础感知模块。系统通过球场单应性矩阵将像素坐标映射到标准球场平面，进而计算球员速度、累计跑动距离和最高速度等指标。这种处理方式使姿态估计和多目标跟踪不再停留在检测结果展示层面，而是进一步转化为可解释的运动分析数据。</w:t>
      </w:r>
    </w:p>
    <w:p>
      <w:pPr>
        <w:pStyle w:val="Heading2"/>
      </w:pPr>
      <w:r>
        <w:t>2.3 体育视频理解与可视分析</w:t>
      </w:r>
    </w:p>
    <w:p>
      <w:pPr>
        <w:spacing w:line="360" w:lineRule="auto" w:after="60"/>
        <w:ind w:firstLine="420"/>
      </w:pPr>
      <w:r>
        <w:rPr>
          <w:rFonts w:ascii="Times New Roman" w:hAnsi="Times New Roman" w:eastAsia="宋体"/>
          <w:sz w:val="21"/>
        </w:rPr>
        <w:t>近年来，体育视频研究逐渐从单一目标检测扩展到更高层次的行为理解、战术分析和可视化探索。SportsMOT 针对多种体育场景构建多目标跟踪数据集，说明体育视频中的目标尺度、运动模式、遮挡关系和相机视角都与常规行人跟踪存在差异[8]。在羽毛球方向，ShuttleSet 等数据集开始关注击球级事件、球员位置、回合过程和战术模式，使羽毛球分析从简单轨迹记录逐渐走向语义理解和策略建模[4-5]。这些研究表明，羽毛球视频分析的最终目标并不局限于“检测到球”，还包括理解球员行为、回合结构和比赛态势。</w:t>
      </w:r>
    </w:p>
    <w:p>
      <w:pPr>
        <w:spacing w:line="360" w:lineRule="auto" w:after="60"/>
        <w:ind w:firstLine="420"/>
      </w:pPr>
      <w:r>
        <w:rPr>
          <w:rFonts w:ascii="Times New Roman" w:hAnsi="Times New Roman" w:eastAsia="宋体"/>
          <w:sz w:val="21"/>
        </w:rPr>
        <w:t>视频理解模型也为体育场景分析提供了更广泛的技术背景。VideoMAE 通过掩码自编码方式学习视频时空表示，说明大规模自监督预训练能够提升视频理解能力[23]；MotionBERT 从人体运动表示学习角度建模人体动态变化，为骨架序列和运动行为分析提供了参考[20]。这类方法虽然并不直接解决本文系统中的工程复现问题，但它们说明，体育视频分析需要同时关注空间结构和时间演化，单个静态检测结果难以支撑完整理解。</w:t>
      </w:r>
    </w:p>
    <w:p>
      <w:pPr>
        <w:spacing w:line="360" w:lineRule="auto" w:after="60"/>
        <w:ind w:firstLine="420"/>
      </w:pPr>
      <w:r>
        <w:rPr>
          <w:rFonts w:ascii="Times New Roman" w:hAnsi="Times New Roman" w:eastAsia="宋体"/>
          <w:sz w:val="21"/>
        </w:rPr>
        <w:t>与上述研究相比，本文当前阶段暂不开展击球类别识别、战术预测或端到端视频理解建模，而是优先完成可运行、可检查、可解释的数据提取与展示系统。该选择符合本地课程项目的实现条件：在有限数据和现有模型权重基础上，先保证球轨迹、球员运动统计和前端可视化流程稳定运行，再为后续击球事件识别和战术分析提供数据基础。换言之，本文更关注从算法模块到可视分析系统的工程连接，而非单独追求某一项视频理解指标。</w:t>
      </w:r>
    </w:p>
    <w:p>
      <w:pPr>
        <w:pStyle w:val="Heading2"/>
      </w:pPr>
      <w:r>
        <w:t>2.4 小结</w:t>
      </w:r>
    </w:p>
    <w:p>
      <w:pPr>
        <w:spacing w:line="360" w:lineRule="auto" w:after="60"/>
        <w:ind w:firstLine="420"/>
      </w:pPr>
      <w:r>
        <w:rPr>
          <w:rFonts w:ascii="Times New Roman" w:hAnsi="Times New Roman" w:eastAsia="宋体"/>
          <w:sz w:val="21"/>
        </w:rPr>
        <w:t>综上，现有研究已经分别在体育小目标轨迹检测、人体姿态估计、多目标跟踪和体育视频理解方面形成了较为丰富的技术基础。TrackNet 系列和 MonoTrack 等工作说明连续帧信息、球场结构和运动约束对羽毛球轨迹检测具有重要意义；YOLO-Pose、ViTPose、RTMPose、ByteTrack、OC-SORT 等方法为球员位置估计和身份连续跟踪提供了可用工具；SportsMOT、ShuttleSet、VideoMAE 和 MotionBERT 等研究则表明体育视频分析正在向更高层次的行为理解和战术建模发展。</w:t>
      </w:r>
    </w:p>
    <w:p>
      <w:pPr>
        <w:spacing w:line="360" w:lineRule="auto" w:after="60"/>
        <w:ind w:firstLine="420"/>
      </w:pPr>
      <w:r>
        <w:rPr>
          <w:rFonts w:ascii="Times New Roman" w:hAnsi="Times New Roman" w:eastAsia="宋体"/>
          <w:sz w:val="21"/>
        </w:rPr>
        <w:t>然而，面向普通羽毛球比赛视频的本地工程应用仍存在三个不足。首先，单一检测模型并不能保证轨迹展示可靠，原始坐标需要经过空间和时间层面的质量控制。其次，许多研究更关注算法指标或数据集构建，较少讨论从输入视频到结果展示的完整复现流程。最后，羽毛球分析系统需要同时处理球、球员、球场映射和前端展示，模块之间的数据衔接与结果可信度表达同样重要。因此，本文在已有研究基础上，将球检测、姿态估计、目标跟踪、质量门控和可视化展示整合到统一管线中，并通过本地实验数据验证系统的稳定性。</w:t>
      </w:r>
    </w:p>
    <w:p>
      <w:pPr>
        <w:jc w:val="center"/>
      </w:pPr>
      <w:r>
        <w:rPr>
          <w:rFonts w:ascii="Times New Roman" w:hAnsi="Times New Roman" w:eastAsia="黑体"/>
          <w:b/>
          <w:sz w:val="21"/>
        </w:rPr>
        <w:t>表1 相关方法与本文系统关注点对比</w:t>
      </w:r>
    </w:p>
    <w:tbl>
      <w:tblPr>
        <w:tblW w:type="auto" w:w="0"/>
        <w:jc w:val="center"/>
        <w:tblLook w:firstColumn="1" w:firstRow="1" w:lastColumn="0" w:lastRow="0" w:noHBand="0" w:noVBand="1" w:val="04A0"/>
      </w:tblPr>
      <w:tblGrid>
        <w:gridCol w:w="2323"/>
        <w:gridCol w:w="2323"/>
        <w:gridCol w:w="2323"/>
        <w:gridCol w:w="2323"/>
      </w:tblGrid>
      <w:tr>
        <w:tc>
          <w:tcPr>
            <w:tcW w:type="dxa" w:w="2323"/>
            <w:vAlign w:val="center"/>
            <w:tcBorders>
              <w:top w:val="single" w:sz="12" w:space="0" w:color="000000"/>
              <w:bottom w:val="single" w:sz="8" w:space="0" w:color="000000"/>
              <w:left w:val="nil"/>
              <w:right w:val="nil"/>
            </w:tcBorders>
          </w:tcPr>
          <w:p>
            <w:pPr>
              <w:jc w:val="center"/>
            </w:pPr>
            <w:r/>
            <w:r>
              <w:rPr>
                <w:rFonts w:ascii="Times New Roman" w:hAnsi="Times New Roman" w:eastAsia="宋体"/>
                <w:b/>
                <w:sz w:val="18"/>
              </w:rPr>
              <w:t>方法类别</w:t>
            </w:r>
          </w:p>
        </w:tc>
        <w:tc>
          <w:tcPr>
            <w:tcW w:type="dxa" w:w="2323"/>
            <w:vAlign w:val="center"/>
            <w:tcBorders>
              <w:top w:val="single" w:sz="12" w:space="0" w:color="000000"/>
              <w:bottom w:val="single" w:sz="8" w:space="0" w:color="000000"/>
              <w:left w:val="nil"/>
              <w:right w:val="nil"/>
            </w:tcBorders>
          </w:tcPr>
          <w:p>
            <w:pPr>
              <w:jc w:val="center"/>
            </w:pPr>
            <w:r/>
            <w:r>
              <w:rPr>
                <w:rFonts w:ascii="Times New Roman" w:hAnsi="Times New Roman" w:eastAsia="宋体"/>
                <w:b/>
                <w:sz w:val="18"/>
              </w:rPr>
              <w:t>代表文献</w:t>
            </w:r>
          </w:p>
        </w:tc>
        <w:tc>
          <w:tcPr>
            <w:tcW w:type="dxa" w:w="2323"/>
            <w:vAlign w:val="center"/>
            <w:tcBorders>
              <w:top w:val="single" w:sz="12" w:space="0" w:color="000000"/>
              <w:bottom w:val="single" w:sz="8" w:space="0" w:color="000000"/>
              <w:left w:val="nil"/>
              <w:right w:val="nil"/>
            </w:tcBorders>
          </w:tcPr>
          <w:p>
            <w:pPr>
              <w:jc w:val="center"/>
            </w:pPr>
            <w:r/>
            <w:r>
              <w:rPr>
                <w:rFonts w:ascii="Times New Roman" w:hAnsi="Times New Roman" w:eastAsia="宋体"/>
                <w:b/>
                <w:sz w:val="18"/>
              </w:rPr>
              <w:t>主要目标</w:t>
            </w:r>
          </w:p>
        </w:tc>
        <w:tc>
          <w:tcPr>
            <w:tcW w:type="dxa" w:w="2323"/>
            <w:vAlign w:val="center"/>
            <w:tcBorders>
              <w:top w:val="single" w:sz="12" w:space="0" w:color="000000"/>
              <w:bottom w:val="single" w:sz="8" w:space="0" w:color="000000"/>
              <w:left w:val="nil"/>
              <w:right w:val="nil"/>
            </w:tcBorders>
          </w:tcPr>
          <w:p>
            <w:pPr>
              <w:jc w:val="center"/>
            </w:pPr>
            <w:r/>
            <w:r>
              <w:rPr>
                <w:rFonts w:ascii="Times New Roman" w:hAnsi="Times New Roman" w:eastAsia="宋体"/>
                <w:b/>
                <w:sz w:val="18"/>
              </w:rPr>
              <w:t>与本文关系</w:t>
            </w:r>
          </w:p>
        </w:tc>
      </w:tr>
      <w:tr>
        <w:tc>
          <w:tcPr>
            <w:tcW w:type="dxa" w:w="2323"/>
            <w:vAlign w:val="center"/>
            <w:tcBorders>
              <w:top w:val="nil"/>
              <w:bottom w:val="nil"/>
              <w:left w:val="nil"/>
              <w:right w:val="nil"/>
            </w:tcBorders>
          </w:tcPr>
          <w:p>
            <w:pPr>
              <w:jc w:val="center"/>
            </w:pPr>
            <w:r/>
            <w:r>
              <w:rPr>
                <w:rFonts w:ascii="Times New Roman" w:hAnsi="Times New Roman" w:eastAsia="宋体"/>
                <w:b w:val="0"/>
                <w:sz w:val="18"/>
              </w:rPr>
              <w:t>羽毛球/小球轨迹检测</w:t>
            </w:r>
          </w:p>
        </w:tc>
        <w:tc>
          <w:tcPr>
            <w:tcW w:type="dxa" w:w="2323"/>
            <w:vAlign w:val="center"/>
            <w:tcBorders>
              <w:top w:val="nil"/>
              <w:bottom w:val="nil"/>
              <w:left w:val="nil"/>
              <w:right w:val="nil"/>
            </w:tcBorders>
          </w:tcPr>
          <w:p>
            <w:pPr>
              <w:jc w:val="center"/>
            </w:pPr>
            <w:r/>
            <w:r>
              <w:rPr>
                <w:rFonts w:ascii="Times New Roman" w:hAnsi="Times New Roman" w:eastAsia="宋体"/>
                <w:b w:val="0"/>
                <w:sz w:val="18"/>
              </w:rPr>
              <w:t>MonoTrack、TrackNetV3、TrackNetV4</w:t>
            </w:r>
          </w:p>
        </w:tc>
        <w:tc>
          <w:tcPr>
            <w:tcW w:type="dxa" w:w="2323"/>
            <w:vAlign w:val="center"/>
            <w:tcBorders>
              <w:top w:val="nil"/>
              <w:bottom w:val="nil"/>
              <w:left w:val="nil"/>
              <w:right w:val="nil"/>
            </w:tcBorders>
          </w:tcPr>
          <w:p>
            <w:pPr>
              <w:jc w:val="center"/>
            </w:pPr>
            <w:r/>
            <w:r>
              <w:rPr>
                <w:rFonts w:ascii="Times New Roman" w:hAnsi="Times New Roman" w:eastAsia="宋体"/>
                <w:b w:val="0"/>
                <w:sz w:val="18"/>
              </w:rPr>
              <w:t>球轨迹检测或重建</w:t>
            </w:r>
          </w:p>
        </w:tc>
        <w:tc>
          <w:tcPr>
            <w:tcW w:type="dxa" w:w="2323"/>
            <w:vAlign w:val="center"/>
            <w:tcBorders>
              <w:top w:val="nil"/>
              <w:bottom w:val="nil"/>
              <w:left w:val="nil"/>
              <w:right w:val="nil"/>
            </w:tcBorders>
          </w:tcPr>
          <w:p>
            <w:pPr>
              <w:jc w:val="center"/>
            </w:pPr>
            <w:r/>
            <w:r>
              <w:rPr>
                <w:rFonts w:ascii="Times New Roman" w:hAnsi="Times New Roman" w:eastAsia="宋体"/>
                <w:b w:val="0"/>
                <w:sz w:val="18"/>
              </w:rPr>
              <w:t>提供球检测技术背景</w:t>
            </w:r>
          </w:p>
        </w:tc>
      </w:tr>
      <w:tr>
        <w:tc>
          <w:tcPr>
            <w:tcW w:type="dxa" w:w="2323"/>
            <w:vAlign w:val="center"/>
            <w:tcBorders>
              <w:top w:val="nil"/>
              <w:bottom w:val="nil"/>
              <w:left w:val="nil"/>
              <w:right w:val="nil"/>
            </w:tcBorders>
          </w:tcPr>
          <w:p>
            <w:pPr>
              <w:jc w:val="center"/>
            </w:pPr>
            <w:r/>
            <w:r>
              <w:rPr>
                <w:rFonts w:ascii="Times New Roman" w:hAnsi="Times New Roman" w:eastAsia="宋体"/>
                <w:b w:val="0"/>
                <w:sz w:val="18"/>
              </w:rPr>
              <w:t>姿态估计</w:t>
            </w:r>
          </w:p>
        </w:tc>
        <w:tc>
          <w:tcPr>
            <w:tcW w:type="dxa" w:w="2323"/>
            <w:vAlign w:val="center"/>
            <w:tcBorders>
              <w:top w:val="nil"/>
              <w:bottom w:val="nil"/>
              <w:left w:val="nil"/>
              <w:right w:val="nil"/>
            </w:tcBorders>
          </w:tcPr>
          <w:p>
            <w:pPr>
              <w:jc w:val="center"/>
            </w:pPr>
            <w:r/>
            <w:r>
              <w:rPr>
                <w:rFonts w:ascii="Times New Roman" w:hAnsi="Times New Roman" w:eastAsia="宋体"/>
                <w:b w:val="0"/>
                <w:sz w:val="18"/>
              </w:rPr>
              <w:t>YOLO-Pose、ViTPose、RTMPose</w:t>
            </w:r>
          </w:p>
        </w:tc>
        <w:tc>
          <w:tcPr>
            <w:tcW w:type="dxa" w:w="2323"/>
            <w:vAlign w:val="center"/>
            <w:tcBorders>
              <w:top w:val="nil"/>
              <w:bottom w:val="nil"/>
              <w:left w:val="nil"/>
              <w:right w:val="nil"/>
            </w:tcBorders>
          </w:tcPr>
          <w:p>
            <w:pPr>
              <w:jc w:val="center"/>
            </w:pPr>
            <w:r/>
            <w:r>
              <w:rPr>
                <w:rFonts w:ascii="Times New Roman" w:hAnsi="Times New Roman" w:eastAsia="宋体"/>
                <w:b w:val="0"/>
                <w:sz w:val="18"/>
              </w:rPr>
              <w:t>人体关键点定位</w:t>
            </w:r>
          </w:p>
        </w:tc>
        <w:tc>
          <w:tcPr>
            <w:tcW w:type="dxa" w:w="2323"/>
            <w:vAlign w:val="center"/>
            <w:tcBorders>
              <w:top w:val="nil"/>
              <w:bottom w:val="nil"/>
              <w:left w:val="nil"/>
              <w:right w:val="nil"/>
            </w:tcBorders>
          </w:tcPr>
          <w:p>
            <w:pPr>
              <w:jc w:val="center"/>
            </w:pPr>
            <w:r/>
            <w:r>
              <w:rPr>
                <w:rFonts w:ascii="Times New Roman" w:hAnsi="Times New Roman" w:eastAsia="宋体"/>
                <w:b w:val="0"/>
                <w:sz w:val="18"/>
              </w:rPr>
              <w:t>支撑球员位置估计</w:t>
            </w:r>
          </w:p>
        </w:tc>
      </w:tr>
      <w:tr>
        <w:tc>
          <w:tcPr>
            <w:tcW w:type="dxa" w:w="2323"/>
            <w:vAlign w:val="center"/>
            <w:tcBorders>
              <w:top w:val="nil"/>
              <w:bottom w:val="nil"/>
              <w:left w:val="nil"/>
              <w:right w:val="nil"/>
            </w:tcBorders>
          </w:tcPr>
          <w:p>
            <w:pPr>
              <w:jc w:val="center"/>
            </w:pPr>
            <w:r/>
            <w:r>
              <w:rPr>
                <w:rFonts w:ascii="Times New Roman" w:hAnsi="Times New Roman" w:eastAsia="宋体"/>
                <w:b w:val="0"/>
                <w:sz w:val="18"/>
              </w:rPr>
              <w:t>多目标跟踪</w:t>
            </w:r>
          </w:p>
        </w:tc>
        <w:tc>
          <w:tcPr>
            <w:tcW w:type="dxa" w:w="2323"/>
            <w:vAlign w:val="center"/>
            <w:tcBorders>
              <w:top w:val="nil"/>
              <w:bottom w:val="nil"/>
              <w:left w:val="nil"/>
              <w:right w:val="nil"/>
            </w:tcBorders>
          </w:tcPr>
          <w:p>
            <w:pPr>
              <w:jc w:val="center"/>
            </w:pPr>
            <w:r/>
            <w:r>
              <w:rPr>
                <w:rFonts w:ascii="Times New Roman" w:hAnsi="Times New Roman" w:eastAsia="宋体"/>
                <w:b w:val="0"/>
                <w:sz w:val="18"/>
              </w:rPr>
              <w:t>ByteTrack、OC-SORT、BoT-SORT</w:t>
            </w:r>
          </w:p>
        </w:tc>
        <w:tc>
          <w:tcPr>
            <w:tcW w:type="dxa" w:w="2323"/>
            <w:vAlign w:val="center"/>
            <w:tcBorders>
              <w:top w:val="nil"/>
              <w:bottom w:val="nil"/>
              <w:left w:val="nil"/>
              <w:right w:val="nil"/>
            </w:tcBorders>
          </w:tcPr>
          <w:p>
            <w:pPr>
              <w:jc w:val="center"/>
            </w:pPr>
            <w:r/>
            <w:r>
              <w:rPr>
                <w:rFonts w:ascii="Times New Roman" w:hAnsi="Times New Roman" w:eastAsia="宋体"/>
                <w:b w:val="0"/>
                <w:sz w:val="18"/>
              </w:rPr>
              <w:t>身份保持与轨迹关联</w:t>
            </w:r>
          </w:p>
        </w:tc>
        <w:tc>
          <w:tcPr>
            <w:tcW w:type="dxa" w:w="2323"/>
            <w:vAlign w:val="center"/>
            <w:tcBorders>
              <w:top w:val="nil"/>
              <w:bottom w:val="nil"/>
              <w:left w:val="nil"/>
              <w:right w:val="nil"/>
            </w:tcBorders>
          </w:tcPr>
          <w:p>
            <w:pPr>
              <w:jc w:val="center"/>
            </w:pPr>
            <w:r/>
            <w:r>
              <w:rPr>
                <w:rFonts w:ascii="Times New Roman" w:hAnsi="Times New Roman" w:eastAsia="宋体"/>
                <w:b w:val="0"/>
                <w:sz w:val="18"/>
              </w:rPr>
              <w:t>支撑 near/far 球员连续统计</w:t>
            </w:r>
          </w:p>
        </w:tc>
      </w:tr>
      <w:tr>
        <w:tc>
          <w:tcPr>
            <w:tcW w:type="dxa" w:w="2323"/>
            <w:vAlign w:val="center"/>
            <w:tcBorders>
              <w:top w:val="nil"/>
              <w:bottom w:val="single" w:sz="12" w:space="0" w:color="000000"/>
              <w:left w:val="nil"/>
              <w:right w:val="nil"/>
            </w:tcBorders>
          </w:tcPr>
          <w:p>
            <w:pPr>
              <w:jc w:val="center"/>
            </w:pPr>
            <w:r/>
            <w:r>
              <w:rPr>
                <w:rFonts w:ascii="Times New Roman" w:hAnsi="Times New Roman" w:eastAsia="宋体"/>
                <w:b w:val="0"/>
                <w:sz w:val="18"/>
              </w:rPr>
              <w:t>体育视频理解</w:t>
            </w:r>
          </w:p>
        </w:tc>
        <w:tc>
          <w:tcPr>
            <w:tcW w:type="dxa" w:w="2323"/>
            <w:vAlign w:val="center"/>
            <w:tcBorders>
              <w:top w:val="nil"/>
              <w:bottom w:val="single" w:sz="12" w:space="0" w:color="000000"/>
              <w:left w:val="nil"/>
              <w:right w:val="nil"/>
            </w:tcBorders>
          </w:tcPr>
          <w:p>
            <w:pPr>
              <w:jc w:val="center"/>
            </w:pPr>
            <w:r/>
            <w:r>
              <w:rPr>
                <w:rFonts w:ascii="Times New Roman" w:hAnsi="Times New Roman" w:eastAsia="宋体"/>
                <w:b w:val="0"/>
                <w:sz w:val="18"/>
              </w:rPr>
              <w:t>SportsMOT、ShuttleSet、MotionBERT</w:t>
            </w:r>
          </w:p>
        </w:tc>
        <w:tc>
          <w:tcPr>
            <w:tcW w:type="dxa" w:w="2323"/>
            <w:vAlign w:val="center"/>
            <w:tcBorders>
              <w:top w:val="nil"/>
              <w:bottom w:val="single" w:sz="12" w:space="0" w:color="000000"/>
              <w:left w:val="nil"/>
              <w:right w:val="nil"/>
            </w:tcBorders>
          </w:tcPr>
          <w:p>
            <w:pPr>
              <w:jc w:val="center"/>
            </w:pPr>
            <w:r/>
            <w:r>
              <w:rPr>
                <w:rFonts w:ascii="Times New Roman" w:hAnsi="Times New Roman" w:eastAsia="宋体"/>
                <w:b w:val="0"/>
                <w:sz w:val="18"/>
              </w:rPr>
              <w:t>数据集、动作/战术理解</w:t>
            </w:r>
          </w:p>
        </w:tc>
        <w:tc>
          <w:tcPr>
            <w:tcW w:type="dxa" w:w="2323"/>
            <w:vAlign w:val="center"/>
            <w:tcBorders>
              <w:top w:val="nil"/>
              <w:bottom w:val="single" w:sz="12" w:space="0" w:color="000000"/>
              <w:left w:val="nil"/>
              <w:right w:val="nil"/>
            </w:tcBorders>
          </w:tcPr>
          <w:p>
            <w:pPr>
              <w:jc w:val="center"/>
            </w:pPr>
            <w:r/>
            <w:r>
              <w:rPr>
                <w:rFonts w:ascii="Times New Roman" w:hAnsi="Times New Roman" w:eastAsia="宋体"/>
                <w:b w:val="0"/>
                <w:sz w:val="18"/>
              </w:rPr>
              <w:t>说明后续扩展方向</w:t>
            </w:r>
          </w:p>
        </w:tc>
      </w:tr>
    </w:tbl>
    <w:p/>
    <w:p>
      <w:pPr>
        <w:spacing w:line="360" w:lineRule="auto" w:after="60"/>
        <w:ind w:firstLine="420"/>
      </w:pPr>
      <w:r>
        <w:rPr>
          <w:rFonts w:ascii="Times New Roman" w:hAnsi="Times New Roman" w:eastAsia="宋体"/>
          <w:sz w:val="21"/>
        </w:rPr>
        <w:t>如表1所示，现有研究已经分别在球轨迹检测、姿态估计、多目标跟踪和体育视频理解方面取得进展，但本文更强调这些模块在本地工程流程中的组合、质量控制和可视化交付。本文后续章节将在该技术背景下，进一步说明系统任务划分、方法实现和实验结果。</w:t>
      </w:r>
    </w:p>
    <w:sectPr w:rsidR="00FC693F" w:rsidRPr="0006063C" w:rsidSect="00034616">
      <w:pgSz w:w="12240" w:h="15840"/>
      <w:pgMar w:top="1417" w:right="1474" w:bottom="130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