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Site API（v1.0.0）</w:t>
      </w:r>
    </w:p>
    <w:p>
      <w:r>
        <w:t>公司站点后端接口</w:t>
      </w:r>
    </w:p>
    <w:p>
      <w:pPr>
        <w:pStyle w:val="Heading1"/>
      </w:pPr>
      <w:r>
        <w:t>1. 接口总览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摘要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/api/news</w:t>
            </w:r>
          </w:p>
        </w:tc>
        <w:tc>
          <w:tcPr>
            <w:tcW w:type="dxa" w:w="2880"/>
          </w:tcPr>
          <w:p>
            <w:r>
              <w:t>新闻列表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/api/news</w:t>
            </w:r>
          </w:p>
        </w:tc>
        <w:tc>
          <w:tcPr>
            <w:tcW w:type="dxa" w:w="2880"/>
          </w:tcPr>
          <w:p>
            <w:r>
              <w:t>新建新闻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/api/news/slug/{slug}</w:t>
            </w:r>
          </w:p>
        </w:tc>
        <w:tc>
          <w:tcPr>
            <w:tcW w:type="dxa" w:w="2880"/>
          </w:tcPr>
          <w:p>
            <w:r>
              <w:t>按 slug 查详情</w:t>
            </w:r>
          </w:p>
        </w:tc>
      </w:tr>
    </w:tbl>
    <w:p>
      <w:pPr>
        <w:pStyle w:val="Heading1"/>
      </w:pPr>
      <w:r>
        <w:t>2. news</w:t>
      </w:r>
    </w:p>
    <w:p>
      <w:pPr>
        <w:pStyle w:val="Heading2"/>
      </w:pPr>
      <w:r>
        <w:t>GET /api/news</w:t>
      </w:r>
    </w:p>
    <w:p>
      <w:r>
        <w:t>新闻列表</w:t>
      </w:r>
    </w:p>
    <w:p>
      <w:pPr>
        <w:pStyle w:val="Heading3"/>
      </w:pPr>
      <w:r>
        <w:t>参数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limit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offset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响应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状态码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成功</w:t>
            </w:r>
          </w:p>
        </w:tc>
      </w:tr>
    </w:tbl>
    <w:p>
      <w:pPr>
        <w:pStyle w:val="Heading2"/>
      </w:pPr>
      <w:r>
        <w:t>POST /api/news</w:t>
      </w:r>
    </w:p>
    <w:p>
      <w:r>
        <w:t>新建新闻</w:t>
      </w:r>
    </w:p>
    <w:p>
      <w:pPr>
        <w:pStyle w:val="Heading3"/>
      </w:pPr>
      <w:r>
        <w:t>请求体</w:t>
      </w:r>
    </w:p>
    <w:p>
      <w:r>
        <w:t>Content-Type: application/json</w:t>
      </w:r>
    </w:p>
    <w:p>
      <w:r>
        <w:t>Schema: NewsCreate</w:t>
      </w:r>
    </w:p>
    <w:p>
      <w:pPr>
        <w:pStyle w:val="Heading3"/>
      </w:pPr>
      <w:r>
        <w:t>响应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状态码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成功</w:t>
            </w:r>
          </w:p>
        </w:tc>
      </w:tr>
    </w:tbl>
    <w:p>
      <w:pPr>
        <w:pStyle w:val="Heading2"/>
      </w:pPr>
      <w:r>
        <w:t>GET /api/news/slug/{slug}</w:t>
      </w:r>
    </w:p>
    <w:p>
      <w:r>
        <w:t>按 slug 查详情</w:t>
      </w:r>
    </w:p>
    <w:p>
      <w:pPr>
        <w:pStyle w:val="Heading3"/>
      </w:pPr>
      <w:r>
        <w:t>参数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slug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响应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状态码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成功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新闻不存在</w:t>
            </w:r>
          </w:p>
        </w:tc>
      </w:tr>
    </w:tbl>
    <w:p>
      <w:pPr>
        <w:pStyle w:val="Heading1"/>
      </w:pPr>
      <w:r>
        <w:t>99. 通用错误码</w:t>
      </w:r>
    </w:p>
    <w:p>
      <w:r>
        <w:t>所有接口遵循统一的 {code, msg, data} 响应格式，错误码段约定如下：</w:t>
      </w:r>
    </w:p>
    <w:p>
      <w:pPr>
        <w:pStyle w:val="ListBullet"/>
      </w:pPr>
      <w:r>
        <w:t>0：成功</w:t>
      </w:r>
    </w:p>
    <w:p>
      <w:pPr>
        <w:pStyle w:val="ListBullet"/>
      </w:pPr>
      <w:r>
        <w:t>1000-1999：通用错误（参数、鉴权、限流）</w:t>
      </w:r>
    </w:p>
    <w:p>
      <w:pPr>
        <w:pStyle w:val="ListBullet"/>
      </w:pPr>
      <w:r>
        <w:t>2000-2999：业务错误</w:t>
      </w:r>
    </w:p>
    <w:p>
      <w:r>
        <w:t>详细错误码字典见 dev-backend-lint/references/error-codes.md。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