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FE8"/>
          <w:sz w:val="40"/>
        </w:rPr>
        <w:t>WatYouFace</w:t>
      </w:r>
    </w:p>
    <w:p>
      <w:pPr>
        <w:jc w:val="center"/>
      </w:pPr>
      <w:r>
        <w:rPr>
          <w:b/>
          <w:color w:val="101828"/>
          <w:sz w:val="68"/>
        </w:rPr>
        <w:t>DOSSIER PROFESSIONNEL</w:t>
      </w:r>
    </w:p>
    <w:p>
      <w:pPr>
        <w:jc w:val="center"/>
      </w:pPr>
      <w:r>
        <w:rPr>
          <w:color w:val="1E4FE8"/>
          <w:sz w:val="32"/>
        </w:rPr>
        <w:t>Exemples de pratique professionnelle — CDA RNCP 6</w:t>
      </w:r>
    </w:p>
    <w:p>
      <w:pPr>
        <w:jc w:val="center"/>
      </w:pPr>
      <w:r>
        <w:rPr>
          <w:color w:val="667085"/>
          <w:sz w:val="22"/>
        </w:rPr>
        <w:t>Titre professionnel Concepteur développeur d’applications — RNCP niveau 6</w:t>
        <w:br/>
        <w:t>TP-01281 — Millésime 04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0802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080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1243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pla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12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4"/>
        </w:rPr>
        <w:t>Application web sociale sécurisée — Feed • Messagerie temps réel • Marketplace</w:t>
      </w:r>
    </w:p>
    <w:p>
      <w:pPr>
        <w:jc w:val="center"/>
      </w:pPr>
      <w:r>
        <w:rPr>
          <w:color w:val="667085"/>
          <w:sz w:val="20"/>
        </w:rPr>
        <w:t>React • Vite • Java • Spring Boot • Spring Security • PostgreSQL • JPA • WebSocket / STOMP</w:t>
      </w:r>
    </w:p>
    <w:p/>
    <w:p>
      <w:pPr>
        <w:jc w:val="center"/>
      </w:pPr>
      <w:r>
        <w:rPr>
          <w:b/>
          <w:color w:val="101828"/>
          <w:sz w:val="32"/>
        </w:rPr>
        <w:t>Kouakou Brice Kanga</w:t>
      </w:r>
    </w:p>
    <w:p>
      <w:pPr>
        <w:jc w:val="center"/>
      </w:pPr>
      <w:r>
        <w:rPr>
          <w:sz w:val="22"/>
        </w:rPr>
        <w:t>Holberton School Paris — Spécialisation Cybersécurité</w:t>
        <w:br/>
        <w:t>Session 2026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t>1. Repère : les trois activités du titre CDA</w:t>
      </w:r>
    </w:p>
    <w:p>
      <w:r>
        <w:t>2. Activité 1 — Développer une application sécurisée</w:t>
      </w:r>
    </w:p>
    <w:p>
      <w:r>
        <w:t>3. Activité 2 — Concevoir et développer une application sécurisée organisée en couches</w:t>
      </w:r>
    </w:p>
    <w:p>
      <w:r>
        <w:t>4. Activité 3 — Préparer le déploiement d’une application sécurisée</w:t>
      </w:r>
    </w:p>
    <w:p>
      <w:r>
        <w:t>5. Synthèse des compétences illustrées</w:t>
      </w:r>
    </w:p>
    <w:p>
      <w:r>
        <w:t>6. Journal des apprentissages</w:t>
      </w:r>
    </w:p>
    <w:p>
      <w:r>
        <w:br w:type="page"/>
      </w:r>
    </w:p>
    <w:p>
      <w:pPr>
        <w:pStyle w:val="Heading1"/>
      </w:pPr>
      <w:r>
        <w:t>1. Repère : les trois activités du titre CDA</w:t>
      </w:r>
    </w:p>
    <w:p>
      <w:pPr>
        <w:pStyle w:val="ListBullet"/>
      </w:pPr>
      <w:r>
        <w:t>Développer une application sécurisée.</w:t>
      </w:r>
    </w:p>
    <w:p>
      <w:pPr>
        <w:pStyle w:val="ListBullet"/>
      </w:pPr>
      <w:r>
        <w:t>Concevoir et développer une application sécurisée organisée en couches.</w:t>
      </w:r>
    </w:p>
    <w:p>
      <w:pPr>
        <w:pStyle w:val="ListBullet"/>
      </w:pPr>
      <w:r>
        <w:t>Préparer le déploiement d’une application sécurisée.</w:t>
      </w:r>
    </w:p>
    <w:p>
      <w:pPr>
        <w:pStyle w:val="Heading1"/>
      </w:pPr>
      <w:r>
        <w:t>2. Activité 1 — Développer une application sécurisée</w:t>
      </w:r>
    </w:p>
    <w:p>
      <w:pPr>
        <w:pStyle w:val="Heading2"/>
      </w:pPr>
      <w:r>
        <w:t>Exemple 1 — Corriger des contrôles d’accès insuffisants</w:t>
      </w:r>
    </w:p>
    <w:p>
      <w:r>
        <w:t>Situation : l’audit initial a mis en évidence plusieurs contrôles BOLA/IDOR insuffisants sur le contrat, la vidéo, le wallet et certaines conversations.</w:t>
      </w:r>
    </w:p>
    <w:p>
      <w:r>
        <w:t>Actions : récupération de l’identité depuis Spring Security, règles owner/admin, membership Chat, suppression des routes legacy dangereuses et tests de non-régression.</w:t>
      </w:r>
    </w:p>
    <w:p>
      <w:r>
        <w:t>Résultat : refus explicite des non-propriétaires/non-membres, auto-like refusé, crédit wallet réservé à ADMIN et scénarios sécurisés couverts par tests.</w:t>
      </w:r>
    </w:p>
    <w:p>
      <w:pPr>
        <w:pStyle w:val="Heading2"/>
      </w:pPr>
      <w:r>
        <w:t>Exemple 2 — Réduire le risque de brute force et de dépendances vulnérables</w:t>
      </w:r>
    </w:p>
    <w:p>
      <w:r>
        <w:t>Situation : aucun rate limiting n’était présent et npm audit signalait 1 vulnérabilité critique et 2 high en runtime.</w:t>
      </w:r>
    </w:p>
    <w:p>
      <w:r>
        <w:t>Actions : mise à jour compatible des dépendances, ajout d’un rate limiter login en mémoire (5 échecs/IP/60 s), réponse 429 avec Retry-After et tests dédiés.</w:t>
      </w:r>
    </w:p>
    <w:p>
      <w:r>
        <w:t>Résultat : npm audit = 0 vulnérabilité connue ; 6 scénarios de rate limiting validés dans le lot ciblé.</w:t>
      </w:r>
    </w:p>
    <w:p>
      <w:pPr>
        <w:pStyle w:val="Heading1"/>
      </w:pPr>
      <w:r>
        <w:t>3. Activité 2 — Concevoir et développer une application sécurisée organisée en couches</w:t>
      </w:r>
    </w:p>
    <w:p>
      <w:pPr>
        <w:pStyle w:val="Heading2"/>
      </w:pPr>
      <w:r>
        <w:t>Exemple 1 — Concevoir le cycle Marketplace et protéger l’intégrité du paiement</w:t>
      </w:r>
    </w:p>
    <w:p>
      <w:r>
        <w:t>Situation : la Marketplace gère plusieurs états et un paiement de démonstration impliquant acheteur, vendeur, wallet, transaction et annonce.</w:t>
      </w:r>
    </w:p>
    <w:p>
      <w:r>
        <w:t>Actions : logique métier dans la couche service, repositories JPA, transaction Spring, verrouillage, contrainte PostgreSQL anti-doublon, tests de concurrence et rollback.</w:t>
      </w:r>
    </w:p>
    <w:p>
      <w:r>
        <w:t>Résultat : une seule tentative concurrente réussit, les écritures partielles sont annulées en cas d’erreur et PostgreSQL rejette le doublon.</w:t>
      </w:r>
    </w:p>
    <w:p>
      <w:pPr>
        <w:pStyle w:val="Heading2"/>
      </w:pPr>
      <w:r>
        <w:t>Exemple 2 — Formaliser l’architecture et les données</w:t>
      </w:r>
    </w:p>
    <w:p>
      <w:r>
        <w:t>Situation : le projet existait mais les preuves RNCP de conception étaient incomplètes.</w:t>
      </w:r>
    </w:p>
    <w:p>
      <w:r>
        <w:t>Actions : production de wireframes, maquettes, prototype, architecture en couches, ADR, MCD/MLD/MPD, dictionnaire de données, contraintes/indexes et stratégie de migration.</w:t>
      </w:r>
    </w:p>
    <w:p>
      <w:r>
        <w:t>Résultat : la conception est traçable du besoin jusqu’au code et aux tests.</w:t>
      </w:r>
    </w:p>
    <w:p>
      <w:pPr>
        <w:pStyle w:val="Heading1"/>
      </w:pPr>
      <w:r>
        <w:t>4. Activité 3 — Préparer le déploiement d’une application sécurisée</w:t>
      </w:r>
    </w:p>
    <w:p>
      <w:pPr>
        <w:pStyle w:val="Heading2"/>
      </w:pPr>
      <w:r>
        <w:t>Exemple 1 — Construire un socle de tests et de preuves avant automatisation</w:t>
      </w:r>
    </w:p>
    <w:p>
      <w:r>
        <w:t>Situation : au départ, la couverture de tests était faible et plusieurs chemins critiques n’étaient pas démontrés.</w:t>
      </w:r>
    </w:p>
    <w:p>
      <w:r>
        <w:t>Actions : tests backend Spring/JUnit/MockMvc, tests PostgreSQL, frontend Vitest/RTL, lint/build, recette navigateur, preuves anonymisées et documentation.</w:t>
      </w:r>
    </w:p>
    <w:p>
      <w:r>
        <w:t>Résultat actuel : 47 tests backend comptabilisés en Phase 11B (42 exécutés dans la suite générale + 5 PostgreSQL conditionnels), 5/5 PostgreSQL dédiés, 14/14 frontend, lint et build PASS.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>
              <w:rPr>
                <w:b/>
                <w:color w:val="B54708"/>
              </w:rPr>
              <w:t xml:space="preserve">À compléter — </w:t>
            </w:r>
            <w:r>
              <w:t>Les exemples de déploiement, CI/CD et production seront enrichis pendant les Phases 13 et 14.</w:t>
            </w:r>
          </w:p>
        </w:tc>
      </w:tr>
    </w:tbl>
    <w:p/>
    <w:p>
      <w:r>
        <w:br w:type="page"/>
      </w:r>
    </w:p>
    <w:p>
      <w:pPr>
        <w:pStyle w:val="Heading1"/>
      </w:pPr>
      <w:r>
        <w:t>5. Synthèse des compétences illustrées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Compétence</w:t>
            </w:r>
          </w:p>
        </w:tc>
        <w:tc>
          <w:tcPr>
            <w:tcW w:type="dxa" w:w="2556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Objet</w:t>
            </w:r>
          </w:p>
        </w:tc>
        <w:tc>
          <w:tcPr>
            <w:tcW w:type="dxa" w:w="2556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État</w:t>
            </w:r>
          </w:p>
        </w:tc>
        <w:tc>
          <w:tcPr>
            <w:tcW w:type="dxa" w:w="2556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Preuve WatYouFace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Installer et configurer son environnement de travail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Profils Spring, variables, dépendances, tests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Développer des interfaces utilisateur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React, responsive, accessibilité, captures desktop/mobile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Développer des composants métier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Feed, Chat, Marketplace, règles d’autorisation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Contribuer à la gestion d’un projet informatique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 / Git à régulariser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Backlog, planning, risques, Issues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Analyser les besoins et maquetter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35 exigences, 20 stories, wireframes, maquettes, prototype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Définir l’architecture logicielle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Architecture en couches, REST, STOMP, ADR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Concevoir et mettre en place une BDD relationnelle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MCD/MLD/MPD, PostgreSQL, contraintes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Développer les composants d’accès aux données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JPA, repositories, transactions, rollback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Préparer et exécuter les tests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MockMvc, H2, PostgreSQL, frontend, sécurité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Préparer et documenter le déploiement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À compléter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Préparé par externalisation et documentation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C11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Contribuer à la mise en production DevOps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À compléter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CI/CD et déploiement à réaliser</w:t>
            </w:r>
          </w:p>
        </w:tc>
      </w:tr>
    </w:tbl>
    <w:p/>
    <w:p>
      <w:pPr>
        <w:pStyle w:val="Heading1"/>
      </w:pPr>
      <w:r>
        <w:t>6. Journal des apprentissages</w:t>
      </w:r>
    </w:p>
    <w:p>
      <w:pPr>
        <w:pStyle w:val="ListBullet"/>
      </w:pPr>
      <w:r>
        <w:t>Une interface qui masque une action ne constitue jamais une autorisation : le contrôle doit être côté serveur.</w:t>
      </w:r>
    </w:p>
    <w:p>
      <w:pPr>
        <w:pStyle w:val="ListBullet"/>
      </w:pPr>
      <w:r>
        <w:t>Un test H2 ne remplace pas une preuve PostgreSQL pour les contraintes, transactions et comportements de concurrence.</w:t>
      </w:r>
    </w:p>
    <w:p>
      <w:pPr>
        <w:pStyle w:val="ListBullet"/>
      </w:pPr>
      <w:r>
        <w:t>Le rollback garantit qu’une transaction ne laisse pas d’état partiel en cas d’échec.</w:t>
      </w:r>
    </w:p>
    <w:p>
      <w:pPr>
        <w:pStyle w:val="ListBullet"/>
      </w:pPr>
      <w:r>
        <w:t>La sécurité se raisonne en risque, mesure, preuve et risque résiduel ; elle ne se résume pas à « zéro vulnérabilité ».</w:t>
      </w:r>
    </w:p>
    <w:p>
      <w:pPr>
        <w:pStyle w:val="ListBullet"/>
      </w:pPr>
      <w:r>
        <w:t>Une preuve RNCP utile associe une décision, un artefact, un test et un résultat observable.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Kouakou Brice Kanga  •  Version de travail V0.2  •  09/10/2026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67085"/>
        <w:sz w:val="16"/>
      </w:rPr>
      <w:t>WatYouFace  |  RNCP6 CDA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82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E4FE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E74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4FE8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