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맑은 고딕" w:cs="맑은 고딕" w:eastAsia="맑은 고딕" w:hAnsi="맑은 고딕"/>
          <w:b/>
          <w:bCs/>
          <w:color w:val="1E3A5F"/>
          <w:sz w:val="36"/>
          <w:szCs w:val="36"/>
        </w:rPr>
        <w:t xml:space="preserve">16개 매크로 항목 요약</w:t>
      </w:r>
    </w:p>
    <w:p>
      <w:pPr>
        <w:spacing w:after="60" w:before="40" w:line="276"/>
      </w:pPr>
      <w:r>
        <w:rPr>
          <w:rFonts w:ascii="맑은 고딕" w:cs="맑은 고딕" w:eastAsia="맑은 고딕" w:hAnsi="맑은 고딕"/>
          <w:color w:val="6B7280"/>
          <w:sz w:val="18"/>
          <w:szCs w:val="18"/>
        </w:rPr>
        <w:t xml:space="preserve">기준일 2026-10-25  ·  자료: ECOS 수기 입력(100대 통계지표·일일지표), 증권사 리포트 6건(삼성증권, 신한투자증권), 웹 검색</w:t>
      </w:r>
    </w:p>
    <w:p>
      <w:pPr>
        <w:spacing w:after="160" w:before="40" w:line="276"/>
      </w:pPr>
      <w:r>
        <w:rPr>
          <w:rFonts w:ascii="맑은 고딕" w:cs="맑은 고딕" w:eastAsia="맑은 고딕" w:hAnsi="맑은 고딕"/>
          <w:b/>
          <w:bCs/>
          <w:color w:val="6B7280"/>
          <w:sz w:val="17"/>
          <w:szCs w:val="17"/>
        </w:rPr>
        <w:t xml:space="preserve">표기 </w:t>
      </w:r>
      <w:r>
        <w:rPr>
          <w:rFonts w:ascii="맑은 고딕" w:cs="맑은 고딕" w:eastAsia="맑은 고딕" w:hAnsi="맑은 고딕"/>
          <w:color w:val="6B7280"/>
          <w:sz w:val="17"/>
          <w:szCs w:val="17"/>
        </w:rPr>
        <w:t xml:space="preserve">[사실] 데이터·공식 발표  [하우스] 증권사 리포트  [판단] 에이전트 판단  ·  값 플래그: 수기 = ECOS 홈페이지 값, 웹확인 = 웹 검색 값(공식 원문 대조 전), ⚠ = 기준일이 오래된 데이터</w:t>
      </w:r>
    </w:p>
    <w:p>
      <w:pPr>
        <w:pStyle w:val="Heading1"/>
        <w:spacing w:after="120" w:before="240"/>
      </w:pPr>
      <w:r>
        <w:rPr>
          <w:rFonts w:ascii="맑은 고딕" w:cs="맑은 고딕" w:eastAsia="맑은 고딕" w:hAnsi="맑은 고딕"/>
          <w:b/>
          <w:bCs/>
          <w:color w:val="1E3A5F"/>
          <w:sz w:val="28"/>
          <w:szCs w:val="28"/>
        </w:rPr>
        <w:t xml:space="preserve">한 장 요약</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50"/>
        <w:gridCol w:w="2350"/>
        <w:gridCol w:w="2050"/>
        <w:gridCol w:w="2628"/>
        <w:gridCol w:w="760"/>
      </w:tblGrid>
      <w:tr>
        <w:trPr>
          <w:tblHeader/>
        </w:trPr>
        <w:tc>
          <w:tcPr>
            <w:tcW w:type="dxa" w:w="1850"/>
            <w:tcBorders>
              <w:top w:val="single" w:color="D1D5DB" w:sz="4"/>
              <w:left w:val="single" w:color="D1D5DB" w:sz="4"/>
              <w:bottom w:val="single" w:color="D1D5DB" w:sz="4"/>
              <w:right w:val="single" w:color="D1D5DB" w:sz="4"/>
            </w:tcBorders>
            <w:shd w:fill="E8EEF6" w:color="auto" w:val="clear"/>
            <w:tcMar>
              <w:top w:type="dxa" w:w="50"/>
              <w:left w:type="dxa" w:w="90"/>
              <w:bottom w:type="dxa" w:w="50"/>
              <w:right w:type="dxa" w:w="90"/>
            </w:tcMar>
          </w:tcPr>
          <w:p>
            <w:pPr>
              <w:spacing w:after="0" w:before="0" w:line="252"/>
            </w:pPr>
            <w:r>
              <w:rPr>
                <w:rFonts w:ascii="맑은 고딕" w:cs="맑은 고딕" w:eastAsia="맑은 고딕" w:hAnsi="맑은 고딕"/>
                <w:b/>
                <w:bCs/>
                <w:color w:val="1F2937"/>
                <w:sz w:val="17"/>
                <w:szCs w:val="17"/>
              </w:rPr>
              <w:t xml:space="preserve">항목</w:t>
            </w:r>
          </w:p>
        </w:tc>
        <w:tc>
          <w:tcPr>
            <w:tcW w:type="dxa" w:w="2350"/>
            <w:tcBorders>
              <w:top w:val="single" w:color="D1D5DB" w:sz="4"/>
              <w:left w:val="single" w:color="D1D5DB" w:sz="4"/>
              <w:bottom w:val="single" w:color="D1D5DB" w:sz="4"/>
              <w:right w:val="single" w:color="D1D5DB" w:sz="4"/>
            </w:tcBorders>
            <w:shd w:fill="E8EEF6" w:color="auto" w:val="clear"/>
            <w:tcMar>
              <w:top w:type="dxa" w:w="50"/>
              <w:left w:type="dxa" w:w="90"/>
              <w:bottom w:type="dxa" w:w="50"/>
              <w:right w:type="dxa" w:w="90"/>
            </w:tcMar>
          </w:tcPr>
          <w:p>
            <w:pPr>
              <w:spacing w:after="0" w:before="0" w:line="252"/>
            </w:pPr>
            <w:r>
              <w:rPr>
                <w:rFonts w:ascii="맑은 고딕" w:cs="맑은 고딕" w:eastAsia="맑은 고딕" w:hAnsi="맑은 고딕"/>
                <w:b/>
                <w:bCs/>
                <w:color w:val="1F2937"/>
                <w:sz w:val="17"/>
                <w:szCs w:val="17"/>
              </w:rPr>
              <w:t xml:space="preserve">현황 핵심 수치 (기준일)</w:t>
            </w:r>
          </w:p>
        </w:tc>
        <w:tc>
          <w:tcPr>
            <w:tcW w:type="dxa" w:w="2050"/>
            <w:tcBorders>
              <w:top w:val="single" w:color="D1D5DB" w:sz="4"/>
              <w:left w:val="single" w:color="D1D5DB" w:sz="4"/>
              <w:bottom w:val="single" w:color="D1D5DB" w:sz="4"/>
              <w:right w:val="single" w:color="D1D5DB" w:sz="4"/>
            </w:tcBorders>
            <w:shd w:fill="E8EEF6" w:color="auto" w:val="clear"/>
            <w:tcMar>
              <w:top w:type="dxa" w:w="50"/>
              <w:left w:type="dxa" w:w="90"/>
              <w:bottom w:type="dxa" w:w="50"/>
              <w:right w:type="dxa" w:w="90"/>
            </w:tcMar>
          </w:tcPr>
          <w:p>
            <w:pPr>
              <w:spacing w:after="0" w:before="0" w:line="252"/>
            </w:pPr>
            <w:r>
              <w:rPr>
                <w:rFonts w:ascii="맑은 고딕" w:cs="맑은 고딕" w:eastAsia="맑은 고딕" w:hAnsi="맑은 고딕"/>
                <w:b/>
                <w:bCs/>
                <w:color w:val="1F2937"/>
                <w:sz w:val="17"/>
                <w:szCs w:val="17"/>
              </w:rPr>
              <w:t xml:space="preserve">단기 방향 (3-6M)</w:t>
            </w:r>
          </w:p>
        </w:tc>
        <w:tc>
          <w:tcPr>
            <w:tcW w:type="dxa" w:w="2628"/>
            <w:tcBorders>
              <w:top w:val="single" w:color="D1D5DB" w:sz="4"/>
              <w:left w:val="single" w:color="D1D5DB" w:sz="4"/>
              <w:bottom w:val="single" w:color="D1D5DB" w:sz="4"/>
              <w:right w:val="single" w:color="D1D5DB" w:sz="4"/>
            </w:tcBorders>
            <w:shd w:fill="E8EEF6" w:color="auto" w:val="clear"/>
            <w:tcMar>
              <w:top w:type="dxa" w:w="50"/>
              <w:left w:type="dxa" w:w="90"/>
              <w:bottom w:type="dxa" w:w="50"/>
              <w:right w:type="dxa" w:w="90"/>
            </w:tcMar>
          </w:tcPr>
          <w:p>
            <w:pPr>
              <w:spacing w:after="0" w:before="0" w:line="252"/>
            </w:pPr>
            <w:r>
              <w:rPr>
                <w:rFonts w:ascii="맑은 고딕" w:cs="맑은 고딕" w:eastAsia="맑은 고딕" w:hAnsi="맑은 고딕"/>
                <w:b/>
                <w:bCs/>
                <w:color w:val="1F2937"/>
                <w:sz w:val="17"/>
                <w:szCs w:val="17"/>
              </w:rPr>
              <w:t xml:space="preserve">장기 Base (1-3Y)</w:t>
            </w:r>
          </w:p>
        </w:tc>
        <w:tc>
          <w:tcPr>
            <w:tcW w:type="dxa" w:w="760"/>
            <w:tcBorders>
              <w:top w:val="single" w:color="D1D5DB" w:sz="4"/>
              <w:left w:val="single" w:color="D1D5DB" w:sz="4"/>
              <w:bottom w:val="single" w:color="D1D5DB" w:sz="4"/>
              <w:right w:val="single" w:color="D1D5DB" w:sz="4"/>
            </w:tcBorders>
            <w:shd w:fill="E8EEF6" w:color="auto" w:val="clear"/>
            <w:tcMar>
              <w:top w:type="dxa" w:w="50"/>
              <w:left w:type="dxa" w:w="90"/>
              <w:bottom w:type="dxa" w:w="50"/>
              <w:right w:type="dxa" w:w="90"/>
            </w:tcMar>
          </w:tcPr>
          <w:p>
            <w:pPr>
              <w:spacing w:after="0" w:before="0" w:line="252"/>
            </w:pPr>
            <w:r>
              <w:rPr>
                <w:rFonts w:ascii="맑은 고딕" w:cs="맑은 고딕" w:eastAsia="맑은 고딕" w:hAnsi="맑은 고딕"/>
                <w:b/>
                <w:bCs/>
                <w:color w:val="1F2937"/>
                <w:sz w:val="17"/>
                <w:szCs w:val="17"/>
              </w:rPr>
              <w:t xml:space="preserve">확신도</w:t>
            </w:r>
          </w:p>
        </w:tc>
      </w:tr>
      <w:tr>
        <w:trPr>
          <w:cantSplit/>
        </w:trPr>
        <w:tc>
          <w:tcPr>
            <w:tcW w:type="dxa" w:w="185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1. 환율 (원/달러, 달러인덱스)</w:t>
            </w:r>
          </w:p>
        </w:tc>
        <w:tc>
          <w:tcPr>
            <w:tcW w:type="dxa" w:w="235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원/달러 환율 1,324.7 KRW (2026-10-24) [수기]</w:t>
            </w:r>
          </w:p>
        </w:tc>
        <w:tc>
          <w:tcPr>
            <w:tcW w:type="dxa" w:w="205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원/달러 소폭 하락(원화 강세), 변동성 확대</w:t>
            </w:r>
          </w:p>
        </w:tc>
        <w:tc>
          <w:tcPr>
            <w:tcW w:type="dxa" w:w="2628"/>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[판단] 한은이 2027년 상반기까지 3.50%로 2회 추가 인상(신한 하우스 콜, 20261022_신한_1… (p=0.5)</w:t>
            </w:r>
          </w:p>
        </w:tc>
        <w:tc>
          <w:tcPr>
            <w:tcW w:type="dxa" w:w="76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중간</w:t>
            </w:r>
          </w:p>
        </w:tc>
      </w:tr>
      <w:tr>
        <w:trPr>
          <w:cantSplit/>
        </w:trPr>
        <w:tc>
          <w:tcPr>
            <w:tcW w:type="dxa" w:w="185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2. 유가 (WTI, Brent)</w:t>
            </w:r>
          </w:p>
        </w:tc>
        <w:tc>
          <w:tcPr>
            <w:tcW w:type="dxa" w:w="235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Brent 선물 종가 116.72 USD/bbl (2026-10-23) [웹확인]</w:t>
            </w:r>
          </w:p>
        </w:tc>
        <w:tc>
          <w:tcPr>
            <w:tcW w:type="dxa" w:w="205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고점권 횡보~소폭 하락, 양방향 변동성 매우 큼</w:t>
            </w:r>
          </w:p>
        </w:tc>
        <w:tc>
          <w:tcPr>
            <w:tcW w:type="dxa" w:w="2628"/>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[판단] 2027년 중 호르무즈 통행이 점진적으로 회복되고 OPEC+가 2027년 쿼터 재조정으로 공급을 늘… (p=0.5)</w:t>
            </w:r>
          </w:p>
        </w:tc>
        <w:tc>
          <w:tcPr>
            <w:tcW w:type="dxa" w:w="76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낮음</w:t>
            </w:r>
          </w:p>
        </w:tc>
      </w:tr>
      <w:tr>
        <w:trPr>
          <w:cantSplit/>
        </w:trPr>
        <w:tc>
          <w:tcPr>
            <w:tcW w:type="dxa" w:w="185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3. 한국 금리 (기준금리, 단기금리)</w:t>
            </w:r>
          </w:p>
        </w:tc>
        <w:tc>
          <w:tcPr>
            <w:tcW w:type="dxa" w:w="235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한국은행 기준금리 3 % (2026-10-22) [수기]</w:t>
            </w:r>
          </w:p>
        </w:tc>
        <w:tc>
          <w:tcPr>
            <w:tcW w:type="dxa" w:w="205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상승(인상 1회 이상)</w:t>
            </w:r>
          </w:p>
        </w:tc>
        <w:tc>
          <w:tcPr>
            <w:tcW w:type="dxa" w:w="2628"/>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[판단] 2027년 상반기까지 2회 추가 인상해 최종금리 3.50% 도달 후 장기 동결. [하우스] 신한투자… (p=0.55)</w:t>
            </w:r>
          </w:p>
        </w:tc>
        <w:tc>
          <w:tcPr>
            <w:tcW w:type="dxa" w:w="76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중간</w:t>
            </w:r>
          </w:p>
        </w:tc>
      </w:tr>
      <w:tr>
        <w:trPr>
          <w:cantSplit/>
        </w:trPr>
        <w:tc>
          <w:tcPr>
            <w:tcW w:type="dxa" w:w="185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4. 한국 국채 (국고채 3·10·30년, 커브)</w:t>
            </w:r>
          </w:p>
        </w:tc>
        <w:tc>
          <w:tcPr>
            <w:tcW w:type="dxa" w:w="235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국고채 3년 3.803 % (2026-10-23) [수기]</w:t>
            </w:r>
          </w:p>
        </w:tc>
        <w:tc>
          <w:tcPr>
            <w:tcW w:type="dxa" w:w="205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단기물 소폭 상승·장기물 보합(베어 플래트닝)</w:t>
            </w:r>
          </w:p>
        </w:tc>
        <w:tc>
          <w:tcPr>
            <w:tcW w:type="dxa" w:w="2628"/>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[판단] 기준금리 3.50%에서 정점 후 동결. 3년물은 기반영분이 커 소폭 상승, 장기물은 공급 관리·보험… (p=0.55)</w:t>
            </w:r>
          </w:p>
        </w:tc>
        <w:tc>
          <w:tcPr>
            <w:tcW w:type="dxa" w:w="76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중간</w:t>
            </w:r>
          </w:p>
        </w:tc>
      </w:tr>
      <w:tr>
        <w:trPr>
          <w:cantSplit/>
        </w:trPr>
        <w:tc>
          <w:tcPr>
            <w:tcW w:type="dxa" w:w="185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5. 한국 회사채 (AA-, BBB-, 크레딧 스프레드)</w:t>
            </w:r>
          </w:p>
        </w:tc>
        <w:tc>
          <w:tcPr>
            <w:tcW w:type="dxa" w:w="235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회사채 3년 AA- 4.492 % (2026-10-23) [수기]</w:t>
            </w:r>
          </w:p>
        </w:tc>
        <w:tc>
          <w:tcPr>
            <w:tcW w:type="dxa" w:w="205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AA- 횡보, BBB- 소폭 확대</w:t>
            </w:r>
          </w:p>
        </w:tc>
        <w:tc>
          <w:tcPr>
            <w:tcW w:type="dxa" w:w="2628"/>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[판단] 기준금리 3.50% 정점 이후 금리 안정과 높은 절대금리에 대한 캐리 수요로 AA- 스프레드는 60… (p=0.55)</w:t>
            </w:r>
          </w:p>
        </w:tc>
        <w:tc>
          <w:tcPr>
            <w:tcW w:type="dxa" w:w="76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중간</w:t>
            </w:r>
          </w:p>
        </w:tc>
      </w:tr>
      <w:tr>
        <w:trPr>
          <w:cantSplit/>
        </w:trPr>
        <w:tc>
          <w:tcPr>
            <w:tcW w:type="dxa" w:w="185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6. 미국 금리 (FFR, 정책 경로)</w:t>
            </w:r>
          </w:p>
        </w:tc>
        <w:tc>
          <w:tcPr>
            <w:tcW w:type="dxa" w:w="235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FFR 목표 상단 4 % (2026-09-16) [웹확인]</w:t>
            </w:r>
          </w:p>
        </w:tc>
        <w:tc>
          <w:tcPr>
            <w:tcW w:type="dxa" w:w="205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소폭 상승(25bp 1회 인상 후 동결)</w:t>
            </w:r>
          </w:p>
        </w:tc>
        <w:tc>
          <w:tcPr>
            <w:tcW w:type="dxa" w:w="2628"/>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[판단] 2026년 말~2027년 1분기 상단 4.25%에서 정점, 2027년 동결 후 2028년 소폭 인하… (p=0.5)</w:t>
            </w:r>
          </w:p>
        </w:tc>
        <w:tc>
          <w:tcPr>
            <w:tcW w:type="dxa" w:w="76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중간</w:t>
            </w:r>
          </w:p>
        </w:tc>
      </w:tr>
      <w:tr>
        <w:trPr>
          <w:cantSplit/>
        </w:trPr>
        <w:tc>
          <w:tcPr>
            <w:tcW w:type="dxa" w:w="185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7. 미국 국채 (UST 2·10·30년, 커브, BEI)</w:t>
            </w:r>
          </w:p>
        </w:tc>
        <w:tc>
          <w:tcPr>
            <w:tcW w:type="dxa" w:w="235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UST 10년 (재무부 par yield 5 % (2026-10-23) [웹확인]</w:t>
            </w:r>
          </w:p>
        </w:tc>
        <w:tc>
          <w:tcPr>
            <w:tcW w:type="dxa" w:w="205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횡보~소폭 상승</w:t>
            </w:r>
          </w:p>
        </w:tc>
        <w:tc>
          <w:tcPr>
            <w:tcW w:type="dxa" w:w="2628"/>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[판단] FFR 정점 4.25% 후 4.00% 복귀(us_rate Base 0bp)에 맞춰 2Y가 정책금리… (p=0.5)</w:t>
            </w:r>
          </w:p>
        </w:tc>
        <w:tc>
          <w:tcPr>
            <w:tcW w:type="dxa" w:w="76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중간</w:t>
            </w:r>
          </w:p>
        </w:tc>
      </w:tr>
      <w:tr>
        <w:trPr>
          <w:cantSplit/>
        </w:trPr>
        <w:tc>
          <w:tcPr>
            <w:tcW w:type="dxa" w:w="185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8. 미국 회사채 (IG·HY OAS)</w:t>
            </w:r>
          </w:p>
        </w:tc>
        <w:tc>
          <w:tcPr>
            <w:tcW w:type="dxa" w:w="235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ICE BofA US IG OAS 0.89 % (2026-10-22) [웹확인]</w:t>
            </w:r>
          </w:p>
        </w:tc>
        <w:tc>
          <w:tcPr>
            <w:tcW w:type="dxa" w:w="205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완만한 확대</w:t>
            </w:r>
          </w:p>
        </w:tc>
        <w:tc>
          <w:tcPr>
            <w:tcW w:type="dxa" w:w="2628"/>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[판단] FFR 4.25% 정점 후 4.00% 복귀(us_rate Base), 성장 둔화 속 AI 인프라 섹… (p=0.5)</w:t>
            </w:r>
          </w:p>
        </w:tc>
        <w:tc>
          <w:tcPr>
            <w:tcW w:type="dxa" w:w="76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낮음</w:t>
            </w:r>
          </w:p>
        </w:tc>
      </w:tr>
      <w:tr>
        <w:trPr>
          <w:cantSplit/>
        </w:trPr>
        <w:tc>
          <w:tcPr>
            <w:tcW w:type="dxa" w:w="185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9. 한국 대체투자 - 부동산</w:t>
            </w:r>
          </w:p>
        </w:tc>
        <w:tc>
          <w:tcPr>
            <w:tcW w:type="dxa" w:w="235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오피스 공실률 9 % (2026-06-30) [웹확인 ⚠]</w:t>
            </w:r>
          </w:p>
        </w:tc>
        <w:tc>
          <w:tcPr>
            <w:tcW w:type="dxa" w:w="205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캡레이트 소폭 상승·PF 손실 완만한 개선 정체</w:t>
            </w:r>
          </w:p>
        </w:tc>
        <w:tc>
          <w:tcPr>
            <w:tcW w:type="dxa" w:w="2628"/>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[판단] 2회 인상(3.50%) 후 동결, KTB 10Y +10bp. 오피스는 서울 핵심권역 임대 견조·지방… (p=0.55)</w:t>
            </w:r>
          </w:p>
        </w:tc>
        <w:tc>
          <w:tcPr>
            <w:tcW w:type="dxa" w:w="76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낮음</w:t>
            </w:r>
          </w:p>
        </w:tc>
      </w:tr>
      <w:tr>
        <w:trPr>
          <w:cantSplit/>
        </w:trPr>
        <w:tc>
          <w:tcPr>
            <w:tcW w:type="dxa" w:w="185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10. 한국 대체투자 - 인프라</w:t>
            </w:r>
          </w:p>
        </w:tc>
        <w:tc>
          <w:tcPr>
            <w:tcW w:type="dxa" w:w="235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국고채 5년(할인율 기준금리 참고) 3.948 % (2026-10-23) [수기]</w:t>
            </w:r>
          </w:p>
        </w:tc>
        <w:tc>
          <w:tcPr>
            <w:tcW w:type="dxa" w:w="205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할인율 소폭 상승</w:t>
            </w:r>
          </w:p>
        </w:tc>
        <w:tc>
          <w:tcPr>
            <w:tcW w:type="dxa" w:w="2628"/>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[판단] 2회 인상 후 동결, KTB 10Y +10bp. 신규 민자 물량은 점진적으로 늘고 에너지 전환·데이… (p=0.55)</w:t>
            </w:r>
          </w:p>
        </w:tc>
        <w:tc>
          <w:tcPr>
            <w:tcW w:type="dxa" w:w="76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낮음</w:t>
            </w:r>
          </w:p>
        </w:tc>
      </w:tr>
      <w:tr>
        <w:trPr>
          <w:cantSplit/>
        </w:trPr>
        <w:tc>
          <w:tcPr>
            <w:tcW w:type="dxa" w:w="185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11. 한국 대체투자 - PE (Equity)</w:t>
            </w:r>
          </w:p>
        </w:tc>
        <w:tc>
          <w:tcPr>
            <w:tcW w:type="dxa" w:w="235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KOSPI 5,550.3 (1980.01.04=100) (2026-10-23) [수기]</w:t>
            </w:r>
          </w:p>
        </w:tc>
        <w:tc>
          <w:tcPr>
            <w:tcW w:type="dxa" w:w="205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평가가치 소폭 하락</w:t>
            </w:r>
          </w:p>
        </w:tc>
        <w:tc>
          <w:tcPr>
            <w:tcW w:type="dxa" w:w="2628"/>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[판단] 금리 소폭 상승 속 증시 박스권 회복, 규제는 공시·내부통제 중심으로 완화된 형태로 입법. PE 평… (p=0.5)</w:t>
            </w:r>
          </w:p>
        </w:tc>
        <w:tc>
          <w:tcPr>
            <w:tcW w:type="dxa" w:w="76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낮음</w:t>
            </w:r>
          </w:p>
        </w:tc>
      </w:tr>
      <w:tr>
        <w:trPr>
          <w:cantSplit/>
        </w:trPr>
        <w:tc>
          <w:tcPr>
            <w:tcW w:type="dxa" w:w="185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12. 한국 대체투자 - PE (Debt) / 사모대출</w:t>
            </w:r>
          </w:p>
        </w:tc>
        <w:tc>
          <w:tcPr>
            <w:tcW w:type="dxa" w:w="235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금융권 PF대출 연체율(금융위·금감원) 4.65 % (2026-03-31) [웹확인 ⚠]</w:t>
            </w:r>
          </w:p>
        </w:tc>
        <w:tc>
          <w:tcPr>
            <w:tcW w:type="dxa" w:w="205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부도율 소폭 상승</w:t>
            </w:r>
          </w:p>
        </w:tc>
        <w:tc>
          <w:tcPr>
            <w:tcW w:type="dxa" w:w="2628"/>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[판단] 2회 인상 후 동결, PF 정리 마무리. 사모대출 시장은 규제 공백을 채우며 성장하되 부도율은 금리… (p=0.55)</w:t>
            </w:r>
          </w:p>
        </w:tc>
        <w:tc>
          <w:tcPr>
            <w:tcW w:type="dxa" w:w="76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낮음</w:t>
            </w:r>
          </w:p>
        </w:tc>
      </w:tr>
      <w:tr>
        <w:trPr>
          <w:cantSplit/>
        </w:trPr>
        <w:tc>
          <w:tcPr>
            <w:tcW w:type="dxa" w:w="185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13. 미국 대체투자 - 부동산</w:t>
            </w:r>
          </w:p>
        </w:tc>
        <w:tc>
          <w:tcPr>
            <w:tcW w:type="dxa" w:w="235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미국 CMBS 연체율 8.02 % (2026-09-30) [웹확인 ⚠]</w:t>
            </w:r>
          </w:p>
        </w:tc>
        <w:tc>
          <w:tcPr>
            <w:tcW w:type="dxa" w:w="205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보합~소폭 약세(섹터 차별화)</w:t>
            </w:r>
          </w:p>
        </w:tc>
        <w:tc>
          <w:tcPr>
            <w:tcW w:type="dxa" w:w="2628"/>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[판단] UST10Y 완만 하락(가정 −25bp)으로 캡레이트 소폭 하락, 가격은 연 한 자릿수 초반 회복.… (p=0.55)</w:t>
            </w:r>
          </w:p>
        </w:tc>
        <w:tc>
          <w:tcPr>
            <w:tcW w:type="dxa" w:w="76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중간</w:t>
            </w:r>
          </w:p>
        </w:tc>
      </w:tr>
      <w:tr>
        <w:trPr>
          <w:cantSplit/>
        </w:trPr>
        <w:tc>
          <w:tcPr>
            <w:tcW w:type="dxa" w:w="185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14. 미국 대체투자 - 인프라</w:t>
            </w:r>
          </w:p>
        </w:tc>
        <w:tc>
          <w:tcPr>
            <w:tcW w:type="dxa" w:w="235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EIA 2026년 미국 전력수요 전망 4288 billion kWh (2026-10-07) [웹확인 ⚠]</w:t>
            </w:r>
          </w:p>
        </w:tc>
        <w:tc>
          <w:tcPr>
            <w:tcW w:type="dxa" w:w="205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보합(전력·디지털 인프라 상대 강세)</w:t>
            </w:r>
          </w:p>
        </w:tc>
        <w:tc>
          <w:tcPr>
            <w:tcW w:type="dxa" w:w="2628"/>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[판단] 전력·데이터센터 수요가 계약 현금흐름을 지지하고 UST10Y 완만 하락(가정 −25bp)으로 할인율… (p=0.55)</w:t>
            </w:r>
          </w:p>
        </w:tc>
        <w:tc>
          <w:tcPr>
            <w:tcW w:type="dxa" w:w="76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중간</w:t>
            </w:r>
          </w:p>
        </w:tc>
      </w:tr>
      <w:tr>
        <w:trPr>
          <w:cantSplit/>
        </w:trPr>
        <w:tc>
          <w:tcPr>
            <w:tcW w:type="dxa" w:w="185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15. 미국 대체투자 - PE (Equity)</w:t>
            </w:r>
          </w:p>
        </w:tc>
        <w:tc>
          <w:tcPr>
            <w:tcW w:type="dxa" w:w="235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미국 PE 엑시트 금액 165.1 USD bn (2026-09-30) [웹확인 ⚠]</w:t>
            </w:r>
          </w:p>
        </w:tc>
        <w:tc>
          <w:tcPr>
            <w:tcW w:type="dxa" w:w="205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보합~소폭 약세</w:t>
            </w:r>
          </w:p>
        </w:tc>
        <w:tc>
          <w:tcPr>
            <w:tcW w:type="dxa" w:w="2628"/>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[판단] UST10Y 완만 하락(가정 −25bp)과 이익 성장으로 엑시트·분배가 점진 정상화, PE 평가가치… (p=0.55)</w:t>
            </w:r>
          </w:p>
        </w:tc>
        <w:tc>
          <w:tcPr>
            <w:tcW w:type="dxa" w:w="76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낮음</w:t>
            </w:r>
          </w:p>
        </w:tc>
      </w:tr>
      <w:tr>
        <w:trPr>
          <w:cantSplit/>
        </w:trPr>
        <w:tc>
          <w:tcPr>
            <w:tcW w:type="dxa" w:w="185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16. 미국 대체투자 - PE (Debt) / Private Credit</w:t>
            </w:r>
          </w:p>
        </w:tc>
        <w:tc>
          <w:tcPr>
            <w:tcW w:type="dxa" w:w="235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Fitch 미국 Private Credi 6.3 % (2026-08-31) [웹확인 ⚠]</w:t>
            </w:r>
          </w:p>
        </w:tc>
        <w:tc>
          <w:tcPr>
            <w:tcW w:type="dxa" w:w="205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부도율 소폭 상승</w:t>
            </w:r>
          </w:p>
        </w:tc>
        <w:tc>
          <w:tcPr>
            <w:tcW w:type="dxa" w:w="2628"/>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[판단] 금리 완만 하락(UST10Y 가정 −25bp, 단기금리도 점진 인하)으로 이자부담이 서서히 완화되나… (p=0.55)</w:t>
            </w:r>
          </w:p>
        </w:tc>
        <w:tc>
          <w:tcPr>
            <w:tcW w:type="dxa" w:w="76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중간</w:t>
            </w:r>
          </w:p>
        </w:tc>
      </w:tr>
    </w:tbl>
    <w:p>
      <w:pPr>
        <w:spacing w:after="40" w:before="80" w:line="276"/>
      </w:pPr>
      <w:r>
        <w:rPr>
          <w:rFonts w:ascii="맑은 고딕" w:cs="맑은 고딕" w:eastAsia="맑은 고딕" w:hAnsi="맑은 고딕"/>
          <w:color w:val="B45309"/>
          <w:sz w:val="16"/>
          <w:szCs w:val="16"/>
        </w:rPr>
        <w:t xml:space="preserve">하우스 뷰: 삼성증권, 신한투자증권 — 대부분 항목은 1곳만 다뤄 하우스 간 비교가 제한적. 발간 30일이 지난 리포트는 구조적·장기 뷰로만 반영. 미국 지표와 국고 10·30년물은 API 미수집으로 웹확인 값.</w:t>
      </w:r>
    </w:p>
    <w:p>
      <w:r>
        <w:br w:type="page"/>
      </w:r>
    </w:p>
    <w:p>
      <w:pPr>
        <w:pStyle w:val="Heading1"/>
        <w:spacing w:after="120" w:before="240"/>
      </w:pPr>
      <w:r>
        <w:rPr>
          <w:rFonts w:ascii="맑은 고딕" w:cs="맑은 고딕" w:eastAsia="맑은 고딕" w:hAnsi="맑은 고딕"/>
          <w:b/>
          <w:bCs/>
          <w:color w:val="1E3A5F"/>
          <w:sz w:val="28"/>
          <w:szCs w:val="28"/>
        </w:rPr>
        <w:t xml:space="preserve">항목별 정리</w:t>
      </w:r>
    </w:p>
    <w:p>
      <w:pPr>
        <w:pStyle w:val="Heading2"/>
        <w:keepNext/>
        <w:pBdr>
          <w:bottom w:val="single" w:color="1E3A5F" w:sz="6" w:space="2"/>
        </w:pBdr>
        <w:spacing w:after="80" w:before="260"/>
      </w:pPr>
      <w:r>
        <w:rPr>
          <w:rFonts w:ascii="맑은 고딕" w:cs="맑은 고딕" w:eastAsia="맑은 고딕" w:hAnsi="맑은 고딕"/>
          <w:b/>
          <w:bCs/>
          <w:color w:val="1E3A5F"/>
          <w:sz w:val="23"/>
          <w:szCs w:val="23"/>
        </w:rPr>
        <w:t xml:space="preserve">1. 환율 (원/달러, 달러인덱스)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00"/>
        <w:gridCol w:w="2200"/>
        <w:gridCol w:w="1700"/>
        <w:gridCol w:w="2138"/>
      </w:tblGrid>
      <w:tr>
        <w:trPr>
          <w:tblHeader/>
        </w:trPr>
        <w:tc>
          <w:tcPr>
            <w:tcW w:type="dxa" w:w="3600"/>
            <w:tcBorders>
              <w:top w:val="single" w:color="D1D5DB" w:sz="4"/>
              <w:left w:val="single" w:color="D1D5DB" w:sz="4"/>
              <w:bottom w:val="single" w:color="D1D5DB" w:sz="4"/>
              <w:right w:val="single" w:color="D1D5DB" w:sz="4"/>
            </w:tcBorders>
            <w:shd w:fill="E8EEF6" w:color="auto" w:val="clear"/>
            <w:tcMar>
              <w:top w:type="dxa" w:w="50"/>
              <w:left w:type="dxa" w:w="90"/>
              <w:bottom w:type="dxa" w:w="50"/>
              <w:right w:type="dxa" w:w="90"/>
            </w:tcMar>
          </w:tcPr>
          <w:p>
            <w:pPr>
              <w:spacing w:after="0" w:before="0" w:line="252"/>
            </w:pPr>
            <w:r>
              <w:rPr>
                <w:rFonts w:ascii="맑은 고딕" w:cs="맑은 고딕" w:eastAsia="맑은 고딕" w:hAnsi="맑은 고딕"/>
                <w:b/>
                <w:bCs/>
                <w:color w:val="1F2937"/>
                <w:sz w:val="17"/>
                <w:szCs w:val="17"/>
              </w:rPr>
              <w:t xml:space="preserve">지표</w:t>
            </w:r>
          </w:p>
        </w:tc>
        <w:tc>
          <w:tcPr>
            <w:tcW w:type="dxa" w:w="2200"/>
            <w:tcBorders>
              <w:top w:val="single" w:color="D1D5DB" w:sz="4"/>
              <w:left w:val="single" w:color="D1D5DB" w:sz="4"/>
              <w:bottom w:val="single" w:color="D1D5DB" w:sz="4"/>
              <w:right w:val="single" w:color="D1D5DB" w:sz="4"/>
            </w:tcBorders>
            <w:shd w:fill="E8EEF6" w:color="auto" w:val="clear"/>
            <w:tcMar>
              <w:top w:type="dxa" w:w="50"/>
              <w:left w:type="dxa" w:w="90"/>
              <w:bottom w:type="dxa" w:w="50"/>
              <w:right w:type="dxa" w:w="90"/>
            </w:tcMar>
          </w:tcPr>
          <w:p>
            <w:pPr>
              <w:spacing w:after="0" w:before="0" w:line="252"/>
            </w:pPr>
            <w:r>
              <w:rPr>
                <w:rFonts w:ascii="맑은 고딕" w:cs="맑은 고딕" w:eastAsia="맑은 고딕" w:hAnsi="맑은 고딕"/>
                <w:b/>
                <w:bCs/>
                <w:color w:val="1F2937"/>
                <w:sz w:val="17"/>
                <w:szCs w:val="17"/>
              </w:rPr>
              <w:t xml:space="preserve">값</w:t>
            </w:r>
          </w:p>
        </w:tc>
        <w:tc>
          <w:tcPr>
            <w:tcW w:type="dxa" w:w="1700"/>
            <w:tcBorders>
              <w:top w:val="single" w:color="D1D5DB" w:sz="4"/>
              <w:left w:val="single" w:color="D1D5DB" w:sz="4"/>
              <w:bottom w:val="single" w:color="D1D5DB" w:sz="4"/>
              <w:right w:val="single" w:color="D1D5DB" w:sz="4"/>
            </w:tcBorders>
            <w:shd w:fill="E8EEF6" w:color="auto" w:val="clear"/>
            <w:tcMar>
              <w:top w:type="dxa" w:w="50"/>
              <w:left w:type="dxa" w:w="90"/>
              <w:bottom w:type="dxa" w:w="50"/>
              <w:right w:type="dxa" w:w="90"/>
            </w:tcMar>
          </w:tcPr>
          <w:p>
            <w:pPr>
              <w:spacing w:after="0" w:before="0" w:line="252"/>
            </w:pPr>
            <w:r>
              <w:rPr>
                <w:rFonts w:ascii="맑은 고딕" w:cs="맑은 고딕" w:eastAsia="맑은 고딕" w:hAnsi="맑은 고딕"/>
                <w:b/>
                <w:bCs/>
                <w:color w:val="1F2937"/>
                <w:sz w:val="17"/>
                <w:szCs w:val="17"/>
              </w:rPr>
              <w:t xml:space="preserve">기준일</w:t>
            </w:r>
          </w:p>
        </w:tc>
        <w:tc>
          <w:tcPr>
            <w:tcW w:type="dxa" w:w="2138"/>
            <w:tcBorders>
              <w:top w:val="single" w:color="D1D5DB" w:sz="4"/>
              <w:left w:val="single" w:color="D1D5DB" w:sz="4"/>
              <w:bottom w:val="single" w:color="D1D5DB" w:sz="4"/>
              <w:right w:val="single" w:color="D1D5DB" w:sz="4"/>
            </w:tcBorders>
            <w:shd w:fill="E8EEF6" w:color="auto" w:val="clear"/>
            <w:tcMar>
              <w:top w:type="dxa" w:w="50"/>
              <w:left w:type="dxa" w:w="90"/>
              <w:bottom w:type="dxa" w:w="50"/>
              <w:right w:type="dxa" w:w="90"/>
            </w:tcMar>
          </w:tcPr>
          <w:p>
            <w:pPr>
              <w:spacing w:after="0" w:before="0" w:line="252"/>
            </w:pPr>
            <w:r>
              <w:rPr>
                <w:rFonts w:ascii="맑은 고딕" w:cs="맑은 고딕" w:eastAsia="맑은 고딕" w:hAnsi="맑은 고딕"/>
                <w:b/>
                <w:bCs/>
                <w:color w:val="1F2937"/>
                <w:sz w:val="17"/>
                <w:szCs w:val="17"/>
              </w:rPr>
              <w:t xml:space="preserve">출처 플래그</w:t>
            </w:r>
          </w:p>
        </w:tc>
      </w:tr>
      <w:tr>
        <w:trPr>
          <w:cantSplit/>
        </w:trPr>
        <w:tc>
          <w:tcPr>
            <w:tcW w:type="dxa" w:w="36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원/달러 환율(매매기준율, ECOS 홈페이지 10.24 05:00)</w:t>
            </w:r>
          </w:p>
        </w:tc>
        <w:tc>
          <w:tcPr>
            <w:tcW w:type="dxa" w:w="22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1,324.7 KRW</w:t>
            </w:r>
          </w:p>
        </w:tc>
        <w:tc>
          <w:tcPr>
            <w:tcW w:type="dxa" w:w="17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2026-10-24</w:t>
            </w:r>
          </w:p>
        </w:tc>
        <w:tc>
          <w:tcPr>
            <w:tcW w:type="dxa" w:w="2138"/>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수기</w:t>
            </w:r>
          </w:p>
        </w:tc>
      </w:tr>
      <w:tr>
        <w:trPr>
          <w:cantSplit/>
        </w:trPr>
        <w:tc>
          <w:tcPr>
            <w:tcW w:type="dxa" w:w="36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달러 지수(ICE DXY, 웹)</w:t>
            </w:r>
          </w:p>
        </w:tc>
        <w:tc>
          <w:tcPr>
            <w:tcW w:type="dxa" w:w="22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101.75 index</w:t>
            </w:r>
          </w:p>
        </w:tc>
        <w:tc>
          <w:tcPr>
            <w:tcW w:type="dxa" w:w="17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2026-10-23</w:t>
            </w:r>
          </w:p>
        </w:tc>
        <w:tc>
          <w:tcPr>
            <w:tcW w:type="dxa" w:w="2138"/>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웹확인</w:t>
            </w:r>
          </w:p>
        </w:tc>
      </w:tr>
      <w:tr>
        <w:trPr>
          <w:cantSplit/>
        </w:trPr>
        <w:tc>
          <w:tcPr>
            <w:tcW w:type="dxa" w:w="36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한미 기준금리차(한은−FFR 상단, 추정 계산)</w:t>
            </w:r>
          </w:p>
        </w:tc>
        <w:tc>
          <w:tcPr>
            <w:tcW w:type="dxa" w:w="22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-1 %p</w:t>
            </w:r>
          </w:p>
        </w:tc>
        <w:tc>
          <w:tcPr>
            <w:tcW w:type="dxa" w:w="17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2026-10-22</w:t>
            </w:r>
          </w:p>
        </w:tc>
        <w:tc>
          <w:tcPr>
            <w:tcW w:type="dxa" w:w="2138"/>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추정</w:t>
            </w:r>
          </w:p>
        </w:tc>
      </w:tr>
      <w:tr>
        <w:trPr>
          <w:cantSplit/>
        </w:trPr>
        <w:tc>
          <w:tcPr>
            <w:tcW w:type="dxa" w:w="36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경상수지(월)</w:t>
            </w:r>
          </w:p>
        </w:tc>
        <w:tc>
          <w:tcPr>
            <w:tcW w:type="dxa" w:w="22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46.113 십억USD</w:t>
            </w:r>
          </w:p>
        </w:tc>
        <w:tc>
          <w:tcPr>
            <w:tcW w:type="dxa" w:w="17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2026-08-31</w:t>
            </w:r>
          </w:p>
        </w:tc>
        <w:tc>
          <w:tcPr>
            <w:tcW w:type="dxa" w:w="2138"/>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수기 ⚠</w:t>
            </w:r>
          </w:p>
        </w:tc>
      </w:tr>
    </w:tbl>
    <w:p>
      <w:pPr>
        <w:pStyle w:val="ListParagraph"/>
        <w:numPr>
          <w:ilvl w:val="0"/>
          <w:numId w:val="2"/>
        </w:numPr>
        <w:spacing w:after="40" w:before="40" w:line="276"/>
      </w:pPr>
      <w:r>
        <w:rPr>
          <w:rFonts w:ascii="맑은 고딕" w:cs="맑은 고딕" w:eastAsia="맑은 고딕" w:hAnsi="맑은 고딕"/>
          <w:b/>
          <w:bCs/>
          <w:color w:val="1E3A5F"/>
          <w:sz w:val="19"/>
          <w:szCs w:val="19"/>
        </w:rPr>
        <w:t xml:space="preserve">현황 </w:t>
      </w:r>
      <w:r>
        <w:rPr>
          <w:rFonts w:ascii="맑은 고딕" w:cs="맑은 고딕" w:eastAsia="맑은 고딕" w:hAnsi="맑은 고딕"/>
          <w:color w:val="1F2937"/>
          <w:sz w:val="19"/>
          <w:szCs w:val="19"/>
        </w:rPr>
        <w:t xml:space="preserve">[사실] 원/달러 매매기준율 1,324.7원(2026-10-24, 수기·05:00 시점), 종가 1,324.6원(2026-10-23, 수기; 언론 보도 종가와 일치).</w:t>
      </w:r>
    </w:p>
    <w:p>
      <w:pPr>
        <w:pStyle w:val="ListParagraph"/>
        <w:numPr>
          <w:ilvl w:val="0"/>
          <w:numId w:val="2"/>
        </w:numPr>
        <w:spacing w:after="40" w:before="40" w:line="276"/>
      </w:pPr>
      <w:r>
        <w:rPr>
          <w:rFonts w:ascii="맑은 고딕" w:cs="맑은 고딕" w:eastAsia="맑은 고딕" w:hAnsi="맑은 고딕"/>
          <w:b/>
          <w:bCs/>
          <w:color w:val="1E3A5F"/>
          <w:sz w:val="19"/>
          <w:szCs w:val="19"/>
        </w:rPr>
        <w:t xml:space="preserve">단기 </w:t>
      </w:r>
      <w:r>
        <w:rPr>
          <w:rFonts w:ascii="맑은 고딕" w:cs="맑은 고딕" w:eastAsia="맑은 고딕" w:hAnsi="맑은 고딕"/>
          <w:color w:val="1F2937"/>
          <w:sz w:val="19"/>
          <w:szCs w:val="19"/>
        </w:rPr>
        <w:t xml:space="preserve">[하우스] 신한투자증권은 수출 호조에 따른 업체 네고·월말 달러 공급 우위와 3Q GDP 호조 시 한은 추가 인상 기대를 근거로 원/달러 하락(원화 강세)을, 매파적 FOMC·양호한 미국 지표를 근거로 달러 강세를 예상(20261023_신한_FXCheckup p.1,… (확신도 중간)</w:t>
      </w:r>
    </w:p>
    <w:p>
      <w:pPr>
        <w:pStyle w:val="ListParagraph"/>
        <w:numPr>
          <w:ilvl w:val="0"/>
          <w:numId w:val="2"/>
        </w:numPr>
        <w:spacing w:after="40" w:before="40" w:line="276"/>
      </w:pPr>
      <w:r>
        <w:rPr>
          <w:rFonts w:ascii="맑은 고딕" w:cs="맑은 고딕" w:eastAsia="맑은 고딕" w:hAnsi="맑은 고딕"/>
          <w:b/>
          <w:bCs/>
          <w:color w:val="1E3A5F"/>
          <w:sz w:val="19"/>
          <w:szCs w:val="19"/>
        </w:rPr>
        <w:t xml:space="preserve">장기 </w:t>
      </w:r>
      <w:r>
        <w:rPr>
          <w:rFonts w:ascii="맑은 고딕" w:cs="맑은 고딕" w:eastAsia="맑은 고딕" w:hAnsi="맑은 고딕"/>
          <w:color w:val="1F2937"/>
          <w:sz w:val="19"/>
          <w:szCs w:val="19"/>
        </w:rPr>
        <w:t xml:space="preserve">Base 0.5: [판단] 한은이 2027년 상반기까지 3.50%로 2회 추가 인상(신한 하우스 콜, 20261022_신한_10월금통위 p.1)하고 Fed는 12월 전후…  /  Bull 0.25: [판단] 중동 휴전·호르무즈 정상화로 유가가 하락하고 미국 물가가 둔화돼 Fed가 75bp 인하, 한은은 1회 인상 후 3.25% 동결.  /  Bear 0.25: [판단] 호르무즈 봉쇄 장기화로 유가 고공행진, 미국 인플레 재가속에 Fed 50bp 추가 인상. 한국은 교역조건 악화·성장 둔화로 1회 인상(3.25%…</w:t>
      </w:r>
    </w:p>
    <w:p>
      <w:pPr>
        <w:pStyle w:val="ListParagraph"/>
        <w:numPr>
          <w:ilvl w:val="0"/>
          <w:numId w:val="2"/>
        </w:numPr>
        <w:spacing w:after="40" w:before="40" w:line="276"/>
      </w:pPr>
      <w:r>
        <w:rPr>
          <w:rFonts w:ascii="맑은 고딕" w:cs="맑은 고딕" w:eastAsia="맑은 고딕" w:hAnsi="맑은 고딕"/>
          <w:b/>
          <w:bCs/>
          <w:color w:val="1E3A5F"/>
          <w:sz w:val="19"/>
          <w:szCs w:val="19"/>
        </w:rPr>
        <w:t xml:space="preserve">하우스 </w:t>
      </w:r>
      <w:r>
        <w:rPr>
          <w:rFonts w:ascii="맑은 고딕" w:cs="맑은 고딕" w:eastAsia="맑은 고딕" w:hAnsi="맑은 고딕"/>
          <w:color w:val="1F2937"/>
          <w:sz w:val="19"/>
          <w:szCs w:val="19"/>
        </w:rPr>
        <w:t xml:space="preserve">[하우스] 신한투자증권(단일): 단기 원/달러 하락(원화 강세, 확신 중간, 레인지 미제시) + 달러지수 상승(확신 중간) — 20261023_신한_FXCheckup p.1, 20261023_신한_WeeklyGuideBook p.4. 한은 2027년 상반기까지 2회 추가 인상·최종 3.50%(확신 높음) — 20261022_신한_10월금통위 p.1(헤지비용 경로 근거). (3건)</w:t>
      </w:r>
    </w:p>
    <w:p>
      <w:pPr>
        <w:pStyle w:val="ListParagraph"/>
        <w:numPr>
          <w:ilvl w:val="0"/>
          <w:numId w:val="2"/>
        </w:numPr>
        <w:spacing w:after="40" w:before="40" w:line="276"/>
      </w:pPr>
      <w:r>
        <w:rPr>
          <w:rFonts w:ascii="맑은 고딕" w:cs="맑은 고딕" w:eastAsia="맑은 고딕" w:hAnsi="맑은 고딕"/>
          <w:b/>
          <w:bCs/>
          <w:color w:val="1E3A5F"/>
          <w:sz w:val="19"/>
          <w:szCs w:val="19"/>
        </w:rPr>
        <w:t xml:space="preserve">공백 </w:t>
      </w:r>
      <w:r>
        <w:rPr>
          <w:rFonts w:ascii="맑은 고딕" w:cs="맑은 고딕" w:eastAsia="맑은 고딕" w:hAnsi="맑은 고딕"/>
          <w:color w:val="1F2937"/>
          <w:sz w:val="19"/>
          <w:szCs w:val="19"/>
        </w:rPr>
        <w:t xml:space="preserve">하우스 뷰 부족(1곳: 신한투자증권); API 데이터 미수집(FRED): krw_usd.cross_check(ECOS vs FRED), usd_broad_index,…</w:t>
      </w:r>
    </w:p>
    <w:p>
      <w:pPr>
        <w:pStyle w:val="Heading2"/>
        <w:keepNext/>
        <w:pBdr>
          <w:bottom w:val="single" w:color="1E3A5F" w:sz="6" w:space="2"/>
        </w:pBdr>
        <w:spacing w:after="80" w:before="260"/>
      </w:pPr>
      <w:r>
        <w:rPr>
          <w:rFonts w:ascii="맑은 고딕" w:cs="맑은 고딕" w:eastAsia="맑은 고딕" w:hAnsi="맑은 고딕"/>
          <w:b/>
          <w:bCs/>
          <w:color w:val="1E3A5F"/>
          <w:sz w:val="23"/>
          <w:szCs w:val="23"/>
        </w:rPr>
        <w:t xml:space="preserve">2. 유가 (WTI, Brent)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00"/>
        <w:gridCol w:w="2200"/>
        <w:gridCol w:w="1700"/>
        <w:gridCol w:w="2138"/>
      </w:tblGrid>
      <w:tr>
        <w:trPr>
          <w:tblHeader/>
        </w:trPr>
        <w:tc>
          <w:tcPr>
            <w:tcW w:type="dxa" w:w="3600"/>
            <w:tcBorders>
              <w:top w:val="single" w:color="D1D5DB" w:sz="4"/>
              <w:left w:val="single" w:color="D1D5DB" w:sz="4"/>
              <w:bottom w:val="single" w:color="D1D5DB" w:sz="4"/>
              <w:right w:val="single" w:color="D1D5DB" w:sz="4"/>
            </w:tcBorders>
            <w:shd w:fill="E8EEF6" w:color="auto" w:val="clear"/>
            <w:tcMar>
              <w:top w:type="dxa" w:w="50"/>
              <w:left w:type="dxa" w:w="90"/>
              <w:bottom w:type="dxa" w:w="50"/>
              <w:right w:type="dxa" w:w="90"/>
            </w:tcMar>
          </w:tcPr>
          <w:p>
            <w:pPr>
              <w:spacing w:after="0" w:before="0" w:line="252"/>
            </w:pPr>
            <w:r>
              <w:rPr>
                <w:rFonts w:ascii="맑은 고딕" w:cs="맑은 고딕" w:eastAsia="맑은 고딕" w:hAnsi="맑은 고딕"/>
                <w:b/>
                <w:bCs/>
                <w:color w:val="1F2937"/>
                <w:sz w:val="17"/>
                <w:szCs w:val="17"/>
              </w:rPr>
              <w:t xml:space="preserve">지표</w:t>
            </w:r>
          </w:p>
        </w:tc>
        <w:tc>
          <w:tcPr>
            <w:tcW w:type="dxa" w:w="2200"/>
            <w:tcBorders>
              <w:top w:val="single" w:color="D1D5DB" w:sz="4"/>
              <w:left w:val="single" w:color="D1D5DB" w:sz="4"/>
              <w:bottom w:val="single" w:color="D1D5DB" w:sz="4"/>
              <w:right w:val="single" w:color="D1D5DB" w:sz="4"/>
            </w:tcBorders>
            <w:shd w:fill="E8EEF6" w:color="auto" w:val="clear"/>
            <w:tcMar>
              <w:top w:type="dxa" w:w="50"/>
              <w:left w:type="dxa" w:w="90"/>
              <w:bottom w:type="dxa" w:w="50"/>
              <w:right w:type="dxa" w:w="90"/>
            </w:tcMar>
          </w:tcPr>
          <w:p>
            <w:pPr>
              <w:spacing w:after="0" w:before="0" w:line="252"/>
            </w:pPr>
            <w:r>
              <w:rPr>
                <w:rFonts w:ascii="맑은 고딕" w:cs="맑은 고딕" w:eastAsia="맑은 고딕" w:hAnsi="맑은 고딕"/>
                <w:b/>
                <w:bCs/>
                <w:color w:val="1F2937"/>
                <w:sz w:val="17"/>
                <w:szCs w:val="17"/>
              </w:rPr>
              <w:t xml:space="preserve">값</w:t>
            </w:r>
          </w:p>
        </w:tc>
        <w:tc>
          <w:tcPr>
            <w:tcW w:type="dxa" w:w="1700"/>
            <w:tcBorders>
              <w:top w:val="single" w:color="D1D5DB" w:sz="4"/>
              <w:left w:val="single" w:color="D1D5DB" w:sz="4"/>
              <w:bottom w:val="single" w:color="D1D5DB" w:sz="4"/>
              <w:right w:val="single" w:color="D1D5DB" w:sz="4"/>
            </w:tcBorders>
            <w:shd w:fill="E8EEF6" w:color="auto" w:val="clear"/>
            <w:tcMar>
              <w:top w:type="dxa" w:w="50"/>
              <w:left w:type="dxa" w:w="90"/>
              <w:bottom w:type="dxa" w:w="50"/>
              <w:right w:type="dxa" w:w="90"/>
            </w:tcMar>
          </w:tcPr>
          <w:p>
            <w:pPr>
              <w:spacing w:after="0" w:before="0" w:line="252"/>
            </w:pPr>
            <w:r>
              <w:rPr>
                <w:rFonts w:ascii="맑은 고딕" w:cs="맑은 고딕" w:eastAsia="맑은 고딕" w:hAnsi="맑은 고딕"/>
                <w:b/>
                <w:bCs/>
                <w:color w:val="1F2937"/>
                <w:sz w:val="17"/>
                <w:szCs w:val="17"/>
              </w:rPr>
              <w:t xml:space="preserve">기준일</w:t>
            </w:r>
          </w:p>
        </w:tc>
        <w:tc>
          <w:tcPr>
            <w:tcW w:type="dxa" w:w="2138"/>
            <w:tcBorders>
              <w:top w:val="single" w:color="D1D5DB" w:sz="4"/>
              <w:left w:val="single" w:color="D1D5DB" w:sz="4"/>
              <w:bottom w:val="single" w:color="D1D5DB" w:sz="4"/>
              <w:right w:val="single" w:color="D1D5DB" w:sz="4"/>
            </w:tcBorders>
            <w:shd w:fill="E8EEF6" w:color="auto" w:val="clear"/>
            <w:tcMar>
              <w:top w:type="dxa" w:w="50"/>
              <w:left w:type="dxa" w:w="90"/>
              <w:bottom w:type="dxa" w:w="50"/>
              <w:right w:type="dxa" w:w="90"/>
            </w:tcMar>
          </w:tcPr>
          <w:p>
            <w:pPr>
              <w:spacing w:after="0" w:before="0" w:line="252"/>
            </w:pPr>
            <w:r>
              <w:rPr>
                <w:rFonts w:ascii="맑은 고딕" w:cs="맑은 고딕" w:eastAsia="맑은 고딕" w:hAnsi="맑은 고딕"/>
                <w:b/>
                <w:bCs/>
                <w:color w:val="1F2937"/>
                <w:sz w:val="17"/>
                <w:szCs w:val="17"/>
              </w:rPr>
              <w:t xml:space="preserve">출처 플래그</w:t>
            </w:r>
          </w:p>
        </w:tc>
      </w:tr>
      <w:tr>
        <w:trPr>
          <w:cantSplit/>
        </w:trPr>
        <w:tc>
          <w:tcPr>
            <w:tcW w:type="dxa" w:w="36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Brent 선물 종가(웹)</w:t>
            </w:r>
          </w:p>
        </w:tc>
        <w:tc>
          <w:tcPr>
            <w:tcW w:type="dxa" w:w="22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116.72 USD/bbl</w:t>
            </w:r>
          </w:p>
        </w:tc>
        <w:tc>
          <w:tcPr>
            <w:tcW w:type="dxa" w:w="17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2026-10-23</w:t>
            </w:r>
          </w:p>
        </w:tc>
        <w:tc>
          <w:tcPr>
            <w:tcW w:type="dxa" w:w="2138"/>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웹확인</w:t>
            </w:r>
          </w:p>
        </w:tc>
      </w:tr>
      <w:tr>
        <w:trPr>
          <w:cantSplit/>
        </w:trPr>
        <w:tc>
          <w:tcPr>
            <w:tcW w:type="dxa" w:w="36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WTI 선물 종가(웹)</w:t>
            </w:r>
          </w:p>
        </w:tc>
        <w:tc>
          <w:tcPr>
            <w:tcW w:type="dxa" w:w="22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103.27 USD/bbl</w:t>
            </w:r>
          </w:p>
        </w:tc>
        <w:tc>
          <w:tcPr>
            <w:tcW w:type="dxa" w:w="17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2026-10-23</w:t>
            </w:r>
          </w:p>
        </w:tc>
        <w:tc>
          <w:tcPr>
            <w:tcW w:type="dxa" w:w="2138"/>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웹확인</w:t>
            </w:r>
          </w:p>
        </w:tc>
      </w:tr>
      <w:tr>
        <w:trPr>
          <w:cantSplit/>
        </w:trPr>
        <w:tc>
          <w:tcPr>
            <w:tcW w:type="dxa" w:w="36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Dubai유(현물, 월평균)</w:t>
            </w:r>
          </w:p>
        </w:tc>
        <w:tc>
          <w:tcPr>
            <w:tcW w:type="dxa" w:w="22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111.83 달러/배럴</w:t>
            </w:r>
          </w:p>
        </w:tc>
        <w:tc>
          <w:tcPr>
            <w:tcW w:type="dxa" w:w="17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2026-09-30</w:t>
            </w:r>
          </w:p>
        </w:tc>
        <w:tc>
          <w:tcPr>
            <w:tcW w:type="dxa" w:w="2138"/>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수기</w:t>
            </w:r>
          </w:p>
        </w:tc>
      </w:tr>
      <w:tr>
        <w:trPr>
          <w:cantSplit/>
        </w:trPr>
        <w:tc>
          <w:tcPr>
            <w:tcW w:type="dxa" w:w="36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미국 상업용 원유재고(SPR 제외, 웹)</w:t>
            </w:r>
          </w:p>
        </w:tc>
        <w:tc>
          <w:tcPr>
            <w:tcW w:type="dxa" w:w="22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412.5 백만배럴</w:t>
            </w:r>
          </w:p>
        </w:tc>
        <w:tc>
          <w:tcPr>
            <w:tcW w:type="dxa" w:w="17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2026-10-16</w:t>
            </w:r>
          </w:p>
        </w:tc>
        <w:tc>
          <w:tcPr>
            <w:tcW w:type="dxa" w:w="2138"/>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웹확인 ⚠</w:t>
            </w:r>
          </w:p>
        </w:tc>
      </w:tr>
    </w:tbl>
    <w:p>
      <w:pPr>
        <w:pStyle w:val="ListParagraph"/>
        <w:numPr>
          <w:ilvl w:val="0"/>
          <w:numId w:val="2"/>
        </w:numPr>
        <w:spacing w:after="40" w:before="40" w:line="276"/>
      </w:pPr>
      <w:r>
        <w:rPr>
          <w:rFonts w:ascii="맑은 고딕" w:cs="맑은 고딕" w:eastAsia="맑은 고딕" w:hAnsi="맑은 고딕"/>
          <w:b/>
          <w:bCs/>
          <w:color w:val="1E3A5F"/>
          <w:sz w:val="19"/>
          <w:szCs w:val="19"/>
        </w:rPr>
        <w:t xml:space="preserve">현황 </w:t>
      </w:r>
      <w:r>
        <w:rPr>
          <w:rFonts w:ascii="맑은 고딕" w:cs="맑은 고딕" w:eastAsia="맑은 고딕" w:hAnsi="맑은 고딕"/>
          <w:color w:val="1F2937"/>
          <w:sz w:val="19"/>
          <w:szCs w:val="19"/>
        </w:rPr>
        <w:t xml:space="preserve">[사실] Brent 116.72달러·WTI 103.27달러(2026-10-23 종가, 웹확인·CNBC) — Brent 주간 +6.2%, 3주 연속 상승. Dubai유 9월 평균 111.83달러/배럴(2026-09-30, 수기).</w:t>
      </w:r>
    </w:p>
    <w:p>
      <w:pPr>
        <w:pStyle w:val="ListParagraph"/>
        <w:numPr>
          <w:ilvl w:val="0"/>
          <w:numId w:val="2"/>
        </w:numPr>
        <w:spacing w:after="40" w:before="40" w:line="276"/>
      </w:pPr>
      <w:r>
        <w:rPr>
          <w:rFonts w:ascii="맑은 고딕" w:cs="맑은 고딕" w:eastAsia="맑은 고딕" w:hAnsi="맑은 고딕"/>
          <w:b/>
          <w:bCs/>
          <w:color w:val="1E3A5F"/>
          <w:sz w:val="19"/>
          <w:szCs w:val="19"/>
        </w:rPr>
        <w:t xml:space="preserve">단기 </w:t>
      </w:r>
      <w:r>
        <w:rPr>
          <w:rFonts w:ascii="맑은 고딕" w:cs="맑은 고딕" w:eastAsia="맑은 고딕" w:hAnsi="맑은 고딕"/>
          <w:color w:val="1F2937"/>
          <w:sz w:val="19"/>
          <w:szCs w:val="19"/>
        </w:rPr>
        <w:t xml:space="preserve">[하우스] 신한투자증권은 중동 군사 긴장·해상운송 차질 위험이 가격을 받치는 하방 경직 국면으로 보되 협상 진전 시 위험 프리미엄 축소 가능성을 함께 제시(WTI 횡보, 20261023_신한_WeeklyGuideBook p.12), 지정학 불확실성을 유가·물가 상방 요… (확신도 낮음)</w:t>
      </w:r>
    </w:p>
    <w:p>
      <w:pPr>
        <w:pStyle w:val="ListParagraph"/>
        <w:numPr>
          <w:ilvl w:val="0"/>
          <w:numId w:val="2"/>
        </w:numPr>
        <w:spacing w:after="40" w:before="40" w:line="276"/>
      </w:pPr>
      <w:r>
        <w:rPr>
          <w:rFonts w:ascii="맑은 고딕" w:cs="맑은 고딕" w:eastAsia="맑은 고딕" w:hAnsi="맑은 고딕"/>
          <w:b/>
          <w:bCs/>
          <w:color w:val="1E3A5F"/>
          <w:sz w:val="19"/>
          <w:szCs w:val="19"/>
        </w:rPr>
        <w:t xml:space="preserve">장기 </w:t>
      </w:r>
      <w:r>
        <w:rPr>
          <w:rFonts w:ascii="맑은 고딕" w:cs="맑은 고딕" w:eastAsia="맑은 고딕" w:hAnsi="맑은 고딕"/>
          <w:color w:val="1F2937"/>
          <w:sz w:val="19"/>
          <w:szCs w:val="19"/>
        </w:rPr>
        <w:t xml:space="preserve">Base 0.5: [판단] 2027년 중 호르무즈 통행이 점진적으로 회복되고 OPEC+가 2027년 쿼터 재조정으로 공급을 늘리며 위험 프리미엄이 상당 부분 해소.  /  Bull 0.2: [판단] 조기 휴전·항로 정상화와 걸프 수출 완전 회복, OPEC+ 증산 경쟁·미국 셰일 증산이 겹쳐 공급 과잉 전환.  /  Bear 0.3: [판단] 미·이란 충돌 확대, 사우디 동서 파이프라인·홍해 우회로까지 차질이 장기화되며 구조적 공급 부족. 수입국 관점의 Bear(유가 상승)로 국내 물…</w:t>
      </w:r>
    </w:p>
    <w:p>
      <w:pPr>
        <w:pStyle w:val="ListParagraph"/>
        <w:numPr>
          <w:ilvl w:val="0"/>
          <w:numId w:val="2"/>
        </w:numPr>
        <w:spacing w:after="40" w:before="40" w:line="276"/>
      </w:pPr>
      <w:r>
        <w:rPr>
          <w:rFonts w:ascii="맑은 고딕" w:cs="맑은 고딕" w:eastAsia="맑은 고딕" w:hAnsi="맑은 고딕"/>
          <w:b/>
          <w:bCs/>
          <w:color w:val="1E3A5F"/>
          <w:sz w:val="19"/>
          <w:szCs w:val="19"/>
        </w:rPr>
        <w:t xml:space="preserve">하우스 </w:t>
      </w:r>
      <w:r>
        <w:rPr>
          <w:rFonts w:ascii="맑은 고딕" w:cs="맑은 고딕" w:eastAsia="맑은 고딕" w:hAnsi="맑은 고딕"/>
          <w:color w:val="1F2937"/>
          <w:sz w:val="19"/>
          <w:szCs w:val="19"/>
        </w:rPr>
        <w:t xml:space="preserve">[하우스] 신한투자증권(단일): 단기 WTI 횡보(하방 경직, 협상 진전 시 프리미엄 축소 가능, 확신 중간, 20261023_신한_WeeklyGuideBook p.12); 지정학 불확실성을 유가 상승·물가 상방 요인으로 부수 언급(유종 미특정, 확신 낮음, 20261023_신한_EconCheckup p.1). 목표가 없음. (2건)</w:t>
      </w:r>
    </w:p>
    <w:p>
      <w:pPr>
        <w:pStyle w:val="ListParagraph"/>
        <w:numPr>
          <w:ilvl w:val="0"/>
          <w:numId w:val="2"/>
        </w:numPr>
        <w:spacing w:after="40" w:before="40" w:line="276"/>
      </w:pPr>
      <w:r>
        <w:rPr>
          <w:rFonts w:ascii="맑은 고딕" w:cs="맑은 고딕" w:eastAsia="맑은 고딕" w:hAnsi="맑은 고딕"/>
          <w:b/>
          <w:bCs/>
          <w:color w:val="1E3A5F"/>
          <w:sz w:val="19"/>
          <w:szCs w:val="19"/>
        </w:rPr>
        <w:t xml:space="preserve">공백 </w:t>
      </w:r>
      <w:r>
        <w:rPr>
          <w:rFonts w:ascii="맑은 고딕" w:cs="맑은 고딕" w:eastAsia="맑은 고딕" w:hAnsi="맑은 고딕"/>
          <w:color w:val="1F2937"/>
          <w:sz w:val="19"/>
          <w:szCs w:val="19"/>
        </w:rPr>
        <w:t xml:space="preserve">하우스 뷰 부족(1곳: 신한투자증권); API 데이터 미수집(FRED/EIA): brent·wti·us_crude_stocks는 웹확인 값으로 대체</w:t>
      </w:r>
    </w:p>
    <w:p>
      <w:pPr>
        <w:pStyle w:val="Heading2"/>
        <w:keepNext/>
        <w:pBdr>
          <w:bottom w:val="single" w:color="1E3A5F" w:sz="6" w:space="2"/>
        </w:pBdr>
        <w:spacing w:after="80" w:before="260"/>
      </w:pPr>
      <w:r>
        <w:rPr>
          <w:rFonts w:ascii="맑은 고딕" w:cs="맑은 고딕" w:eastAsia="맑은 고딕" w:hAnsi="맑은 고딕"/>
          <w:b/>
          <w:bCs/>
          <w:color w:val="1E3A5F"/>
          <w:sz w:val="23"/>
          <w:szCs w:val="23"/>
        </w:rPr>
        <w:t xml:space="preserve">3. 한국 금리 (기준금리, 단기금리)</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00"/>
        <w:gridCol w:w="2200"/>
        <w:gridCol w:w="1700"/>
        <w:gridCol w:w="2138"/>
      </w:tblGrid>
      <w:tr>
        <w:trPr>
          <w:tblHeader/>
        </w:trPr>
        <w:tc>
          <w:tcPr>
            <w:tcW w:type="dxa" w:w="3600"/>
            <w:tcBorders>
              <w:top w:val="single" w:color="D1D5DB" w:sz="4"/>
              <w:left w:val="single" w:color="D1D5DB" w:sz="4"/>
              <w:bottom w:val="single" w:color="D1D5DB" w:sz="4"/>
              <w:right w:val="single" w:color="D1D5DB" w:sz="4"/>
            </w:tcBorders>
            <w:shd w:fill="E8EEF6" w:color="auto" w:val="clear"/>
            <w:tcMar>
              <w:top w:type="dxa" w:w="50"/>
              <w:left w:type="dxa" w:w="90"/>
              <w:bottom w:type="dxa" w:w="50"/>
              <w:right w:type="dxa" w:w="90"/>
            </w:tcMar>
          </w:tcPr>
          <w:p>
            <w:pPr>
              <w:spacing w:after="0" w:before="0" w:line="252"/>
            </w:pPr>
            <w:r>
              <w:rPr>
                <w:rFonts w:ascii="맑은 고딕" w:cs="맑은 고딕" w:eastAsia="맑은 고딕" w:hAnsi="맑은 고딕"/>
                <w:b/>
                <w:bCs/>
                <w:color w:val="1F2937"/>
                <w:sz w:val="17"/>
                <w:szCs w:val="17"/>
              </w:rPr>
              <w:t xml:space="preserve">지표</w:t>
            </w:r>
          </w:p>
        </w:tc>
        <w:tc>
          <w:tcPr>
            <w:tcW w:type="dxa" w:w="2200"/>
            <w:tcBorders>
              <w:top w:val="single" w:color="D1D5DB" w:sz="4"/>
              <w:left w:val="single" w:color="D1D5DB" w:sz="4"/>
              <w:bottom w:val="single" w:color="D1D5DB" w:sz="4"/>
              <w:right w:val="single" w:color="D1D5DB" w:sz="4"/>
            </w:tcBorders>
            <w:shd w:fill="E8EEF6" w:color="auto" w:val="clear"/>
            <w:tcMar>
              <w:top w:type="dxa" w:w="50"/>
              <w:left w:type="dxa" w:w="90"/>
              <w:bottom w:type="dxa" w:w="50"/>
              <w:right w:type="dxa" w:w="90"/>
            </w:tcMar>
          </w:tcPr>
          <w:p>
            <w:pPr>
              <w:spacing w:after="0" w:before="0" w:line="252"/>
            </w:pPr>
            <w:r>
              <w:rPr>
                <w:rFonts w:ascii="맑은 고딕" w:cs="맑은 고딕" w:eastAsia="맑은 고딕" w:hAnsi="맑은 고딕"/>
                <w:b/>
                <w:bCs/>
                <w:color w:val="1F2937"/>
                <w:sz w:val="17"/>
                <w:szCs w:val="17"/>
              </w:rPr>
              <w:t xml:space="preserve">값</w:t>
            </w:r>
          </w:p>
        </w:tc>
        <w:tc>
          <w:tcPr>
            <w:tcW w:type="dxa" w:w="1700"/>
            <w:tcBorders>
              <w:top w:val="single" w:color="D1D5DB" w:sz="4"/>
              <w:left w:val="single" w:color="D1D5DB" w:sz="4"/>
              <w:bottom w:val="single" w:color="D1D5DB" w:sz="4"/>
              <w:right w:val="single" w:color="D1D5DB" w:sz="4"/>
            </w:tcBorders>
            <w:shd w:fill="E8EEF6" w:color="auto" w:val="clear"/>
            <w:tcMar>
              <w:top w:type="dxa" w:w="50"/>
              <w:left w:type="dxa" w:w="90"/>
              <w:bottom w:type="dxa" w:w="50"/>
              <w:right w:type="dxa" w:w="90"/>
            </w:tcMar>
          </w:tcPr>
          <w:p>
            <w:pPr>
              <w:spacing w:after="0" w:before="0" w:line="252"/>
            </w:pPr>
            <w:r>
              <w:rPr>
                <w:rFonts w:ascii="맑은 고딕" w:cs="맑은 고딕" w:eastAsia="맑은 고딕" w:hAnsi="맑은 고딕"/>
                <w:b/>
                <w:bCs/>
                <w:color w:val="1F2937"/>
                <w:sz w:val="17"/>
                <w:szCs w:val="17"/>
              </w:rPr>
              <w:t xml:space="preserve">기준일</w:t>
            </w:r>
          </w:p>
        </w:tc>
        <w:tc>
          <w:tcPr>
            <w:tcW w:type="dxa" w:w="2138"/>
            <w:tcBorders>
              <w:top w:val="single" w:color="D1D5DB" w:sz="4"/>
              <w:left w:val="single" w:color="D1D5DB" w:sz="4"/>
              <w:bottom w:val="single" w:color="D1D5DB" w:sz="4"/>
              <w:right w:val="single" w:color="D1D5DB" w:sz="4"/>
            </w:tcBorders>
            <w:shd w:fill="E8EEF6" w:color="auto" w:val="clear"/>
            <w:tcMar>
              <w:top w:type="dxa" w:w="50"/>
              <w:left w:type="dxa" w:w="90"/>
              <w:bottom w:type="dxa" w:w="50"/>
              <w:right w:type="dxa" w:w="90"/>
            </w:tcMar>
          </w:tcPr>
          <w:p>
            <w:pPr>
              <w:spacing w:after="0" w:before="0" w:line="252"/>
            </w:pPr>
            <w:r>
              <w:rPr>
                <w:rFonts w:ascii="맑은 고딕" w:cs="맑은 고딕" w:eastAsia="맑은 고딕" w:hAnsi="맑은 고딕"/>
                <w:b/>
                <w:bCs/>
                <w:color w:val="1F2937"/>
                <w:sz w:val="17"/>
                <w:szCs w:val="17"/>
              </w:rPr>
              <w:t xml:space="preserve">출처 플래그</w:t>
            </w:r>
          </w:p>
        </w:tc>
      </w:tr>
      <w:tr>
        <w:trPr>
          <w:cantSplit/>
        </w:trPr>
        <w:tc>
          <w:tcPr>
            <w:tcW w:type="dxa" w:w="36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한국은행 기준금리</w:t>
            </w:r>
          </w:p>
        </w:tc>
        <w:tc>
          <w:tcPr>
            <w:tcW w:type="dxa" w:w="22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3 %</w:t>
            </w:r>
          </w:p>
        </w:tc>
        <w:tc>
          <w:tcPr>
            <w:tcW w:type="dxa" w:w="17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2026-10-22</w:t>
            </w:r>
          </w:p>
        </w:tc>
        <w:tc>
          <w:tcPr>
            <w:tcW w:type="dxa" w:w="2138"/>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수기</w:t>
            </w:r>
          </w:p>
        </w:tc>
      </w:tr>
      <w:tr>
        <w:trPr>
          <w:cantSplit/>
        </w:trPr>
        <w:tc>
          <w:tcPr>
            <w:tcW w:type="dxa" w:w="36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콜금리(1일, 전체거래)</w:t>
            </w:r>
          </w:p>
        </w:tc>
        <w:tc>
          <w:tcPr>
            <w:tcW w:type="dxa" w:w="22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3.032 %</w:t>
            </w:r>
          </w:p>
        </w:tc>
        <w:tc>
          <w:tcPr>
            <w:tcW w:type="dxa" w:w="17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2026-10-22</w:t>
            </w:r>
          </w:p>
        </w:tc>
        <w:tc>
          <w:tcPr>
            <w:tcW w:type="dxa" w:w="2138"/>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수기</w:t>
            </w:r>
          </w:p>
        </w:tc>
      </w:tr>
      <w:tr>
        <w:trPr>
          <w:cantSplit/>
        </w:trPr>
        <w:tc>
          <w:tcPr>
            <w:tcW w:type="dxa" w:w="36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CD 91일</w:t>
            </w:r>
          </w:p>
        </w:tc>
        <w:tc>
          <w:tcPr>
            <w:tcW w:type="dxa" w:w="22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3.26 %</w:t>
            </w:r>
          </w:p>
        </w:tc>
        <w:tc>
          <w:tcPr>
            <w:tcW w:type="dxa" w:w="17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2026-10-23</w:t>
            </w:r>
          </w:p>
        </w:tc>
        <w:tc>
          <w:tcPr>
            <w:tcW w:type="dxa" w:w="2138"/>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수기</w:t>
            </w:r>
          </w:p>
        </w:tc>
      </w:tr>
      <w:tr>
        <w:trPr>
          <w:cantSplit/>
        </w:trPr>
        <w:tc>
          <w:tcPr>
            <w:tcW w:type="dxa" w:w="36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KORIBOR(3개월)</w:t>
            </w:r>
          </w:p>
        </w:tc>
        <w:tc>
          <w:tcPr>
            <w:tcW w:type="dxa" w:w="22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3.39 %</w:t>
            </w:r>
          </w:p>
        </w:tc>
        <w:tc>
          <w:tcPr>
            <w:tcW w:type="dxa" w:w="17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2026-10-23</w:t>
            </w:r>
          </w:p>
        </w:tc>
        <w:tc>
          <w:tcPr>
            <w:tcW w:type="dxa" w:w="2138"/>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수기</w:t>
            </w:r>
          </w:p>
        </w:tc>
      </w:tr>
    </w:tbl>
    <w:p>
      <w:pPr>
        <w:pStyle w:val="ListParagraph"/>
        <w:numPr>
          <w:ilvl w:val="0"/>
          <w:numId w:val="2"/>
        </w:numPr>
        <w:spacing w:after="40" w:before="40" w:line="276"/>
      </w:pPr>
      <w:r>
        <w:rPr>
          <w:rFonts w:ascii="맑은 고딕" w:cs="맑은 고딕" w:eastAsia="맑은 고딕" w:hAnsi="맑은 고딕"/>
          <w:b/>
          <w:bCs/>
          <w:color w:val="1E3A5F"/>
          <w:sz w:val="19"/>
          <w:szCs w:val="19"/>
        </w:rPr>
        <w:t xml:space="preserve">현황 </w:t>
      </w:r>
      <w:r>
        <w:rPr>
          <w:rFonts w:ascii="맑은 고딕" w:cs="맑은 고딕" w:eastAsia="맑은 고딕" w:hAnsi="맑은 고딕"/>
          <w:color w:val="1F2937"/>
          <w:sz w:val="19"/>
          <w:szCs w:val="19"/>
        </w:rPr>
        <w:t xml:space="preserve">[사실] 기준금리 3.00%(2026-10-22, 수기) — 10/22 금통위 만장일치 동결, 7·8월 각 25bp 인상 후 숨 고르기.</w:t>
      </w:r>
    </w:p>
    <w:p>
      <w:pPr>
        <w:pStyle w:val="ListParagraph"/>
        <w:numPr>
          <w:ilvl w:val="0"/>
          <w:numId w:val="2"/>
        </w:numPr>
        <w:spacing w:after="40" w:before="40" w:line="276"/>
      </w:pPr>
      <w:r>
        <w:rPr>
          <w:rFonts w:ascii="맑은 고딕" w:cs="맑은 고딕" w:eastAsia="맑은 고딕" w:hAnsi="맑은 고딕"/>
          <w:b/>
          <w:bCs/>
          <w:color w:val="1E3A5F"/>
          <w:sz w:val="19"/>
          <w:szCs w:val="19"/>
        </w:rPr>
        <w:t xml:space="preserve">단기 </w:t>
      </w:r>
      <w:r>
        <w:rPr>
          <w:rFonts w:ascii="맑은 고딕" w:cs="맑은 고딕" w:eastAsia="맑은 고딕" w:hAnsi="맑은 고딕"/>
          <w:color w:val="1F2937"/>
          <w:sz w:val="19"/>
          <w:szCs w:val="19"/>
        </w:rPr>
        <w:t xml:space="preserve">[판단] 매파적 동결 후 11월 또는 2027년 1월 금통위에서 25bp 추가 인상 가능성이 높다. 성장(2Q 0.6% 서프라이즈)·물가(CPI 2.9%, PPI 7.7%)가 모두 인상을 지지하고, 9월 가계대출 순감은 금융안정 부담을 다소 덜어준다. (확신도 중간)</w:t>
      </w:r>
    </w:p>
    <w:p>
      <w:pPr>
        <w:pStyle w:val="ListParagraph"/>
        <w:numPr>
          <w:ilvl w:val="0"/>
          <w:numId w:val="2"/>
        </w:numPr>
        <w:spacing w:after="40" w:before="40" w:line="276"/>
      </w:pPr>
      <w:r>
        <w:rPr>
          <w:rFonts w:ascii="맑은 고딕" w:cs="맑은 고딕" w:eastAsia="맑은 고딕" w:hAnsi="맑은 고딕"/>
          <w:b/>
          <w:bCs/>
          <w:color w:val="1E3A5F"/>
          <w:sz w:val="19"/>
          <w:szCs w:val="19"/>
        </w:rPr>
        <w:t xml:space="preserve">장기 </w:t>
      </w:r>
      <w:r>
        <w:rPr>
          <w:rFonts w:ascii="맑은 고딕" w:cs="맑은 고딕" w:eastAsia="맑은 고딕" w:hAnsi="맑은 고딕"/>
          <w:color w:val="1F2937"/>
          <w:sz w:val="19"/>
          <w:szCs w:val="19"/>
        </w:rPr>
        <w:t xml:space="preserve">Base 0.55: [판단] 2027년 상반기까지 2회 추가 인상해 최종금리 3.50% 도달 후 장기 동결. [하우스] 신한투자증권 경로(20261022_신한_10월금통위…  /  Bull 0.2: [판단] 물가 둔화·소비 위축·글로벌 위험회피로 인상은 1회(3.25%)에서 종료되고 2028년 전후 인하 전환해 3.00% 이하로 복귀.  /  Bear 0.25: [판단] PPI 상승의 소비자물가 전가·원화 약세·수도권 집값 재과열로 인상이 3.75~4.00%까지 이어짐.</w:t>
      </w:r>
    </w:p>
    <w:p>
      <w:pPr>
        <w:pStyle w:val="ListParagraph"/>
        <w:numPr>
          <w:ilvl w:val="0"/>
          <w:numId w:val="2"/>
        </w:numPr>
        <w:spacing w:after="40" w:before="40" w:line="276"/>
      </w:pPr>
      <w:r>
        <w:rPr>
          <w:rFonts w:ascii="맑은 고딕" w:cs="맑은 고딕" w:eastAsia="맑은 고딕" w:hAnsi="맑은 고딕"/>
          <w:b/>
          <w:bCs/>
          <w:color w:val="1E3A5F"/>
          <w:sz w:val="19"/>
          <w:szCs w:val="19"/>
        </w:rPr>
        <w:t xml:space="preserve">하우스 </w:t>
      </w:r>
      <w:r>
        <w:rPr>
          <w:rFonts w:ascii="맑은 고딕" w:cs="맑은 고딕" w:eastAsia="맑은 고딕" w:hAnsi="맑은 고딕"/>
          <w:color w:val="1F2937"/>
          <w:sz w:val="19"/>
          <w:szCs w:val="19"/>
        </w:rPr>
        <w:t xml:space="preserve">[하우스] 신한투자증권(단일): 10월 동결은 7~8월 선제 인상 효과를 점검하는 매파적 동결이며, 2027년 상반기까지 2회 추가 인상해 최종 3.50%(확신 높음, 20261022_신한_10월금통위 p.1). 단기적으로도 3Q GDP 양호 시 인상 기대가 커질 것으로 봄(20261023_신한_EconCheckup p.1, 20261023_신한_WeeklyGuideBook p.2). (4건)</w:t>
      </w:r>
    </w:p>
    <w:p>
      <w:pPr>
        <w:pStyle w:val="ListParagraph"/>
        <w:numPr>
          <w:ilvl w:val="0"/>
          <w:numId w:val="2"/>
        </w:numPr>
        <w:spacing w:after="40" w:before="40" w:line="276"/>
      </w:pPr>
      <w:r>
        <w:rPr>
          <w:rFonts w:ascii="맑은 고딕" w:cs="맑은 고딕" w:eastAsia="맑은 고딕" w:hAnsi="맑은 고딕"/>
          <w:b/>
          <w:bCs/>
          <w:color w:val="1E3A5F"/>
          <w:sz w:val="19"/>
          <w:szCs w:val="19"/>
        </w:rPr>
        <w:t xml:space="preserve">공백 </w:t>
      </w:r>
      <w:r>
        <w:rPr>
          <w:rFonts w:ascii="맑은 고딕" w:cs="맑은 고딕" w:eastAsia="맑은 고딕" w:hAnsi="맑은 고딕"/>
          <w:color w:val="1F2937"/>
          <w:sz w:val="19"/>
          <w:szCs w:val="19"/>
        </w:rPr>
        <w:t xml:space="preserve">하우스 뷰 부족(1곳: 신한투자증권); 3Q GDP 속보치 미발표(미확인)</w:t>
      </w:r>
    </w:p>
    <w:p>
      <w:pPr>
        <w:pStyle w:val="Heading2"/>
        <w:keepNext/>
        <w:pBdr>
          <w:bottom w:val="single" w:color="1E3A5F" w:sz="6" w:space="2"/>
        </w:pBdr>
        <w:spacing w:after="80" w:before="260"/>
      </w:pPr>
      <w:r>
        <w:rPr>
          <w:rFonts w:ascii="맑은 고딕" w:cs="맑은 고딕" w:eastAsia="맑은 고딕" w:hAnsi="맑은 고딕"/>
          <w:b/>
          <w:bCs/>
          <w:color w:val="1E3A5F"/>
          <w:sz w:val="23"/>
          <w:szCs w:val="23"/>
        </w:rPr>
        <w:t xml:space="preserve">4. 한국 국채 (국고채 3·10·30년, 커브)</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00"/>
        <w:gridCol w:w="2200"/>
        <w:gridCol w:w="1700"/>
        <w:gridCol w:w="2138"/>
      </w:tblGrid>
      <w:tr>
        <w:trPr>
          <w:tblHeader/>
        </w:trPr>
        <w:tc>
          <w:tcPr>
            <w:tcW w:type="dxa" w:w="3600"/>
            <w:tcBorders>
              <w:top w:val="single" w:color="D1D5DB" w:sz="4"/>
              <w:left w:val="single" w:color="D1D5DB" w:sz="4"/>
              <w:bottom w:val="single" w:color="D1D5DB" w:sz="4"/>
              <w:right w:val="single" w:color="D1D5DB" w:sz="4"/>
            </w:tcBorders>
            <w:shd w:fill="E8EEF6" w:color="auto" w:val="clear"/>
            <w:tcMar>
              <w:top w:type="dxa" w:w="50"/>
              <w:left w:type="dxa" w:w="90"/>
              <w:bottom w:type="dxa" w:w="50"/>
              <w:right w:type="dxa" w:w="90"/>
            </w:tcMar>
          </w:tcPr>
          <w:p>
            <w:pPr>
              <w:spacing w:after="0" w:before="0" w:line="252"/>
            </w:pPr>
            <w:r>
              <w:rPr>
                <w:rFonts w:ascii="맑은 고딕" w:cs="맑은 고딕" w:eastAsia="맑은 고딕" w:hAnsi="맑은 고딕"/>
                <w:b/>
                <w:bCs/>
                <w:color w:val="1F2937"/>
                <w:sz w:val="17"/>
                <w:szCs w:val="17"/>
              </w:rPr>
              <w:t xml:space="preserve">지표</w:t>
            </w:r>
          </w:p>
        </w:tc>
        <w:tc>
          <w:tcPr>
            <w:tcW w:type="dxa" w:w="2200"/>
            <w:tcBorders>
              <w:top w:val="single" w:color="D1D5DB" w:sz="4"/>
              <w:left w:val="single" w:color="D1D5DB" w:sz="4"/>
              <w:bottom w:val="single" w:color="D1D5DB" w:sz="4"/>
              <w:right w:val="single" w:color="D1D5DB" w:sz="4"/>
            </w:tcBorders>
            <w:shd w:fill="E8EEF6" w:color="auto" w:val="clear"/>
            <w:tcMar>
              <w:top w:type="dxa" w:w="50"/>
              <w:left w:type="dxa" w:w="90"/>
              <w:bottom w:type="dxa" w:w="50"/>
              <w:right w:type="dxa" w:w="90"/>
            </w:tcMar>
          </w:tcPr>
          <w:p>
            <w:pPr>
              <w:spacing w:after="0" w:before="0" w:line="252"/>
            </w:pPr>
            <w:r>
              <w:rPr>
                <w:rFonts w:ascii="맑은 고딕" w:cs="맑은 고딕" w:eastAsia="맑은 고딕" w:hAnsi="맑은 고딕"/>
                <w:b/>
                <w:bCs/>
                <w:color w:val="1F2937"/>
                <w:sz w:val="17"/>
                <w:szCs w:val="17"/>
              </w:rPr>
              <w:t xml:space="preserve">값</w:t>
            </w:r>
          </w:p>
        </w:tc>
        <w:tc>
          <w:tcPr>
            <w:tcW w:type="dxa" w:w="1700"/>
            <w:tcBorders>
              <w:top w:val="single" w:color="D1D5DB" w:sz="4"/>
              <w:left w:val="single" w:color="D1D5DB" w:sz="4"/>
              <w:bottom w:val="single" w:color="D1D5DB" w:sz="4"/>
              <w:right w:val="single" w:color="D1D5DB" w:sz="4"/>
            </w:tcBorders>
            <w:shd w:fill="E8EEF6" w:color="auto" w:val="clear"/>
            <w:tcMar>
              <w:top w:type="dxa" w:w="50"/>
              <w:left w:type="dxa" w:w="90"/>
              <w:bottom w:type="dxa" w:w="50"/>
              <w:right w:type="dxa" w:w="90"/>
            </w:tcMar>
          </w:tcPr>
          <w:p>
            <w:pPr>
              <w:spacing w:after="0" w:before="0" w:line="252"/>
            </w:pPr>
            <w:r>
              <w:rPr>
                <w:rFonts w:ascii="맑은 고딕" w:cs="맑은 고딕" w:eastAsia="맑은 고딕" w:hAnsi="맑은 고딕"/>
                <w:b/>
                <w:bCs/>
                <w:color w:val="1F2937"/>
                <w:sz w:val="17"/>
                <w:szCs w:val="17"/>
              </w:rPr>
              <w:t xml:space="preserve">기준일</w:t>
            </w:r>
          </w:p>
        </w:tc>
        <w:tc>
          <w:tcPr>
            <w:tcW w:type="dxa" w:w="2138"/>
            <w:tcBorders>
              <w:top w:val="single" w:color="D1D5DB" w:sz="4"/>
              <w:left w:val="single" w:color="D1D5DB" w:sz="4"/>
              <w:bottom w:val="single" w:color="D1D5DB" w:sz="4"/>
              <w:right w:val="single" w:color="D1D5DB" w:sz="4"/>
            </w:tcBorders>
            <w:shd w:fill="E8EEF6" w:color="auto" w:val="clear"/>
            <w:tcMar>
              <w:top w:type="dxa" w:w="50"/>
              <w:left w:type="dxa" w:w="90"/>
              <w:bottom w:type="dxa" w:w="50"/>
              <w:right w:type="dxa" w:w="90"/>
            </w:tcMar>
          </w:tcPr>
          <w:p>
            <w:pPr>
              <w:spacing w:after="0" w:before="0" w:line="252"/>
            </w:pPr>
            <w:r>
              <w:rPr>
                <w:rFonts w:ascii="맑은 고딕" w:cs="맑은 고딕" w:eastAsia="맑은 고딕" w:hAnsi="맑은 고딕"/>
                <w:b/>
                <w:bCs/>
                <w:color w:val="1F2937"/>
                <w:sz w:val="17"/>
                <w:szCs w:val="17"/>
              </w:rPr>
              <w:t xml:space="preserve">출처 플래그</w:t>
            </w:r>
          </w:p>
        </w:tc>
      </w:tr>
      <w:tr>
        <w:trPr>
          <w:cantSplit/>
        </w:trPr>
        <w:tc>
          <w:tcPr>
            <w:tcW w:type="dxa" w:w="36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국고채 3년</w:t>
            </w:r>
          </w:p>
        </w:tc>
        <w:tc>
          <w:tcPr>
            <w:tcW w:type="dxa" w:w="22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3.803 %</w:t>
            </w:r>
          </w:p>
        </w:tc>
        <w:tc>
          <w:tcPr>
            <w:tcW w:type="dxa" w:w="17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2026-10-23</w:t>
            </w:r>
          </w:p>
        </w:tc>
        <w:tc>
          <w:tcPr>
            <w:tcW w:type="dxa" w:w="2138"/>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수기</w:t>
            </w:r>
          </w:p>
        </w:tc>
      </w:tr>
      <w:tr>
        <w:trPr>
          <w:cantSplit/>
        </w:trPr>
        <w:tc>
          <w:tcPr>
            <w:tcW w:type="dxa" w:w="36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국고채 10년</w:t>
            </w:r>
          </w:p>
        </w:tc>
        <w:tc>
          <w:tcPr>
            <w:tcW w:type="dxa" w:w="22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4.097 %</w:t>
            </w:r>
          </w:p>
        </w:tc>
        <w:tc>
          <w:tcPr>
            <w:tcW w:type="dxa" w:w="17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2026-10-23</w:t>
            </w:r>
          </w:p>
        </w:tc>
        <w:tc>
          <w:tcPr>
            <w:tcW w:type="dxa" w:w="2138"/>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웹확인</w:t>
            </w:r>
          </w:p>
        </w:tc>
      </w:tr>
      <w:tr>
        <w:trPr>
          <w:cantSplit/>
        </w:trPr>
        <w:tc>
          <w:tcPr>
            <w:tcW w:type="dxa" w:w="36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국고채 30년</w:t>
            </w:r>
          </w:p>
        </w:tc>
        <w:tc>
          <w:tcPr>
            <w:tcW w:type="dxa" w:w="22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4.189 %</w:t>
            </w:r>
          </w:p>
        </w:tc>
        <w:tc>
          <w:tcPr>
            <w:tcW w:type="dxa" w:w="17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2026-10-23</w:t>
            </w:r>
          </w:p>
        </w:tc>
        <w:tc>
          <w:tcPr>
            <w:tcW w:type="dxa" w:w="2138"/>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웹확인</w:t>
            </w:r>
          </w:p>
        </w:tc>
      </w:tr>
      <w:tr>
        <w:trPr>
          <w:cantSplit/>
        </w:trPr>
        <w:tc>
          <w:tcPr>
            <w:tcW w:type="dxa" w:w="36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국고채 5년</w:t>
            </w:r>
          </w:p>
        </w:tc>
        <w:tc>
          <w:tcPr>
            <w:tcW w:type="dxa" w:w="22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3.948 %</w:t>
            </w:r>
          </w:p>
        </w:tc>
        <w:tc>
          <w:tcPr>
            <w:tcW w:type="dxa" w:w="17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2026-10-23</w:t>
            </w:r>
          </w:p>
        </w:tc>
        <w:tc>
          <w:tcPr>
            <w:tcW w:type="dxa" w:w="2138"/>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수기</w:t>
            </w:r>
          </w:p>
        </w:tc>
      </w:tr>
    </w:tbl>
    <w:p>
      <w:pPr>
        <w:pStyle w:val="ListParagraph"/>
        <w:numPr>
          <w:ilvl w:val="0"/>
          <w:numId w:val="2"/>
        </w:numPr>
        <w:spacing w:after="40" w:before="40" w:line="276"/>
      </w:pPr>
      <w:r>
        <w:rPr>
          <w:rFonts w:ascii="맑은 고딕" w:cs="맑은 고딕" w:eastAsia="맑은 고딕" w:hAnsi="맑은 고딕"/>
          <w:b/>
          <w:bCs/>
          <w:color w:val="1E3A5F"/>
          <w:sz w:val="19"/>
          <w:szCs w:val="19"/>
        </w:rPr>
        <w:t xml:space="preserve">현황 </w:t>
      </w:r>
      <w:r>
        <w:rPr>
          <w:rFonts w:ascii="맑은 고딕" w:cs="맑은 고딕" w:eastAsia="맑은 고딕" w:hAnsi="맑은 고딕"/>
          <w:color w:val="1F2937"/>
          <w:sz w:val="19"/>
          <w:szCs w:val="19"/>
        </w:rPr>
        <w:t xml:space="preserve">[사실] 2026-10-23 마감 국고 3년 3.803%·5년 3.948%(수기), 10년 4.097%·30년 4.189%(웹확인, 이투데이).</w:t>
      </w:r>
    </w:p>
    <w:p>
      <w:pPr>
        <w:pStyle w:val="ListParagraph"/>
        <w:numPr>
          <w:ilvl w:val="0"/>
          <w:numId w:val="2"/>
        </w:numPr>
        <w:spacing w:after="40" w:before="40" w:line="276"/>
      </w:pPr>
      <w:r>
        <w:rPr>
          <w:rFonts w:ascii="맑은 고딕" w:cs="맑은 고딕" w:eastAsia="맑은 고딕" w:hAnsi="맑은 고딕"/>
          <w:b/>
          <w:bCs/>
          <w:color w:val="1E3A5F"/>
          <w:sz w:val="19"/>
          <w:szCs w:val="19"/>
        </w:rPr>
        <w:t xml:space="preserve">단기 </w:t>
      </w:r>
      <w:r>
        <w:rPr>
          <w:rFonts w:ascii="맑은 고딕" w:cs="맑은 고딕" w:eastAsia="맑은 고딕" w:hAnsi="맑은 고딕"/>
          <w:color w:val="1F2937"/>
          <w:sz w:val="19"/>
          <w:szCs w:val="19"/>
        </w:rPr>
        <w:t xml:space="preserve">[하우스] 신한투자증권은 9월 말 이후 강세가 상당 부분 가격에 반영돼 금리가 바닥을 다지는 국면이며, 차주 3년 3.70~3.85%·10년 4.00~4.15% 밴드에서 약보합(금리 소폭 상승) 예상(20261022_신한_10월금통위 p.1, 20261023_신한_We… (확신도 중간)</w:t>
      </w:r>
    </w:p>
    <w:p>
      <w:pPr>
        <w:pStyle w:val="ListParagraph"/>
        <w:numPr>
          <w:ilvl w:val="0"/>
          <w:numId w:val="2"/>
        </w:numPr>
        <w:spacing w:after="40" w:before="40" w:line="276"/>
      </w:pPr>
      <w:r>
        <w:rPr>
          <w:rFonts w:ascii="맑은 고딕" w:cs="맑은 고딕" w:eastAsia="맑은 고딕" w:hAnsi="맑은 고딕"/>
          <w:b/>
          <w:bCs/>
          <w:color w:val="1E3A5F"/>
          <w:sz w:val="19"/>
          <w:szCs w:val="19"/>
        </w:rPr>
        <w:t xml:space="preserve">장기 </w:t>
      </w:r>
      <w:r>
        <w:rPr>
          <w:rFonts w:ascii="맑은 고딕" w:cs="맑은 고딕" w:eastAsia="맑은 고딕" w:hAnsi="맑은 고딕"/>
          <w:color w:val="1F2937"/>
          <w:sz w:val="19"/>
          <w:szCs w:val="19"/>
        </w:rPr>
        <w:t xml:space="preserve">Base 0.55: [판단] 기준금리 3.50%에서 정점 후 동결. 3년물은 기반영분이 커 소폭 상승, 장기물은 공급 관리·보험사 ALM 수요로 상승 폭 제한 → 커브 플래…  /  Bull 0.2: [판단] 물가 둔화·성장 둔화로 인상 조기 종료 후 인하 전환, 미 금리 하락·외국인 WGBI 자금 재유입으로 전 구간 강세.  /  Bear 0.25: [판단] 인상이 3.75% 이상으로 연장되고 확장재정·국고채 발행 확대, 미 장기금리 재상승이 겹쳐 베어 스티프닝.</w:t>
      </w:r>
    </w:p>
    <w:p>
      <w:pPr>
        <w:pStyle w:val="ListParagraph"/>
        <w:numPr>
          <w:ilvl w:val="0"/>
          <w:numId w:val="2"/>
        </w:numPr>
        <w:spacing w:after="40" w:before="40" w:line="276"/>
      </w:pPr>
      <w:r>
        <w:rPr>
          <w:rFonts w:ascii="맑은 고딕" w:cs="맑은 고딕" w:eastAsia="맑은 고딕" w:hAnsi="맑은 고딕"/>
          <w:b/>
          <w:bCs/>
          <w:color w:val="1E3A5F"/>
          <w:sz w:val="19"/>
          <w:szCs w:val="19"/>
        </w:rPr>
        <w:t xml:space="preserve">하우스 </w:t>
      </w:r>
      <w:r>
        <w:rPr>
          <w:rFonts w:ascii="맑은 고딕" w:cs="맑은 고딕" w:eastAsia="맑은 고딕" w:hAnsi="맑은 고딕"/>
          <w:color w:val="1F2937"/>
          <w:sz w:val="19"/>
          <w:szCs w:val="19"/>
        </w:rPr>
        <w:t xml:space="preserve">[하우스] 신한투자증권(단일): 국고채는 강세 상당 부분 반영 후 바닥 다지기, 단기 약보합(금리 소폭 상승) — 주간 밴드 3년 3.70~3.85%, 10년 4.00~4.15%(20261023_신한_WeeklyGuideBook p.9). 3Q GDP·10월 CPI가 긴축 경계를 키울 수 있어 상방 위험에 무게(20261022_신한_10월금통위 p.1). (2건)</w:t>
      </w:r>
    </w:p>
    <w:p>
      <w:pPr>
        <w:pStyle w:val="ListParagraph"/>
        <w:numPr>
          <w:ilvl w:val="0"/>
          <w:numId w:val="2"/>
        </w:numPr>
        <w:spacing w:after="40" w:before="40" w:line="276"/>
      </w:pPr>
      <w:r>
        <w:rPr>
          <w:rFonts w:ascii="맑은 고딕" w:cs="맑은 고딕" w:eastAsia="맑은 고딕" w:hAnsi="맑은 고딕"/>
          <w:b/>
          <w:bCs/>
          <w:color w:val="1E3A5F"/>
          <w:sz w:val="19"/>
          <w:szCs w:val="19"/>
        </w:rPr>
        <w:t xml:space="preserve">공백 </w:t>
      </w:r>
      <w:r>
        <w:rPr>
          <w:rFonts w:ascii="맑은 고딕" w:cs="맑은 고딕" w:eastAsia="맑은 고딕" w:hAnsi="맑은 고딕"/>
          <w:color w:val="1F2937"/>
          <w:sz w:val="19"/>
          <w:szCs w:val="19"/>
        </w:rPr>
        <w:t xml:space="preserve">하우스 뷰 부족(1곳: 신한투자증권); ktb_10y·ktb_30y는 snapshot 미수집 → 웹확인(이투데이 2026-10-23 마감 보도), 금투협 원자료 대조…</w:t>
      </w:r>
    </w:p>
    <w:p>
      <w:pPr>
        <w:pStyle w:val="Heading2"/>
        <w:keepNext/>
        <w:pBdr>
          <w:bottom w:val="single" w:color="1E3A5F" w:sz="6" w:space="2"/>
        </w:pBdr>
        <w:spacing w:after="80" w:before="260"/>
      </w:pPr>
      <w:r>
        <w:rPr>
          <w:rFonts w:ascii="맑은 고딕" w:cs="맑은 고딕" w:eastAsia="맑은 고딕" w:hAnsi="맑은 고딕"/>
          <w:b/>
          <w:bCs/>
          <w:color w:val="1E3A5F"/>
          <w:sz w:val="23"/>
          <w:szCs w:val="23"/>
        </w:rPr>
        <w:t xml:space="preserve">5. 한국 회사채 (AA-, BBB-, 크레딧 스프레드)</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00"/>
        <w:gridCol w:w="2200"/>
        <w:gridCol w:w="1700"/>
        <w:gridCol w:w="2138"/>
      </w:tblGrid>
      <w:tr>
        <w:trPr>
          <w:tblHeader/>
        </w:trPr>
        <w:tc>
          <w:tcPr>
            <w:tcW w:type="dxa" w:w="3600"/>
            <w:tcBorders>
              <w:top w:val="single" w:color="D1D5DB" w:sz="4"/>
              <w:left w:val="single" w:color="D1D5DB" w:sz="4"/>
              <w:bottom w:val="single" w:color="D1D5DB" w:sz="4"/>
              <w:right w:val="single" w:color="D1D5DB" w:sz="4"/>
            </w:tcBorders>
            <w:shd w:fill="E8EEF6" w:color="auto" w:val="clear"/>
            <w:tcMar>
              <w:top w:type="dxa" w:w="50"/>
              <w:left w:type="dxa" w:w="90"/>
              <w:bottom w:type="dxa" w:w="50"/>
              <w:right w:type="dxa" w:w="90"/>
            </w:tcMar>
          </w:tcPr>
          <w:p>
            <w:pPr>
              <w:spacing w:after="0" w:before="0" w:line="252"/>
            </w:pPr>
            <w:r>
              <w:rPr>
                <w:rFonts w:ascii="맑은 고딕" w:cs="맑은 고딕" w:eastAsia="맑은 고딕" w:hAnsi="맑은 고딕"/>
                <w:b/>
                <w:bCs/>
                <w:color w:val="1F2937"/>
                <w:sz w:val="17"/>
                <w:szCs w:val="17"/>
              </w:rPr>
              <w:t xml:space="preserve">지표</w:t>
            </w:r>
          </w:p>
        </w:tc>
        <w:tc>
          <w:tcPr>
            <w:tcW w:type="dxa" w:w="2200"/>
            <w:tcBorders>
              <w:top w:val="single" w:color="D1D5DB" w:sz="4"/>
              <w:left w:val="single" w:color="D1D5DB" w:sz="4"/>
              <w:bottom w:val="single" w:color="D1D5DB" w:sz="4"/>
              <w:right w:val="single" w:color="D1D5DB" w:sz="4"/>
            </w:tcBorders>
            <w:shd w:fill="E8EEF6" w:color="auto" w:val="clear"/>
            <w:tcMar>
              <w:top w:type="dxa" w:w="50"/>
              <w:left w:type="dxa" w:w="90"/>
              <w:bottom w:type="dxa" w:w="50"/>
              <w:right w:type="dxa" w:w="90"/>
            </w:tcMar>
          </w:tcPr>
          <w:p>
            <w:pPr>
              <w:spacing w:after="0" w:before="0" w:line="252"/>
            </w:pPr>
            <w:r>
              <w:rPr>
                <w:rFonts w:ascii="맑은 고딕" w:cs="맑은 고딕" w:eastAsia="맑은 고딕" w:hAnsi="맑은 고딕"/>
                <w:b/>
                <w:bCs/>
                <w:color w:val="1F2937"/>
                <w:sz w:val="17"/>
                <w:szCs w:val="17"/>
              </w:rPr>
              <w:t xml:space="preserve">값</w:t>
            </w:r>
          </w:p>
        </w:tc>
        <w:tc>
          <w:tcPr>
            <w:tcW w:type="dxa" w:w="1700"/>
            <w:tcBorders>
              <w:top w:val="single" w:color="D1D5DB" w:sz="4"/>
              <w:left w:val="single" w:color="D1D5DB" w:sz="4"/>
              <w:bottom w:val="single" w:color="D1D5DB" w:sz="4"/>
              <w:right w:val="single" w:color="D1D5DB" w:sz="4"/>
            </w:tcBorders>
            <w:shd w:fill="E8EEF6" w:color="auto" w:val="clear"/>
            <w:tcMar>
              <w:top w:type="dxa" w:w="50"/>
              <w:left w:type="dxa" w:w="90"/>
              <w:bottom w:type="dxa" w:w="50"/>
              <w:right w:type="dxa" w:w="90"/>
            </w:tcMar>
          </w:tcPr>
          <w:p>
            <w:pPr>
              <w:spacing w:after="0" w:before="0" w:line="252"/>
            </w:pPr>
            <w:r>
              <w:rPr>
                <w:rFonts w:ascii="맑은 고딕" w:cs="맑은 고딕" w:eastAsia="맑은 고딕" w:hAnsi="맑은 고딕"/>
                <w:b/>
                <w:bCs/>
                <w:color w:val="1F2937"/>
                <w:sz w:val="17"/>
                <w:szCs w:val="17"/>
              </w:rPr>
              <w:t xml:space="preserve">기준일</w:t>
            </w:r>
          </w:p>
        </w:tc>
        <w:tc>
          <w:tcPr>
            <w:tcW w:type="dxa" w:w="2138"/>
            <w:tcBorders>
              <w:top w:val="single" w:color="D1D5DB" w:sz="4"/>
              <w:left w:val="single" w:color="D1D5DB" w:sz="4"/>
              <w:bottom w:val="single" w:color="D1D5DB" w:sz="4"/>
              <w:right w:val="single" w:color="D1D5DB" w:sz="4"/>
            </w:tcBorders>
            <w:shd w:fill="E8EEF6" w:color="auto" w:val="clear"/>
            <w:tcMar>
              <w:top w:type="dxa" w:w="50"/>
              <w:left w:type="dxa" w:w="90"/>
              <w:bottom w:type="dxa" w:w="50"/>
              <w:right w:type="dxa" w:w="90"/>
            </w:tcMar>
          </w:tcPr>
          <w:p>
            <w:pPr>
              <w:spacing w:after="0" w:before="0" w:line="252"/>
            </w:pPr>
            <w:r>
              <w:rPr>
                <w:rFonts w:ascii="맑은 고딕" w:cs="맑은 고딕" w:eastAsia="맑은 고딕" w:hAnsi="맑은 고딕"/>
                <w:b/>
                <w:bCs/>
                <w:color w:val="1F2937"/>
                <w:sz w:val="17"/>
                <w:szCs w:val="17"/>
              </w:rPr>
              <w:t xml:space="preserve">출처 플래그</w:t>
            </w:r>
          </w:p>
        </w:tc>
      </w:tr>
      <w:tr>
        <w:trPr>
          <w:cantSplit/>
        </w:trPr>
        <w:tc>
          <w:tcPr>
            <w:tcW w:type="dxa" w:w="36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회사채 3년 AA-</w:t>
            </w:r>
          </w:p>
        </w:tc>
        <w:tc>
          <w:tcPr>
            <w:tcW w:type="dxa" w:w="22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4.492 %</w:t>
            </w:r>
          </w:p>
        </w:tc>
        <w:tc>
          <w:tcPr>
            <w:tcW w:type="dxa" w:w="17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2026-10-23</w:t>
            </w:r>
          </w:p>
        </w:tc>
        <w:tc>
          <w:tcPr>
            <w:tcW w:type="dxa" w:w="2138"/>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수기</w:t>
            </w:r>
          </w:p>
        </w:tc>
      </w:tr>
      <w:tr>
        <w:trPr>
          <w:cantSplit/>
        </w:trPr>
        <w:tc>
          <w:tcPr>
            <w:tcW w:type="dxa" w:w="36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회사채 AA- − 국고채 3Y 스프레드</w:t>
            </w:r>
          </w:p>
        </w:tc>
        <w:tc>
          <w:tcPr>
            <w:tcW w:type="dxa" w:w="22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0.689 %p</w:t>
            </w:r>
          </w:p>
        </w:tc>
        <w:tc>
          <w:tcPr>
            <w:tcW w:type="dxa" w:w="17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2026-10-23</w:t>
            </w:r>
          </w:p>
        </w:tc>
        <w:tc>
          <w:tcPr>
            <w:tcW w:type="dxa" w:w="2138"/>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수기</w:t>
            </w:r>
          </w:p>
        </w:tc>
      </w:tr>
      <w:tr>
        <w:trPr>
          <w:cantSplit/>
        </w:trPr>
        <w:tc>
          <w:tcPr>
            <w:tcW w:type="dxa" w:w="36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국고채 3년</w:t>
            </w:r>
          </w:p>
        </w:tc>
        <w:tc>
          <w:tcPr>
            <w:tcW w:type="dxa" w:w="22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3.803 %</w:t>
            </w:r>
          </w:p>
        </w:tc>
        <w:tc>
          <w:tcPr>
            <w:tcW w:type="dxa" w:w="17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2026-10-23</w:t>
            </w:r>
          </w:p>
        </w:tc>
        <w:tc>
          <w:tcPr>
            <w:tcW w:type="dxa" w:w="2138"/>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수기</w:t>
            </w:r>
          </w:p>
        </w:tc>
      </w:tr>
      <w:tr>
        <w:trPr>
          <w:cantSplit/>
        </w:trPr>
        <w:tc>
          <w:tcPr>
            <w:tcW w:type="dxa" w:w="36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회사채 3년 BBB-</w:t>
            </w:r>
          </w:p>
        </w:tc>
        <w:tc>
          <w:tcPr>
            <w:tcW w:type="dxa" w:w="22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10.46 %</w:t>
            </w:r>
          </w:p>
        </w:tc>
        <w:tc>
          <w:tcPr>
            <w:tcW w:type="dxa" w:w="17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2026-10-08</w:t>
            </w:r>
          </w:p>
        </w:tc>
        <w:tc>
          <w:tcPr>
            <w:tcW w:type="dxa" w:w="2138"/>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웹확인 ⚠</w:t>
            </w:r>
          </w:p>
        </w:tc>
      </w:tr>
    </w:tbl>
    <w:p>
      <w:pPr>
        <w:pStyle w:val="ListParagraph"/>
        <w:numPr>
          <w:ilvl w:val="0"/>
          <w:numId w:val="2"/>
        </w:numPr>
        <w:spacing w:after="40" w:before="40" w:line="276"/>
      </w:pPr>
      <w:r>
        <w:rPr>
          <w:rFonts w:ascii="맑은 고딕" w:cs="맑은 고딕" w:eastAsia="맑은 고딕" w:hAnsi="맑은 고딕"/>
          <w:b/>
          <w:bCs/>
          <w:color w:val="1E3A5F"/>
          <w:sz w:val="19"/>
          <w:szCs w:val="19"/>
        </w:rPr>
        <w:t xml:space="preserve">현황 </w:t>
      </w:r>
      <w:r>
        <w:rPr>
          <w:rFonts w:ascii="맑은 고딕" w:cs="맑은 고딕" w:eastAsia="맑은 고딕" w:hAnsi="맑은 고딕"/>
          <w:color w:val="1F2937"/>
          <w:sz w:val="19"/>
          <w:szCs w:val="19"/>
        </w:rPr>
        <w:t xml:space="preserve">[사실] 회사채 AA- 3년 4.492%, AA- 스프레드 68.9bp(2026-10-23, 수기). 7월 중순 70.5bp(2024년 말 68.4bp 상회) 이후 고원 수준 유지.</w:t>
      </w:r>
    </w:p>
    <w:p>
      <w:pPr>
        <w:pStyle w:val="ListParagraph"/>
        <w:numPr>
          <w:ilvl w:val="0"/>
          <w:numId w:val="2"/>
        </w:numPr>
        <w:spacing w:after="40" w:before="40" w:line="276"/>
      </w:pPr>
      <w:r>
        <w:rPr>
          <w:rFonts w:ascii="맑은 고딕" w:cs="맑은 고딕" w:eastAsia="맑은 고딕" w:hAnsi="맑은 고딕"/>
          <w:b/>
          <w:bCs/>
          <w:color w:val="1E3A5F"/>
          <w:sz w:val="19"/>
          <w:szCs w:val="19"/>
        </w:rPr>
        <w:t xml:space="preserve">단기 </w:t>
      </w:r>
      <w:r>
        <w:rPr>
          <w:rFonts w:ascii="맑은 고딕" w:cs="맑은 고딕" w:eastAsia="맑은 고딕" w:hAnsi="맑은 고딕"/>
          <w:color w:val="1F2937"/>
          <w:sz w:val="19"/>
          <w:szCs w:val="19"/>
        </w:rPr>
        <w:t xml:space="preserve">[하우스] 신한투자증권은 발행 부담에도 캐리 수요가 꾸준해 AA- 스프레드 추가 확대보다 안정을 예상하고, 가계대출 순감·공적채권 발행 축소로 은행채 수급 부담 완화를 기대(20261020_신한_WeeklyCreditMonitor p.1-3, 20261023_신한_We… (확신도 중간)</w:t>
      </w:r>
    </w:p>
    <w:p>
      <w:pPr>
        <w:pStyle w:val="ListParagraph"/>
        <w:numPr>
          <w:ilvl w:val="0"/>
          <w:numId w:val="2"/>
        </w:numPr>
        <w:spacing w:after="40" w:before="40" w:line="276"/>
      </w:pPr>
      <w:r>
        <w:rPr>
          <w:rFonts w:ascii="맑은 고딕" w:cs="맑은 고딕" w:eastAsia="맑은 고딕" w:hAnsi="맑은 고딕"/>
          <w:b/>
          <w:bCs/>
          <w:color w:val="1E3A5F"/>
          <w:sz w:val="19"/>
          <w:szCs w:val="19"/>
        </w:rPr>
        <w:t xml:space="preserve">장기 </w:t>
      </w:r>
      <w:r>
        <w:rPr>
          <w:rFonts w:ascii="맑은 고딕" w:cs="맑은 고딕" w:eastAsia="맑은 고딕" w:hAnsi="맑은 고딕"/>
          <w:color w:val="1F2937"/>
          <w:sz w:val="19"/>
          <w:szCs w:val="19"/>
        </w:rPr>
        <w:t xml:space="preserve">Base 0.55: [판단] 기준금리 3.50% 정점 이후 금리 안정과 높은 절대금리에 대한 캐리 수요로 AA- 스프레드는 60bp대 초중반으로 소폭 축소, BBB-는 고금…  /  Bull 0.2: [판단] 인하 전환과 경기 연착륙으로 크레딧 전반 축소, PF 구조조정 마무리로 저등급 리스크 프리미엄 하락.  /  Bear 0.25: [판단] 인상 장기화(3.75% 이상)와 부동산 PF 부실 재부각·경기 둔화가 겹쳐 등급 하향과 미매각이 늘고 크레딧 전반 확대.</w:t>
      </w:r>
    </w:p>
    <w:p>
      <w:pPr>
        <w:pStyle w:val="ListParagraph"/>
        <w:numPr>
          <w:ilvl w:val="0"/>
          <w:numId w:val="2"/>
        </w:numPr>
        <w:spacing w:after="40" w:before="40" w:line="276"/>
      </w:pPr>
      <w:r>
        <w:rPr>
          <w:rFonts w:ascii="맑은 고딕" w:cs="맑은 고딕" w:eastAsia="맑은 고딕" w:hAnsi="맑은 고딕"/>
          <w:b/>
          <w:bCs/>
          <w:color w:val="1E3A5F"/>
          <w:sz w:val="19"/>
          <w:szCs w:val="19"/>
        </w:rPr>
        <w:t xml:space="preserve">하우스 </w:t>
      </w:r>
      <w:r>
        <w:rPr>
          <w:rFonts w:ascii="맑은 고딕" w:cs="맑은 고딕" w:eastAsia="맑은 고딕" w:hAnsi="맑은 고딕"/>
          <w:color w:val="1F2937"/>
          <w:sz w:val="19"/>
          <w:szCs w:val="19"/>
        </w:rPr>
        <w:t xml:space="preserve">[하우스] 신한투자증권(단일): AA- 스프레드는 직전 주 소폭 확대됐으나 캐리 수요가 꾸준해 추가 확대보다 안정(20261020_신한_WeeklyCreditMonitor p.2-3), 우량물 발행시장 수요 견조(p.9-10), 은행채는 가계대출 순감·공적채권 발행 축소로 수급 부담 완화 기대(확신 낮음, p.1; 20261023_신한_WeeklyGuideBook p.10). (2건)</w:t>
      </w:r>
    </w:p>
    <w:p>
      <w:pPr>
        <w:pStyle w:val="ListParagraph"/>
        <w:numPr>
          <w:ilvl w:val="0"/>
          <w:numId w:val="2"/>
        </w:numPr>
        <w:spacing w:after="40" w:before="40" w:line="276"/>
      </w:pPr>
      <w:r>
        <w:rPr>
          <w:rFonts w:ascii="맑은 고딕" w:cs="맑은 고딕" w:eastAsia="맑은 고딕" w:hAnsi="맑은 고딕"/>
          <w:b/>
          <w:bCs/>
          <w:color w:val="1E3A5F"/>
          <w:sz w:val="19"/>
          <w:szCs w:val="19"/>
        </w:rPr>
        <w:t xml:space="preserve">공백 </w:t>
      </w:r>
      <w:r>
        <w:rPr>
          <w:rFonts w:ascii="맑은 고딕" w:cs="맑은 고딕" w:eastAsia="맑은 고딕" w:hAnsi="맑은 고딕"/>
          <w:color w:val="1F2937"/>
          <w:sz w:val="19"/>
          <w:szCs w:val="19"/>
        </w:rPr>
        <w:t xml:space="preserve">하우스 뷰 부족(1곳: 신한투자증권); kr_corp_bbb_3y는 snapshot 미수집 → 웹확인값(한국경제 데이터센터, 2026-10-08) 사용, 17일 경과…</w:t>
      </w:r>
    </w:p>
    <w:p>
      <w:pPr>
        <w:pStyle w:val="Heading2"/>
        <w:keepNext/>
        <w:pBdr>
          <w:bottom w:val="single" w:color="1E3A5F" w:sz="6" w:space="2"/>
        </w:pBdr>
        <w:spacing w:after="80" w:before="260"/>
      </w:pPr>
      <w:r>
        <w:rPr>
          <w:rFonts w:ascii="맑은 고딕" w:cs="맑은 고딕" w:eastAsia="맑은 고딕" w:hAnsi="맑은 고딕"/>
          <w:b/>
          <w:bCs/>
          <w:color w:val="1E3A5F"/>
          <w:sz w:val="23"/>
          <w:szCs w:val="23"/>
        </w:rPr>
        <w:t xml:space="preserve">6. 미국 금리 (FFR, 정책 경로)</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00"/>
        <w:gridCol w:w="2200"/>
        <w:gridCol w:w="1700"/>
        <w:gridCol w:w="2138"/>
      </w:tblGrid>
      <w:tr>
        <w:trPr>
          <w:tblHeader/>
        </w:trPr>
        <w:tc>
          <w:tcPr>
            <w:tcW w:type="dxa" w:w="3600"/>
            <w:tcBorders>
              <w:top w:val="single" w:color="D1D5DB" w:sz="4"/>
              <w:left w:val="single" w:color="D1D5DB" w:sz="4"/>
              <w:bottom w:val="single" w:color="D1D5DB" w:sz="4"/>
              <w:right w:val="single" w:color="D1D5DB" w:sz="4"/>
            </w:tcBorders>
            <w:shd w:fill="E8EEF6" w:color="auto" w:val="clear"/>
            <w:tcMar>
              <w:top w:type="dxa" w:w="50"/>
              <w:left w:type="dxa" w:w="90"/>
              <w:bottom w:type="dxa" w:w="50"/>
              <w:right w:type="dxa" w:w="90"/>
            </w:tcMar>
          </w:tcPr>
          <w:p>
            <w:pPr>
              <w:spacing w:after="0" w:before="0" w:line="252"/>
            </w:pPr>
            <w:r>
              <w:rPr>
                <w:rFonts w:ascii="맑은 고딕" w:cs="맑은 고딕" w:eastAsia="맑은 고딕" w:hAnsi="맑은 고딕"/>
                <w:b/>
                <w:bCs/>
                <w:color w:val="1F2937"/>
                <w:sz w:val="17"/>
                <w:szCs w:val="17"/>
              </w:rPr>
              <w:t xml:space="preserve">지표</w:t>
            </w:r>
          </w:p>
        </w:tc>
        <w:tc>
          <w:tcPr>
            <w:tcW w:type="dxa" w:w="2200"/>
            <w:tcBorders>
              <w:top w:val="single" w:color="D1D5DB" w:sz="4"/>
              <w:left w:val="single" w:color="D1D5DB" w:sz="4"/>
              <w:bottom w:val="single" w:color="D1D5DB" w:sz="4"/>
              <w:right w:val="single" w:color="D1D5DB" w:sz="4"/>
            </w:tcBorders>
            <w:shd w:fill="E8EEF6" w:color="auto" w:val="clear"/>
            <w:tcMar>
              <w:top w:type="dxa" w:w="50"/>
              <w:left w:type="dxa" w:w="90"/>
              <w:bottom w:type="dxa" w:w="50"/>
              <w:right w:type="dxa" w:w="90"/>
            </w:tcMar>
          </w:tcPr>
          <w:p>
            <w:pPr>
              <w:spacing w:after="0" w:before="0" w:line="252"/>
            </w:pPr>
            <w:r>
              <w:rPr>
                <w:rFonts w:ascii="맑은 고딕" w:cs="맑은 고딕" w:eastAsia="맑은 고딕" w:hAnsi="맑은 고딕"/>
                <w:b/>
                <w:bCs/>
                <w:color w:val="1F2937"/>
                <w:sz w:val="17"/>
                <w:szCs w:val="17"/>
              </w:rPr>
              <w:t xml:space="preserve">값</w:t>
            </w:r>
          </w:p>
        </w:tc>
        <w:tc>
          <w:tcPr>
            <w:tcW w:type="dxa" w:w="1700"/>
            <w:tcBorders>
              <w:top w:val="single" w:color="D1D5DB" w:sz="4"/>
              <w:left w:val="single" w:color="D1D5DB" w:sz="4"/>
              <w:bottom w:val="single" w:color="D1D5DB" w:sz="4"/>
              <w:right w:val="single" w:color="D1D5DB" w:sz="4"/>
            </w:tcBorders>
            <w:shd w:fill="E8EEF6" w:color="auto" w:val="clear"/>
            <w:tcMar>
              <w:top w:type="dxa" w:w="50"/>
              <w:left w:type="dxa" w:w="90"/>
              <w:bottom w:type="dxa" w:w="50"/>
              <w:right w:type="dxa" w:w="90"/>
            </w:tcMar>
          </w:tcPr>
          <w:p>
            <w:pPr>
              <w:spacing w:after="0" w:before="0" w:line="252"/>
            </w:pPr>
            <w:r>
              <w:rPr>
                <w:rFonts w:ascii="맑은 고딕" w:cs="맑은 고딕" w:eastAsia="맑은 고딕" w:hAnsi="맑은 고딕"/>
                <w:b/>
                <w:bCs/>
                <w:color w:val="1F2937"/>
                <w:sz w:val="17"/>
                <w:szCs w:val="17"/>
              </w:rPr>
              <w:t xml:space="preserve">기준일</w:t>
            </w:r>
          </w:p>
        </w:tc>
        <w:tc>
          <w:tcPr>
            <w:tcW w:type="dxa" w:w="2138"/>
            <w:tcBorders>
              <w:top w:val="single" w:color="D1D5DB" w:sz="4"/>
              <w:left w:val="single" w:color="D1D5DB" w:sz="4"/>
              <w:bottom w:val="single" w:color="D1D5DB" w:sz="4"/>
              <w:right w:val="single" w:color="D1D5DB" w:sz="4"/>
            </w:tcBorders>
            <w:shd w:fill="E8EEF6" w:color="auto" w:val="clear"/>
            <w:tcMar>
              <w:top w:type="dxa" w:w="50"/>
              <w:left w:type="dxa" w:w="90"/>
              <w:bottom w:type="dxa" w:w="50"/>
              <w:right w:type="dxa" w:w="90"/>
            </w:tcMar>
          </w:tcPr>
          <w:p>
            <w:pPr>
              <w:spacing w:after="0" w:before="0" w:line="252"/>
            </w:pPr>
            <w:r>
              <w:rPr>
                <w:rFonts w:ascii="맑은 고딕" w:cs="맑은 고딕" w:eastAsia="맑은 고딕" w:hAnsi="맑은 고딕"/>
                <w:b/>
                <w:bCs/>
                <w:color w:val="1F2937"/>
                <w:sz w:val="17"/>
                <w:szCs w:val="17"/>
              </w:rPr>
              <w:t xml:space="preserve">출처 플래그</w:t>
            </w:r>
          </w:p>
        </w:tc>
      </w:tr>
      <w:tr>
        <w:trPr>
          <w:cantSplit/>
        </w:trPr>
        <w:tc>
          <w:tcPr>
            <w:tcW w:type="dxa" w:w="36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FFR 목표 상단</w:t>
            </w:r>
          </w:p>
        </w:tc>
        <w:tc>
          <w:tcPr>
            <w:tcW w:type="dxa" w:w="22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4 %</w:t>
            </w:r>
          </w:p>
        </w:tc>
        <w:tc>
          <w:tcPr>
            <w:tcW w:type="dxa" w:w="17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2026-09-16</w:t>
            </w:r>
          </w:p>
        </w:tc>
        <w:tc>
          <w:tcPr>
            <w:tcW w:type="dxa" w:w="2138"/>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웹확인</w:t>
            </w:r>
          </w:p>
        </w:tc>
      </w:tr>
      <w:tr>
        <w:trPr>
          <w:cantSplit/>
        </w:trPr>
        <w:tc>
          <w:tcPr>
            <w:tcW w:type="dxa" w:w="36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FFR 목표 하단</w:t>
            </w:r>
          </w:p>
        </w:tc>
        <w:tc>
          <w:tcPr>
            <w:tcW w:type="dxa" w:w="22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3.75 %</w:t>
            </w:r>
          </w:p>
        </w:tc>
        <w:tc>
          <w:tcPr>
            <w:tcW w:type="dxa" w:w="17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2026-09-16</w:t>
            </w:r>
          </w:p>
        </w:tc>
        <w:tc>
          <w:tcPr>
            <w:tcW w:type="dxa" w:w="2138"/>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웹확인</w:t>
            </w:r>
          </w:p>
        </w:tc>
      </w:tr>
      <w:tr>
        <w:trPr>
          <w:cantSplit/>
        </w:trPr>
        <w:tc>
          <w:tcPr>
            <w:tcW w:type="dxa" w:w="36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CPI 전년비 (2026년 9월분, 10/14 발표)</w:t>
            </w:r>
          </w:p>
        </w:tc>
        <w:tc>
          <w:tcPr>
            <w:tcW w:type="dxa" w:w="22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3.7 %</w:t>
            </w:r>
          </w:p>
        </w:tc>
        <w:tc>
          <w:tcPr>
            <w:tcW w:type="dxa" w:w="17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2026-09-30</w:t>
            </w:r>
          </w:p>
        </w:tc>
        <w:tc>
          <w:tcPr>
            <w:tcW w:type="dxa" w:w="2138"/>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웹확인 ⚠</w:t>
            </w:r>
          </w:p>
        </w:tc>
      </w:tr>
      <w:tr>
        <w:trPr>
          <w:cantSplit/>
        </w:trPr>
        <w:tc>
          <w:tcPr>
            <w:tcW w:type="dxa" w:w="36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Core CPI 전년비 (2026년 9월분)</w:t>
            </w:r>
          </w:p>
        </w:tc>
        <w:tc>
          <w:tcPr>
            <w:tcW w:type="dxa" w:w="22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2.6 %</w:t>
            </w:r>
          </w:p>
        </w:tc>
        <w:tc>
          <w:tcPr>
            <w:tcW w:type="dxa" w:w="17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2026-09-30</w:t>
            </w:r>
          </w:p>
        </w:tc>
        <w:tc>
          <w:tcPr>
            <w:tcW w:type="dxa" w:w="2138"/>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웹확인 ⚠</w:t>
            </w:r>
          </w:p>
        </w:tc>
      </w:tr>
    </w:tbl>
    <w:p>
      <w:pPr>
        <w:pStyle w:val="ListParagraph"/>
        <w:numPr>
          <w:ilvl w:val="0"/>
          <w:numId w:val="2"/>
        </w:numPr>
        <w:spacing w:after="40" w:before="40" w:line="276"/>
      </w:pPr>
      <w:r>
        <w:rPr>
          <w:rFonts w:ascii="맑은 고딕" w:cs="맑은 고딕" w:eastAsia="맑은 고딕" w:hAnsi="맑은 고딕"/>
          <w:b/>
          <w:bCs/>
          <w:color w:val="1E3A5F"/>
          <w:sz w:val="19"/>
          <w:szCs w:val="19"/>
        </w:rPr>
        <w:t xml:space="preserve">현황 </w:t>
      </w:r>
      <w:r>
        <w:rPr>
          <w:rFonts w:ascii="맑은 고딕" w:cs="맑은 고딕" w:eastAsia="맑은 고딕" w:hAnsi="맑은 고딕"/>
          <w:color w:val="1F2937"/>
          <w:sz w:val="19"/>
          <w:szCs w:val="19"/>
        </w:rPr>
        <w:t xml:space="preserve">[사실] API 데이터 미수집으로 모든 현황 수치는 웹확인 값이다. [사실] FOMC는 2026-09-16 만장일치(12-0)로 FFR 목표범위를 25bp 인상해 3.75~4.00%로 올렸다.</w:t>
      </w:r>
    </w:p>
    <w:p>
      <w:pPr>
        <w:pStyle w:val="ListParagraph"/>
        <w:numPr>
          <w:ilvl w:val="0"/>
          <w:numId w:val="2"/>
        </w:numPr>
        <w:spacing w:after="40" w:before="40" w:line="276"/>
      </w:pPr>
      <w:r>
        <w:rPr>
          <w:rFonts w:ascii="맑은 고딕" w:cs="맑은 고딕" w:eastAsia="맑은 고딕" w:hAnsi="맑은 고딕"/>
          <w:b/>
          <w:bCs/>
          <w:color w:val="1E3A5F"/>
          <w:sz w:val="19"/>
          <w:szCs w:val="19"/>
        </w:rPr>
        <w:t xml:space="preserve">단기 </w:t>
      </w:r>
      <w:r>
        <w:rPr>
          <w:rFonts w:ascii="맑은 고딕" w:cs="맑은 고딕" w:eastAsia="맑은 고딕" w:hAnsi="맑은 고딕"/>
          <w:color w:val="1F2937"/>
          <w:sz w:val="19"/>
          <w:szCs w:val="19"/>
        </w:rPr>
        <w:t xml:space="preserve">[판단] 10월 FOMC는 동결, 12월 또는 2027년 1분기에 25bp 추가 인상(상단 4.25%) 후 동결을 기본으로 본다. [사실] SEP 중간값(2026년 말 4.1%)이 같은 방향이다. (확신도 중간)</w:t>
      </w:r>
    </w:p>
    <w:p>
      <w:pPr>
        <w:pStyle w:val="ListParagraph"/>
        <w:numPr>
          <w:ilvl w:val="0"/>
          <w:numId w:val="2"/>
        </w:numPr>
        <w:spacing w:after="40" w:before="40" w:line="276"/>
      </w:pPr>
      <w:r>
        <w:rPr>
          <w:rFonts w:ascii="맑은 고딕" w:cs="맑은 고딕" w:eastAsia="맑은 고딕" w:hAnsi="맑은 고딕"/>
          <w:b/>
          <w:bCs/>
          <w:color w:val="1E3A5F"/>
          <w:sz w:val="19"/>
          <w:szCs w:val="19"/>
        </w:rPr>
        <w:t xml:space="preserve">장기 </w:t>
      </w:r>
      <w:r>
        <w:rPr>
          <w:rFonts w:ascii="맑은 고딕" w:cs="맑은 고딕" w:eastAsia="맑은 고딕" w:hAnsi="맑은 고딕"/>
          <w:color w:val="1F2937"/>
          <w:sz w:val="19"/>
          <w:szCs w:val="19"/>
        </w:rPr>
        <w:t xml:space="preserve">Base 0.5: [판단] 2026년 말~2027년 1분기 상단 4.25%에서 정점, 2027년 동결 후 2028년 소폭 인하해 상단 4.00% 내외(SEP 2028년 3…  /  Bull 0.25: [판단] 유가 진정과 고용 악화로 물가가 빠르게 둔화, 2027년 중 인하 사이클 전환해 상단 3.00% 내외.  /  Bear 0.25: [판단] 에너지 충격이 기대인플레이션·Core로 전이되어 25bp 3회 추가 인상, 상단 4.75%에서 장기 유지.</w:t>
      </w:r>
    </w:p>
    <w:p>
      <w:pPr>
        <w:pStyle w:val="ListParagraph"/>
        <w:numPr>
          <w:ilvl w:val="0"/>
          <w:numId w:val="2"/>
        </w:numPr>
        <w:spacing w:after="40" w:before="40" w:line="276"/>
      </w:pPr>
      <w:r>
        <w:rPr>
          <w:rFonts w:ascii="맑은 고딕" w:cs="맑은 고딕" w:eastAsia="맑은 고딕" w:hAnsi="맑은 고딕"/>
          <w:b/>
          <w:bCs/>
          <w:color w:val="1E3A5F"/>
          <w:sz w:val="19"/>
          <w:szCs w:val="19"/>
        </w:rPr>
        <w:t xml:space="preserve">하우스 </w:t>
      </w:r>
      <w:r>
        <w:rPr>
          <w:rFonts w:ascii="맑은 고딕" w:cs="맑은 고딕" w:eastAsia="맑은 고딕" w:hAnsi="맑은 고딕"/>
          <w:color w:val="1F2937"/>
          <w:sz w:val="19"/>
          <w:szCs w:val="19"/>
        </w:rPr>
        <w:t xml:space="preserve">[하우스] 신한투자증권 단독: 10월 FOMC 매파적 동결(확신 높음, 20261023_신한_WeeklyGuideBook p.3; 확신 중간, 20261023_신한_EconCheckup p.1), 추가 인상 옵션 유지(확신 낮음, 시점 미확정). (2건)</w:t>
      </w:r>
    </w:p>
    <w:p>
      <w:pPr>
        <w:pStyle w:val="ListParagraph"/>
        <w:numPr>
          <w:ilvl w:val="0"/>
          <w:numId w:val="2"/>
        </w:numPr>
        <w:spacing w:after="40" w:before="40" w:line="276"/>
      </w:pPr>
      <w:r>
        <w:rPr>
          <w:rFonts w:ascii="맑은 고딕" w:cs="맑은 고딕" w:eastAsia="맑은 고딕" w:hAnsi="맑은 고딕"/>
          <w:b/>
          <w:bCs/>
          <w:color w:val="1E3A5F"/>
          <w:sz w:val="19"/>
          <w:szCs w:val="19"/>
        </w:rPr>
        <w:t xml:space="preserve">공백 </w:t>
      </w:r>
      <w:r>
        <w:rPr>
          <w:rFonts w:ascii="맑은 고딕" w:cs="맑은 고딕" w:eastAsia="맑은 고딕" w:hAnsi="맑은 고딕"/>
          <w:color w:val="1F2937"/>
          <w:sz w:val="19"/>
          <w:szCs w:val="19"/>
        </w:rPr>
        <w:t xml:space="preserve">API 데이터 미수집 (FRED API 차단으로 latest_snapshot.json에 미국 시계열 없음) — 모든 현황 수치…; 하우스 뷰 부족(1곳: 신한투자증권)</w:t>
      </w:r>
    </w:p>
    <w:p>
      <w:pPr>
        <w:pStyle w:val="Heading2"/>
        <w:keepNext/>
        <w:pBdr>
          <w:bottom w:val="single" w:color="1E3A5F" w:sz="6" w:space="2"/>
        </w:pBdr>
        <w:spacing w:after="80" w:before="260"/>
      </w:pPr>
      <w:r>
        <w:rPr>
          <w:rFonts w:ascii="맑은 고딕" w:cs="맑은 고딕" w:eastAsia="맑은 고딕" w:hAnsi="맑은 고딕"/>
          <w:b/>
          <w:bCs/>
          <w:color w:val="1E3A5F"/>
          <w:sz w:val="23"/>
          <w:szCs w:val="23"/>
        </w:rPr>
        <w:t xml:space="preserve">7. 미국 국채 (UST 2·10·30년, 커브, BEI)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00"/>
        <w:gridCol w:w="2200"/>
        <w:gridCol w:w="1700"/>
        <w:gridCol w:w="2138"/>
      </w:tblGrid>
      <w:tr>
        <w:trPr>
          <w:tblHeader/>
        </w:trPr>
        <w:tc>
          <w:tcPr>
            <w:tcW w:type="dxa" w:w="3600"/>
            <w:tcBorders>
              <w:top w:val="single" w:color="D1D5DB" w:sz="4"/>
              <w:left w:val="single" w:color="D1D5DB" w:sz="4"/>
              <w:bottom w:val="single" w:color="D1D5DB" w:sz="4"/>
              <w:right w:val="single" w:color="D1D5DB" w:sz="4"/>
            </w:tcBorders>
            <w:shd w:fill="E8EEF6" w:color="auto" w:val="clear"/>
            <w:tcMar>
              <w:top w:type="dxa" w:w="50"/>
              <w:left w:type="dxa" w:w="90"/>
              <w:bottom w:type="dxa" w:w="50"/>
              <w:right w:type="dxa" w:w="90"/>
            </w:tcMar>
          </w:tcPr>
          <w:p>
            <w:pPr>
              <w:spacing w:after="0" w:before="0" w:line="252"/>
            </w:pPr>
            <w:r>
              <w:rPr>
                <w:rFonts w:ascii="맑은 고딕" w:cs="맑은 고딕" w:eastAsia="맑은 고딕" w:hAnsi="맑은 고딕"/>
                <w:b/>
                <w:bCs/>
                <w:color w:val="1F2937"/>
                <w:sz w:val="17"/>
                <w:szCs w:val="17"/>
              </w:rPr>
              <w:t xml:space="preserve">지표</w:t>
            </w:r>
          </w:p>
        </w:tc>
        <w:tc>
          <w:tcPr>
            <w:tcW w:type="dxa" w:w="2200"/>
            <w:tcBorders>
              <w:top w:val="single" w:color="D1D5DB" w:sz="4"/>
              <w:left w:val="single" w:color="D1D5DB" w:sz="4"/>
              <w:bottom w:val="single" w:color="D1D5DB" w:sz="4"/>
              <w:right w:val="single" w:color="D1D5DB" w:sz="4"/>
            </w:tcBorders>
            <w:shd w:fill="E8EEF6" w:color="auto" w:val="clear"/>
            <w:tcMar>
              <w:top w:type="dxa" w:w="50"/>
              <w:left w:type="dxa" w:w="90"/>
              <w:bottom w:type="dxa" w:w="50"/>
              <w:right w:type="dxa" w:w="90"/>
            </w:tcMar>
          </w:tcPr>
          <w:p>
            <w:pPr>
              <w:spacing w:after="0" w:before="0" w:line="252"/>
            </w:pPr>
            <w:r>
              <w:rPr>
                <w:rFonts w:ascii="맑은 고딕" w:cs="맑은 고딕" w:eastAsia="맑은 고딕" w:hAnsi="맑은 고딕"/>
                <w:b/>
                <w:bCs/>
                <w:color w:val="1F2937"/>
                <w:sz w:val="17"/>
                <w:szCs w:val="17"/>
              </w:rPr>
              <w:t xml:space="preserve">값</w:t>
            </w:r>
          </w:p>
        </w:tc>
        <w:tc>
          <w:tcPr>
            <w:tcW w:type="dxa" w:w="1700"/>
            <w:tcBorders>
              <w:top w:val="single" w:color="D1D5DB" w:sz="4"/>
              <w:left w:val="single" w:color="D1D5DB" w:sz="4"/>
              <w:bottom w:val="single" w:color="D1D5DB" w:sz="4"/>
              <w:right w:val="single" w:color="D1D5DB" w:sz="4"/>
            </w:tcBorders>
            <w:shd w:fill="E8EEF6" w:color="auto" w:val="clear"/>
            <w:tcMar>
              <w:top w:type="dxa" w:w="50"/>
              <w:left w:type="dxa" w:w="90"/>
              <w:bottom w:type="dxa" w:w="50"/>
              <w:right w:type="dxa" w:w="90"/>
            </w:tcMar>
          </w:tcPr>
          <w:p>
            <w:pPr>
              <w:spacing w:after="0" w:before="0" w:line="252"/>
            </w:pPr>
            <w:r>
              <w:rPr>
                <w:rFonts w:ascii="맑은 고딕" w:cs="맑은 고딕" w:eastAsia="맑은 고딕" w:hAnsi="맑은 고딕"/>
                <w:b/>
                <w:bCs/>
                <w:color w:val="1F2937"/>
                <w:sz w:val="17"/>
                <w:szCs w:val="17"/>
              </w:rPr>
              <w:t xml:space="preserve">기준일</w:t>
            </w:r>
          </w:p>
        </w:tc>
        <w:tc>
          <w:tcPr>
            <w:tcW w:type="dxa" w:w="2138"/>
            <w:tcBorders>
              <w:top w:val="single" w:color="D1D5DB" w:sz="4"/>
              <w:left w:val="single" w:color="D1D5DB" w:sz="4"/>
              <w:bottom w:val="single" w:color="D1D5DB" w:sz="4"/>
              <w:right w:val="single" w:color="D1D5DB" w:sz="4"/>
            </w:tcBorders>
            <w:shd w:fill="E8EEF6" w:color="auto" w:val="clear"/>
            <w:tcMar>
              <w:top w:type="dxa" w:w="50"/>
              <w:left w:type="dxa" w:w="90"/>
              <w:bottom w:type="dxa" w:w="50"/>
              <w:right w:type="dxa" w:w="90"/>
            </w:tcMar>
          </w:tcPr>
          <w:p>
            <w:pPr>
              <w:spacing w:after="0" w:before="0" w:line="252"/>
            </w:pPr>
            <w:r>
              <w:rPr>
                <w:rFonts w:ascii="맑은 고딕" w:cs="맑은 고딕" w:eastAsia="맑은 고딕" w:hAnsi="맑은 고딕"/>
                <w:b/>
                <w:bCs/>
                <w:color w:val="1F2937"/>
                <w:sz w:val="17"/>
                <w:szCs w:val="17"/>
              </w:rPr>
              <w:t xml:space="preserve">출처 플래그</w:t>
            </w:r>
          </w:p>
        </w:tc>
      </w:tr>
      <w:tr>
        <w:trPr>
          <w:cantSplit/>
        </w:trPr>
        <w:tc>
          <w:tcPr>
            <w:tcW w:type="dxa" w:w="36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UST 10년 (재무부 par yield)</w:t>
            </w:r>
          </w:p>
        </w:tc>
        <w:tc>
          <w:tcPr>
            <w:tcW w:type="dxa" w:w="22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5 %</w:t>
            </w:r>
          </w:p>
        </w:tc>
        <w:tc>
          <w:tcPr>
            <w:tcW w:type="dxa" w:w="17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2026-10-23</w:t>
            </w:r>
          </w:p>
        </w:tc>
        <w:tc>
          <w:tcPr>
            <w:tcW w:type="dxa" w:w="2138"/>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웹확인</w:t>
            </w:r>
          </w:p>
        </w:tc>
      </w:tr>
      <w:tr>
        <w:trPr>
          <w:cantSplit/>
        </w:trPr>
        <w:tc>
          <w:tcPr>
            <w:tcW w:type="dxa" w:w="36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UST 2년 (재무부 par yield)</w:t>
            </w:r>
          </w:p>
        </w:tc>
        <w:tc>
          <w:tcPr>
            <w:tcW w:type="dxa" w:w="22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4.69 %</w:t>
            </w:r>
          </w:p>
        </w:tc>
        <w:tc>
          <w:tcPr>
            <w:tcW w:type="dxa" w:w="17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2026-10-23</w:t>
            </w:r>
          </w:p>
        </w:tc>
        <w:tc>
          <w:tcPr>
            <w:tcW w:type="dxa" w:w="2138"/>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웹확인</w:t>
            </w:r>
          </w:p>
        </w:tc>
      </w:tr>
      <w:tr>
        <w:trPr>
          <w:cantSplit/>
        </w:trPr>
        <w:tc>
          <w:tcPr>
            <w:tcW w:type="dxa" w:w="36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UST 30년 (재무부 par yield)</w:t>
            </w:r>
          </w:p>
        </w:tc>
        <w:tc>
          <w:tcPr>
            <w:tcW w:type="dxa" w:w="22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5.33 %</w:t>
            </w:r>
          </w:p>
        </w:tc>
        <w:tc>
          <w:tcPr>
            <w:tcW w:type="dxa" w:w="17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2026-10-23</w:t>
            </w:r>
          </w:p>
        </w:tc>
        <w:tc>
          <w:tcPr>
            <w:tcW w:type="dxa" w:w="2138"/>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웹확인</w:t>
            </w:r>
          </w:p>
        </w:tc>
      </w:tr>
      <w:tr>
        <w:trPr>
          <w:cantSplit/>
        </w:trPr>
        <w:tc>
          <w:tcPr>
            <w:tcW w:type="dxa" w:w="36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UST 10Y-2Y (파생: 10Y−2Y)</w:t>
            </w:r>
          </w:p>
        </w:tc>
        <w:tc>
          <w:tcPr>
            <w:tcW w:type="dxa" w:w="22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0.31 %p</w:t>
            </w:r>
          </w:p>
        </w:tc>
        <w:tc>
          <w:tcPr>
            <w:tcW w:type="dxa" w:w="17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2026-10-23</w:t>
            </w:r>
          </w:p>
        </w:tc>
        <w:tc>
          <w:tcPr>
            <w:tcW w:type="dxa" w:w="2138"/>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웹확인</w:t>
            </w:r>
          </w:p>
        </w:tc>
      </w:tr>
    </w:tbl>
    <w:p>
      <w:pPr>
        <w:pStyle w:val="ListParagraph"/>
        <w:numPr>
          <w:ilvl w:val="0"/>
          <w:numId w:val="2"/>
        </w:numPr>
        <w:spacing w:after="40" w:before="40" w:line="276"/>
      </w:pPr>
      <w:r>
        <w:rPr>
          <w:rFonts w:ascii="맑은 고딕" w:cs="맑은 고딕" w:eastAsia="맑은 고딕" w:hAnsi="맑은 고딕"/>
          <w:b/>
          <w:bCs/>
          <w:color w:val="1E3A5F"/>
          <w:sz w:val="19"/>
          <w:szCs w:val="19"/>
        </w:rPr>
        <w:t xml:space="preserve">현황 </w:t>
      </w:r>
      <w:r>
        <w:rPr>
          <w:rFonts w:ascii="맑은 고딕" w:cs="맑은 고딕" w:eastAsia="맑은 고딕" w:hAnsi="맑은 고딕"/>
          <w:color w:val="1F2937"/>
          <w:sz w:val="19"/>
          <w:szCs w:val="19"/>
        </w:rPr>
        <w:t xml:space="preserve">[사실] API 데이터 미수집으로 모든 현황 수치는 웹확인 값이다. [사실] 2026-10-23 재무부 par yield 기준 UST 2Y 4.69%, 10Y 5.00%, 30Y 5.33%, 10Y-2Y 0.31%p(파생값과 FRED T10Y2Y 일치).</w:t>
      </w:r>
    </w:p>
    <w:p>
      <w:pPr>
        <w:pStyle w:val="ListParagraph"/>
        <w:numPr>
          <w:ilvl w:val="0"/>
          <w:numId w:val="2"/>
        </w:numPr>
        <w:spacing w:after="40" w:before="40" w:line="276"/>
      </w:pPr>
      <w:r>
        <w:rPr>
          <w:rFonts w:ascii="맑은 고딕" w:cs="맑은 고딕" w:eastAsia="맑은 고딕" w:hAnsi="맑은 고딕"/>
          <w:b/>
          <w:bCs/>
          <w:color w:val="1E3A5F"/>
          <w:sz w:val="19"/>
          <w:szCs w:val="19"/>
        </w:rPr>
        <w:t xml:space="preserve">단기 </w:t>
      </w:r>
      <w:r>
        <w:rPr>
          <w:rFonts w:ascii="맑은 고딕" w:cs="맑은 고딕" w:eastAsia="맑은 고딕" w:hAnsi="맑은 고딕"/>
          <w:color w:val="1F2937"/>
          <w:sz w:val="19"/>
          <w:szCs w:val="19"/>
        </w:rPr>
        <w:t xml:space="preserve">[판단] 연준 추가 인상 1회(상단 4.25%) 기본 경로에서 2Y는 소폭 상승, 10Y·30Y는 5.0~5.2% 박스권을 예상한다. (확신도 중간)</w:t>
      </w:r>
    </w:p>
    <w:p>
      <w:pPr>
        <w:pStyle w:val="ListParagraph"/>
        <w:numPr>
          <w:ilvl w:val="0"/>
          <w:numId w:val="2"/>
        </w:numPr>
        <w:spacing w:after="40" w:before="40" w:line="276"/>
      </w:pPr>
      <w:r>
        <w:rPr>
          <w:rFonts w:ascii="맑은 고딕" w:cs="맑은 고딕" w:eastAsia="맑은 고딕" w:hAnsi="맑은 고딕"/>
          <w:b/>
          <w:bCs/>
          <w:color w:val="1E3A5F"/>
          <w:sz w:val="19"/>
          <w:szCs w:val="19"/>
        </w:rPr>
        <w:t xml:space="preserve">장기 </w:t>
      </w:r>
      <w:r>
        <w:rPr>
          <w:rFonts w:ascii="맑은 고딕" w:cs="맑은 고딕" w:eastAsia="맑은 고딕" w:hAnsi="맑은 고딕"/>
          <w:color w:val="1F2937"/>
          <w:sz w:val="19"/>
          <w:szCs w:val="19"/>
        </w:rPr>
        <w:t xml:space="preserve">Base 0.5: [판단] FFR 정점 4.25% 후 4.00% 복귀(us_rate Base 0bp)에 맞춰 2Y가 정책금리 수준으로 수렴, 장기물은 재정 term pre…  /  Bull 0.25: [판단] FFR 상단 3.00%까지 인하(us_rate Bull -100bp), 고용 악화·물가 둔화로 커브 강한 불 스티프닝.  /  Bear 0.25: [판단] FFR 상단 4.75%(us_rate Bear +75bp), 기대인플레이션 상승과 재정 우려로 장기물 동반 상승(10Y 5.5%, 30Y 5.9…</w:t>
      </w:r>
    </w:p>
    <w:p>
      <w:pPr>
        <w:pStyle w:val="ListParagraph"/>
        <w:numPr>
          <w:ilvl w:val="0"/>
          <w:numId w:val="2"/>
        </w:numPr>
        <w:spacing w:after="40" w:before="40" w:line="276"/>
      </w:pPr>
      <w:r>
        <w:rPr>
          <w:rFonts w:ascii="맑은 고딕" w:cs="맑은 고딕" w:eastAsia="맑은 고딕" w:hAnsi="맑은 고딕"/>
          <w:b/>
          <w:bCs/>
          <w:color w:val="1E3A5F"/>
          <w:sz w:val="19"/>
          <w:szCs w:val="19"/>
        </w:rPr>
        <w:t xml:space="preserve">하우스 </w:t>
      </w:r>
      <w:r>
        <w:rPr>
          <w:rFonts w:ascii="맑은 고딕" w:cs="맑은 고딕" w:eastAsia="맑은 고딕" w:hAnsi="맑은 고딕"/>
          <w:color w:val="1F2937"/>
          <w:sz w:val="19"/>
          <w:szCs w:val="19"/>
        </w:rPr>
        <w:t xml:space="preserve">[하우스] 신한투자증권 단독: 차주 UST10Y 4.90~5.15% 밴드, 약보합(금리 소폭 상승 쪽), 확신 중간(20261023_신한_WeeklyGuideBook p.8). (1건)</w:t>
      </w:r>
    </w:p>
    <w:p>
      <w:pPr>
        <w:pStyle w:val="ListParagraph"/>
        <w:numPr>
          <w:ilvl w:val="0"/>
          <w:numId w:val="2"/>
        </w:numPr>
        <w:spacing w:after="40" w:before="40" w:line="276"/>
      </w:pPr>
      <w:r>
        <w:rPr>
          <w:rFonts w:ascii="맑은 고딕" w:cs="맑은 고딕" w:eastAsia="맑은 고딕" w:hAnsi="맑은 고딕"/>
          <w:b/>
          <w:bCs/>
          <w:color w:val="1E3A5F"/>
          <w:sz w:val="19"/>
          <w:szCs w:val="19"/>
        </w:rPr>
        <w:t xml:space="preserve">공백 </w:t>
      </w:r>
      <w:r>
        <w:rPr>
          <w:rFonts w:ascii="맑은 고딕" w:cs="맑은 고딕" w:eastAsia="맑은 고딕" w:hAnsi="맑은 고딕"/>
          <w:color w:val="1F2937"/>
          <w:sz w:val="19"/>
          <w:szCs w:val="19"/>
        </w:rPr>
        <w:t xml:space="preserve">API 데이터 미수집 (FRED API 차단으로 latest_snapshot.json에 미국 시계열 없음) — 모든 현황 수치…; 하우스 뷰 부족(1곳: 신한투자증권)</w:t>
      </w:r>
    </w:p>
    <w:p>
      <w:pPr>
        <w:pStyle w:val="Heading2"/>
        <w:keepNext/>
        <w:pBdr>
          <w:bottom w:val="single" w:color="1E3A5F" w:sz="6" w:space="2"/>
        </w:pBdr>
        <w:spacing w:after="80" w:before="260"/>
      </w:pPr>
      <w:r>
        <w:rPr>
          <w:rFonts w:ascii="맑은 고딕" w:cs="맑은 고딕" w:eastAsia="맑은 고딕" w:hAnsi="맑은 고딕"/>
          <w:b/>
          <w:bCs/>
          <w:color w:val="1E3A5F"/>
          <w:sz w:val="23"/>
          <w:szCs w:val="23"/>
        </w:rPr>
        <w:t xml:space="preserve">8. 미국 회사채 (IG·HY OAS)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00"/>
        <w:gridCol w:w="2200"/>
        <w:gridCol w:w="1700"/>
        <w:gridCol w:w="2138"/>
      </w:tblGrid>
      <w:tr>
        <w:trPr>
          <w:tblHeader/>
        </w:trPr>
        <w:tc>
          <w:tcPr>
            <w:tcW w:type="dxa" w:w="3600"/>
            <w:tcBorders>
              <w:top w:val="single" w:color="D1D5DB" w:sz="4"/>
              <w:left w:val="single" w:color="D1D5DB" w:sz="4"/>
              <w:bottom w:val="single" w:color="D1D5DB" w:sz="4"/>
              <w:right w:val="single" w:color="D1D5DB" w:sz="4"/>
            </w:tcBorders>
            <w:shd w:fill="E8EEF6" w:color="auto" w:val="clear"/>
            <w:tcMar>
              <w:top w:type="dxa" w:w="50"/>
              <w:left w:type="dxa" w:w="90"/>
              <w:bottom w:type="dxa" w:w="50"/>
              <w:right w:type="dxa" w:w="90"/>
            </w:tcMar>
          </w:tcPr>
          <w:p>
            <w:pPr>
              <w:spacing w:after="0" w:before="0" w:line="252"/>
            </w:pPr>
            <w:r>
              <w:rPr>
                <w:rFonts w:ascii="맑은 고딕" w:cs="맑은 고딕" w:eastAsia="맑은 고딕" w:hAnsi="맑은 고딕"/>
                <w:b/>
                <w:bCs/>
                <w:color w:val="1F2937"/>
                <w:sz w:val="17"/>
                <w:szCs w:val="17"/>
              </w:rPr>
              <w:t xml:space="preserve">지표</w:t>
            </w:r>
          </w:p>
        </w:tc>
        <w:tc>
          <w:tcPr>
            <w:tcW w:type="dxa" w:w="2200"/>
            <w:tcBorders>
              <w:top w:val="single" w:color="D1D5DB" w:sz="4"/>
              <w:left w:val="single" w:color="D1D5DB" w:sz="4"/>
              <w:bottom w:val="single" w:color="D1D5DB" w:sz="4"/>
              <w:right w:val="single" w:color="D1D5DB" w:sz="4"/>
            </w:tcBorders>
            <w:shd w:fill="E8EEF6" w:color="auto" w:val="clear"/>
            <w:tcMar>
              <w:top w:type="dxa" w:w="50"/>
              <w:left w:type="dxa" w:w="90"/>
              <w:bottom w:type="dxa" w:w="50"/>
              <w:right w:type="dxa" w:w="90"/>
            </w:tcMar>
          </w:tcPr>
          <w:p>
            <w:pPr>
              <w:spacing w:after="0" w:before="0" w:line="252"/>
            </w:pPr>
            <w:r>
              <w:rPr>
                <w:rFonts w:ascii="맑은 고딕" w:cs="맑은 고딕" w:eastAsia="맑은 고딕" w:hAnsi="맑은 고딕"/>
                <w:b/>
                <w:bCs/>
                <w:color w:val="1F2937"/>
                <w:sz w:val="17"/>
                <w:szCs w:val="17"/>
              </w:rPr>
              <w:t xml:space="preserve">값</w:t>
            </w:r>
          </w:p>
        </w:tc>
        <w:tc>
          <w:tcPr>
            <w:tcW w:type="dxa" w:w="1700"/>
            <w:tcBorders>
              <w:top w:val="single" w:color="D1D5DB" w:sz="4"/>
              <w:left w:val="single" w:color="D1D5DB" w:sz="4"/>
              <w:bottom w:val="single" w:color="D1D5DB" w:sz="4"/>
              <w:right w:val="single" w:color="D1D5DB" w:sz="4"/>
            </w:tcBorders>
            <w:shd w:fill="E8EEF6" w:color="auto" w:val="clear"/>
            <w:tcMar>
              <w:top w:type="dxa" w:w="50"/>
              <w:left w:type="dxa" w:w="90"/>
              <w:bottom w:type="dxa" w:w="50"/>
              <w:right w:type="dxa" w:w="90"/>
            </w:tcMar>
          </w:tcPr>
          <w:p>
            <w:pPr>
              <w:spacing w:after="0" w:before="0" w:line="252"/>
            </w:pPr>
            <w:r>
              <w:rPr>
                <w:rFonts w:ascii="맑은 고딕" w:cs="맑은 고딕" w:eastAsia="맑은 고딕" w:hAnsi="맑은 고딕"/>
                <w:b/>
                <w:bCs/>
                <w:color w:val="1F2937"/>
                <w:sz w:val="17"/>
                <w:szCs w:val="17"/>
              </w:rPr>
              <w:t xml:space="preserve">기준일</w:t>
            </w:r>
          </w:p>
        </w:tc>
        <w:tc>
          <w:tcPr>
            <w:tcW w:type="dxa" w:w="2138"/>
            <w:tcBorders>
              <w:top w:val="single" w:color="D1D5DB" w:sz="4"/>
              <w:left w:val="single" w:color="D1D5DB" w:sz="4"/>
              <w:bottom w:val="single" w:color="D1D5DB" w:sz="4"/>
              <w:right w:val="single" w:color="D1D5DB" w:sz="4"/>
            </w:tcBorders>
            <w:shd w:fill="E8EEF6" w:color="auto" w:val="clear"/>
            <w:tcMar>
              <w:top w:type="dxa" w:w="50"/>
              <w:left w:type="dxa" w:w="90"/>
              <w:bottom w:type="dxa" w:w="50"/>
              <w:right w:type="dxa" w:w="90"/>
            </w:tcMar>
          </w:tcPr>
          <w:p>
            <w:pPr>
              <w:spacing w:after="0" w:before="0" w:line="252"/>
            </w:pPr>
            <w:r>
              <w:rPr>
                <w:rFonts w:ascii="맑은 고딕" w:cs="맑은 고딕" w:eastAsia="맑은 고딕" w:hAnsi="맑은 고딕"/>
                <w:b/>
                <w:bCs/>
                <w:color w:val="1F2937"/>
                <w:sz w:val="17"/>
                <w:szCs w:val="17"/>
              </w:rPr>
              <w:t xml:space="preserve">출처 플래그</w:t>
            </w:r>
          </w:p>
        </w:tc>
      </w:tr>
      <w:tr>
        <w:trPr>
          <w:cantSplit/>
        </w:trPr>
        <w:tc>
          <w:tcPr>
            <w:tcW w:type="dxa" w:w="36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ICE BofA US IG OAS</w:t>
            </w:r>
          </w:p>
        </w:tc>
        <w:tc>
          <w:tcPr>
            <w:tcW w:type="dxa" w:w="22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0.89 %</w:t>
            </w:r>
          </w:p>
        </w:tc>
        <w:tc>
          <w:tcPr>
            <w:tcW w:type="dxa" w:w="17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2026-10-22</w:t>
            </w:r>
          </w:p>
        </w:tc>
        <w:tc>
          <w:tcPr>
            <w:tcW w:type="dxa" w:w="2138"/>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웹확인</w:t>
            </w:r>
          </w:p>
        </w:tc>
      </w:tr>
      <w:tr>
        <w:trPr>
          <w:cantSplit/>
        </w:trPr>
        <w:tc>
          <w:tcPr>
            <w:tcW w:type="dxa" w:w="36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ICE BofA US HY OAS</w:t>
            </w:r>
          </w:p>
        </w:tc>
        <w:tc>
          <w:tcPr>
            <w:tcW w:type="dxa" w:w="22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3.4 %</w:t>
            </w:r>
          </w:p>
        </w:tc>
        <w:tc>
          <w:tcPr>
            <w:tcW w:type="dxa" w:w="17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2026-10-22</w:t>
            </w:r>
          </w:p>
        </w:tc>
        <w:tc>
          <w:tcPr>
            <w:tcW w:type="dxa" w:w="2138"/>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웹확인</w:t>
            </w:r>
          </w:p>
        </w:tc>
      </w:tr>
      <w:tr>
        <w:trPr>
          <w:cantSplit/>
        </w:trPr>
        <w:tc>
          <w:tcPr>
            <w:tcW w:type="dxa" w:w="36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Moody's 미국 투기등급 부도율(LTM, 8월)</w:t>
            </w:r>
          </w:p>
        </w:tc>
        <w:tc>
          <w:tcPr>
            <w:tcW w:type="dxa" w:w="22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5.3 %</w:t>
            </w:r>
          </w:p>
        </w:tc>
        <w:tc>
          <w:tcPr>
            <w:tcW w:type="dxa" w:w="17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2026-08-31</w:t>
            </w:r>
          </w:p>
        </w:tc>
        <w:tc>
          <w:tcPr>
            <w:tcW w:type="dxa" w:w="2138"/>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웹확인 ⚠</w:t>
            </w:r>
          </w:p>
        </w:tc>
      </w:tr>
    </w:tbl>
    <w:p>
      <w:pPr>
        <w:pStyle w:val="ListParagraph"/>
        <w:numPr>
          <w:ilvl w:val="0"/>
          <w:numId w:val="2"/>
        </w:numPr>
        <w:spacing w:after="40" w:before="40" w:line="276"/>
      </w:pPr>
      <w:r>
        <w:rPr>
          <w:rFonts w:ascii="맑은 고딕" w:cs="맑은 고딕" w:eastAsia="맑은 고딕" w:hAnsi="맑은 고딕"/>
          <w:b/>
          <w:bCs/>
          <w:color w:val="1E3A5F"/>
          <w:sz w:val="19"/>
          <w:szCs w:val="19"/>
        </w:rPr>
        <w:t xml:space="preserve">현황 </w:t>
      </w:r>
      <w:r>
        <w:rPr>
          <w:rFonts w:ascii="맑은 고딕" w:cs="맑은 고딕" w:eastAsia="맑은 고딕" w:hAnsi="맑은 고딕"/>
          <w:color w:val="1F2937"/>
          <w:sz w:val="19"/>
          <w:szCs w:val="19"/>
        </w:rPr>
        <w:t xml:space="preserve">[사실] API 데이터 미수집으로 모든 현황 수치는 웹확인 값이다. [사실] FRED 기준 IG OAS 0.89%(2026-10-22, 10/16 0.85%에서 확대), HY OAS 3.40%(2026-10-22, 10/21 3.27%에서 확대).</w:t>
      </w:r>
    </w:p>
    <w:p>
      <w:pPr>
        <w:pStyle w:val="ListParagraph"/>
        <w:numPr>
          <w:ilvl w:val="0"/>
          <w:numId w:val="2"/>
        </w:numPr>
        <w:spacing w:after="40" w:before="40" w:line="276"/>
      </w:pPr>
      <w:r>
        <w:rPr>
          <w:rFonts w:ascii="맑은 고딕" w:cs="맑은 고딕" w:eastAsia="맑은 고딕" w:hAnsi="맑은 고딕"/>
          <w:b/>
          <w:bCs/>
          <w:color w:val="1E3A5F"/>
          <w:sz w:val="19"/>
          <w:szCs w:val="19"/>
        </w:rPr>
        <w:t xml:space="preserve">단기 </w:t>
      </w:r>
      <w:r>
        <w:rPr>
          <w:rFonts w:ascii="맑은 고딕" w:cs="맑은 고딕" w:eastAsia="맑은 고딕" w:hAnsi="맑은 고딕"/>
          <w:color w:val="1F2937"/>
          <w:sz w:val="19"/>
          <w:szCs w:val="19"/>
        </w:rPr>
        <w:t xml:space="preserve">[판단] IG는 AI 인프라 발행 부담과 섹터 리스크 재평가로 +10bp, HY는 고용 둔화·부도율 상승으로 +40bp 확대를 예상한다. (확신도 낮음)</w:t>
      </w:r>
    </w:p>
    <w:p>
      <w:pPr>
        <w:pStyle w:val="ListParagraph"/>
        <w:numPr>
          <w:ilvl w:val="0"/>
          <w:numId w:val="2"/>
        </w:numPr>
        <w:spacing w:after="40" w:before="40" w:line="276"/>
      </w:pPr>
      <w:r>
        <w:rPr>
          <w:rFonts w:ascii="맑은 고딕" w:cs="맑은 고딕" w:eastAsia="맑은 고딕" w:hAnsi="맑은 고딕"/>
          <w:b/>
          <w:bCs/>
          <w:color w:val="1E3A5F"/>
          <w:sz w:val="19"/>
          <w:szCs w:val="19"/>
        </w:rPr>
        <w:t xml:space="preserve">장기 </w:t>
      </w:r>
      <w:r>
        <w:rPr>
          <w:rFonts w:ascii="맑은 고딕" w:cs="맑은 고딕" w:eastAsia="맑은 고딕" w:hAnsi="맑은 고딕"/>
          <w:color w:val="1F2937"/>
          <w:sz w:val="19"/>
          <w:szCs w:val="19"/>
        </w:rPr>
        <w:t xml:space="preserve">Base 0.5: [판단] FFR 4.25% 정점 후 4.00% 복귀(us_rate Base), 성장 둔화 속 AI 인프라 섹터 중심 점진 확대: IG 1.0%, HY 3…  /  Bull 0.25: [판단] 물가 둔화로 인하 사이클(us_rate Bull) 진입, 연착륙과 AI 투자 수익 가시화로 스프레드 소폭 축소.  /  Bear 0.25: [판단] 추가 인상(us_rate Bear +75bp)과 스태그플레이션, AI 인프라 신용 이벤트가 겹쳐 IG 1.7%, HY 6.4% 내외로 확대.</w:t>
      </w:r>
    </w:p>
    <w:p>
      <w:pPr>
        <w:pStyle w:val="ListParagraph"/>
        <w:numPr>
          <w:ilvl w:val="0"/>
          <w:numId w:val="2"/>
        </w:numPr>
        <w:spacing w:after="40" w:before="40" w:line="276"/>
      </w:pPr>
      <w:r>
        <w:rPr>
          <w:rFonts w:ascii="맑은 고딕" w:cs="맑은 고딕" w:eastAsia="맑은 고딕" w:hAnsi="맑은 고딕"/>
          <w:b/>
          <w:bCs/>
          <w:color w:val="1E3A5F"/>
          <w:sz w:val="19"/>
          <w:szCs w:val="19"/>
        </w:rPr>
        <w:t xml:space="preserve">하우스 </w:t>
      </w:r>
      <w:r>
        <w:rPr>
          <w:rFonts w:ascii="맑은 고딕" w:cs="맑은 고딕" w:eastAsia="맑은 고딕" w:hAnsi="맑은 고딕"/>
          <w:color w:val="1F2937"/>
          <w:sz w:val="19"/>
          <w:szCs w:val="19"/>
        </w:rPr>
        <w:t xml:space="preserve">[하우스] 신한투자증권 단독: AI 인프라 기업 크레딧 스프레드 상승·자본조달 제약 우려 지속(확대, 확신 낮음, 20261023_신한_WeeklyGuideBook p.2). 스프레드 방향 명시 전망은 아님. (1건)</w:t>
      </w:r>
    </w:p>
    <w:p>
      <w:pPr>
        <w:pStyle w:val="ListParagraph"/>
        <w:numPr>
          <w:ilvl w:val="0"/>
          <w:numId w:val="2"/>
        </w:numPr>
        <w:spacing w:after="40" w:before="40" w:line="276"/>
      </w:pPr>
      <w:r>
        <w:rPr>
          <w:rFonts w:ascii="맑은 고딕" w:cs="맑은 고딕" w:eastAsia="맑은 고딕" w:hAnsi="맑은 고딕"/>
          <w:b/>
          <w:bCs/>
          <w:color w:val="1E3A5F"/>
          <w:sz w:val="19"/>
          <w:szCs w:val="19"/>
        </w:rPr>
        <w:t xml:space="preserve">공백 </w:t>
      </w:r>
      <w:r>
        <w:rPr>
          <w:rFonts w:ascii="맑은 고딕" w:cs="맑은 고딕" w:eastAsia="맑은 고딕" w:hAnsi="맑은 고딕"/>
          <w:color w:val="1F2937"/>
          <w:sz w:val="19"/>
          <w:szCs w:val="19"/>
        </w:rPr>
        <w:t xml:space="preserve">API 데이터 미수집 (FRED API 차단으로 latest_snapshot.json에 미국 시계열 없음) — 모든 현황 수치…; 하우스 뷰 부족(1곳: 신한투자증권)</w:t>
      </w:r>
    </w:p>
    <w:p>
      <w:pPr>
        <w:pStyle w:val="Heading2"/>
        <w:keepNext/>
        <w:pBdr>
          <w:bottom w:val="single" w:color="1E3A5F" w:sz="6" w:space="2"/>
        </w:pBdr>
        <w:spacing w:after="80" w:before="260"/>
      </w:pPr>
      <w:r>
        <w:rPr>
          <w:rFonts w:ascii="맑은 고딕" w:cs="맑은 고딕" w:eastAsia="맑은 고딕" w:hAnsi="맑은 고딕"/>
          <w:b/>
          <w:bCs/>
          <w:color w:val="1E3A5F"/>
          <w:sz w:val="23"/>
          <w:szCs w:val="23"/>
        </w:rPr>
        <w:t xml:space="preserve">9. 한국 대체투자 - 부동산</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00"/>
        <w:gridCol w:w="2200"/>
        <w:gridCol w:w="1700"/>
        <w:gridCol w:w="2138"/>
      </w:tblGrid>
      <w:tr>
        <w:trPr>
          <w:tblHeader/>
        </w:trPr>
        <w:tc>
          <w:tcPr>
            <w:tcW w:type="dxa" w:w="3600"/>
            <w:tcBorders>
              <w:top w:val="single" w:color="D1D5DB" w:sz="4"/>
              <w:left w:val="single" w:color="D1D5DB" w:sz="4"/>
              <w:bottom w:val="single" w:color="D1D5DB" w:sz="4"/>
              <w:right w:val="single" w:color="D1D5DB" w:sz="4"/>
            </w:tcBorders>
            <w:shd w:fill="E8EEF6" w:color="auto" w:val="clear"/>
            <w:tcMar>
              <w:top w:type="dxa" w:w="50"/>
              <w:left w:type="dxa" w:w="90"/>
              <w:bottom w:type="dxa" w:w="50"/>
              <w:right w:type="dxa" w:w="90"/>
            </w:tcMar>
          </w:tcPr>
          <w:p>
            <w:pPr>
              <w:spacing w:after="0" w:before="0" w:line="252"/>
            </w:pPr>
            <w:r>
              <w:rPr>
                <w:rFonts w:ascii="맑은 고딕" w:cs="맑은 고딕" w:eastAsia="맑은 고딕" w:hAnsi="맑은 고딕"/>
                <w:b/>
                <w:bCs/>
                <w:color w:val="1F2937"/>
                <w:sz w:val="17"/>
                <w:szCs w:val="17"/>
              </w:rPr>
              <w:t xml:space="preserve">지표</w:t>
            </w:r>
          </w:p>
        </w:tc>
        <w:tc>
          <w:tcPr>
            <w:tcW w:type="dxa" w:w="2200"/>
            <w:tcBorders>
              <w:top w:val="single" w:color="D1D5DB" w:sz="4"/>
              <w:left w:val="single" w:color="D1D5DB" w:sz="4"/>
              <w:bottom w:val="single" w:color="D1D5DB" w:sz="4"/>
              <w:right w:val="single" w:color="D1D5DB" w:sz="4"/>
            </w:tcBorders>
            <w:shd w:fill="E8EEF6" w:color="auto" w:val="clear"/>
            <w:tcMar>
              <w:top w:type="dxa" w:w="50"/>
              <w:left w:type="dxa" w:w="90"/>
              <w:bottom w:type="dxa" w:w="50"/>
              <w:right w:type="dxa" w:w="90"/>
            </w:tcMar>
          </w:tcPr>
          <w:p>
            <w:pPr>
              <w:spacing w:after="0" w:before="0" w:line="252"/>
            </w:pPr>
            <w:r>
              <w:rPr>
                <w:rFonts w:ascii="맑은 고딕" w:cs="맑은 고딕" w:eastAsia="맑은 고딕" w:hAnsi="맑은 고딕"/>
                <w:b/>
                <w:bCs/>
                <w:color w:val="1F2937"/>
                <w:sz w:val="17"/>
                <w:szCs w:val="17"/>
              </w:rPr>
              <w:t xml:space="preserve">값</w:t>
            </w:r>
          </w:p>
        </w:tc>
        <w:tc>
          <w:tcPr>
            <w:tcW w:type="dxa" w:w="1700"/>
            <w:tcBorders>
              <w:top w:val="single" w:color="D1D5DB" w:sz="4"/>
              <w:left w:val="single" w:color="D1D5DB" w:sz="4"/>
              <w:bottom w:val="single" w:color="D1D5DB" w:sz="4"/>
              <w:right w:val="single" w:color="D1D5DB" w:sz="4"/>
            </w:tcBorders>
            <w:shd w:fill="E8EEF6" w:color="auto" w:val="clear"/>
            <w:tcMar>
              <w:top w:type="dxa" w:w="50"/>
              <w:left w:type="dxa" w:w="90"/>
              <w:bottom w:type="dxa" w:w="50"/>
              <w:right w:type="dxa" w:w="90"/>
            </w:tcMar>
          </w:tcPr>
          <w:p>
            <w:pPr>
              <w:spacing w:after="0" w:before="0" w:line="252"/>
            </w:pPr>
            <w:r>
              <w:rPr>
                <w:rFonts w:ascii="맑은 고딕" w:cs="맑은 고딕" w:eastAsia="맑은 고딕" w:hAnsi="맑은 고딕"/>
                <w:b/>
                <w:bCs/>
                <w:color w:val="1F2937"/>
                <w:sz w:val="17"/>
                <w:szCs w:val="17"/>
              </w:rPr>
              <w:t xml:space="preserve">기준일</w:t>
            </w:r>
          </w:p>
        </w:tc>
        <w:tc>
          <w:tcPr>
            <w:tcW w:type="dxa" w:w="2138"/>
            <w:tcBorders>
              <w:top w:val="single" w:color="D1D5DB" w:sz="4"/>
              <w:left w:val="single" w:color="D1D5DB" w:sz="4"/>
              <w:bottom w:val="single" w:color="D1D5DB" w:sz="4"/>
              <w:right w:val="single" w:color="D1D5DB" w:sz="4"/>
            </w:tcBorders>
            <w:shd w:fill="E8EEF6" w:color="auto" w:val="clear"/>
            <w:tcMar>
              <w:top w:type="dxa" w:w="50"/>
              <w:left w:type="dxa" w:w="90"/>
              <w:bottom w:type="dxa" w:w="50"/>
              <w:right w:type="dxa" w:w="90"/>
            </w:tcMar>
          </w:tcPr>
          <w:p>
            <w:pPr>
              <w:spacing w:after="0" w:before="0" w:line="252"/>
            </w:pPr>
            <w:r>
              <w:rPr>
                <w:rFonts w:ascii="맑은 고딕" w:cs="맑은 고딕" w:eastAsia="맑은 고딕" w:hAnsi="맑은 고딕"/>
                <w:b/>
                <w:bCs/>
                <w:color w:val="1F2937"/>
                <w:sz w:val="17"/>
                <w:szCs w:val="17"/>
              </w:rPr>
              <w:t xml:space="preserve">출처 플래그</w:t>
            </w:r>
          </w:p>
        </w:tc>
      </w:tr>
      <w:tr>
        <w:trPr>
          <w:cantSplit/>
        </w:trPr>
        <w:tc>
          <w:tcPr>
            <w:tcW w:type="dxa" w:w="36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오피스 공실률(전국, 한국부동산원)</w:t>
            </w:r>
          </w:p>
        </w:tc>
        <w:tc>
          <w:tcPr>
            <w:tcW w:type="dxa" w:w="22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9 %</w:t>
            </w:r>
          </w:p>
        </w:tc>
        <w:tc>
          <w:tcPr>
            <w:tcW w:type="dxa" w:w="17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2026-06-30</w:t>
            </w:r>
          </w:p>
        </w:tc>
        <w:tc>
          <w:tcPr>
            <w:tcW w:type="dxa" w:w="2138"/>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웹확인 ⚠</w:t>
            </w:r>
          </w:p>
        </w:tc>
      </w:tr>
      <w:tr>
        <w:trPr>
          <w:cantSplit/>
        </w:trPr>
        <w:tc>
          <w:tcPr>
            <w:tcW w:type="dxa" w:w="36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중대형(일반) 상가 공실률(전국, 한국부동산원)</w:t>
            </w:r>
          </w:p>
        </w:tc>
        <w:tc>
          <w:tcPr>
            <w:tcW w:type="dxa" w:w="22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13.4 %</w:t>
            </w:r>
          </w:p>
        </w:tc>
        <w:tc>
          <w:tcPr>
            <w:tcW w:type="dxa" w:w="17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2026-06-30</w:t>
            </w:r>
          </w:p>
        </w:tc>
        <w:tc>
          <w:tcPr>
            <w:tcW w:type="dxa" w:w="2138"/>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웹확인 ⚠</w:t>
            </w:r>
          </w:p>
        </w:tc>
      </w:tr>
      <w:tr>
        <w:trPr>
          <w:cantSplit/>
        </w:trPr>
        <w:tc>
          <w:tcPr>
            <w:tcW w:type="dxa" w:w="36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금융권 PF대출 연체율(금융위·금감원)</w:t>
            </w:r>
          </w:p>
        </w:tc>
        <w:tc>
          <w:tcPr>
            <w:tcW w:type="dxa" w:w="22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4.65 %</w:t>
            </w:r>
          </w:p>
        </w:tc>
        <w:tc>
          <w:tcPr>
            <w:tcW w:type="dxa" w:w="17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2026-03-31</w:t>
            </w:r>
          </w:p>
        </w:tc>
        <w:tc>
          <w:tcPr>
            <w:tcW w:type="dxa" w:w="2138"/>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웹확인 ⚠</w:t>
            </w:r>
          </w:p>
        </w:tc>
      </w:tr>
      <w:tr>
        <w:trPr>
          <w:cantSplit/>
        </w:trPr>
        <w:tc>
          <w:tcPr>
            <w:tcW w:type="dxa" w:w="36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부동산 PF 익스포저(전 금융권, 금융위)</w:t>
            </w:r>
          </w:p>
        </w:tc>
        <w:tc>
          <w:tcPr>
            <w:tcW w:type="dxa" w:w="22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169.8 조원</w:t>
            </w:r>
          </w:p>
        </w:tc>
        <w:tc>
          <w:tcPr>
            <w:tcW w:type="dxa" w:w="17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2026-03-31</w:t>
            </w:r>
          </w:p>
        </w:tc>
        <w:tc>
          <w:tcPr>
            <w:tcW w:type="dxa" w:w="2138"/>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웹확인 ⚠</w:t>
            </w:r>
          </w:p>
        </w:tc>
      </w:tr>
    </w:tbl>
    <w:p>
      <w:pPr>
        <w:pStyle w:val="ListParagraph"/>
        <w:numPr>
          <w:ilvl w:val="0"/>
          <w:numId w:val="2"/>
        </w:numPr>
        <w:spacing w:after="40" w:before="40" w:line="276"/>
      </w:pPr>
      <w:r>
        <w:rPr>
          <w:rFonts w:ascii="맑은 고딕" w:cs="맑은 고딕" w:eastAsia="맑은 고딕" w:hAnsi="맑은 고딕"/>
          <w:b/>
          <w:bCs/>
          <w:color w:val="1E3A5F"/>
          <w:sz w:val="19"/>
          <w:szCs w:val="19"/>
        </w:rPr>
        <w:t xml:space="preserve">현황 </w:t>
      </w:r>
      <w:r>
        <w:rPr>
          <w:rFonts w:ascii="맑은 고딕" w:cs="맑은 고딕" w:eastAsia="맑은 고딕" w:hAnsi="맑은 고딕"/>
          <w:color w:val="1F2937"/>
          <w:sz w:val="19"/>
          <w:szCs w:val="19"/>
        </w:rPr>
        <w:t xml:space="preserve">[사실] 수기 스냅샷 기준 지가변동률 0.202%(전기대비, 2026-08-31), 건설수주 14.4조원·건설기성 9.6조원(2026-08-31), 건축허가 9,169.14천㎡·착공 6,297.68천㎡(2026-08-31), 건설투자 -0.1%(전기대비, 2026-06…</w:t>
      </w:r>
    </w:p>
    <w:p>
      <w:pPr>
        <w:pStyle w:val="ListParagraph"/>
        <w:numPr>
          <w:ilvl w:val="0"/>
          <w:numId w:val="2"/>
        </w:numPr>
        <w:spacing w:after="40" w:before="40" w:line="276"/>
      </w:pPr>
      <w:r>
        <w:rPr>
          <w:rFonts w:ascii="맑은 고딕" w:cs="맑은 고딕" w:eastAsia="맑은 고딕" w:hAnsi="맑은 고딕"/>
          <w:b/>
          <w:bCs/>
          <w:color w:val="1E3A5F"/>
          <w:sz w:val="19"/>
          <w:szCs w:val="19"/>
        </w:rPr>
        <w:t xml:space="preserve">단기 </w:t>
      </w:r>
      <w:r>
        <w:rPr>
          <w:rFonts w:ascii="맑은 고딕" w:cs="맑은 고딕" w:eastAsia="맑은 고딕" w:hAnsi="맑은 고딕"/>
          <w:color w:val="1F2937"/>
          <w:sz w:val="19"/>
          <w:szCs w:val="19"/>
        </w:rPr>
        <w:t xml:space="preserve">[판단] 기준금리 인상 사이클 재개(작업가정) 하에서 오피스 캡레이트는 장기금리 상승분 일부를 반영해 소폭 상승 압력. 오피스 임대료는 상승 지속이나 거래량 위축(1분기 거래 규모 전년 대비 절반 수준 보도)으로 가격 발견이 지연. (확신도 낮음)</w:t>
      </w:r>
    </w:p>
    <w:p>
      <w:pPr>
        <w:pStyle w:val="ListParagraph"/>
        <w:numPr>
          <w:ilvl w:val="0"/>
          <w:numId w:val="2"/>
        </w:numPr>
        <w:spacing w:after="40" w:before="40" w:line="276"/>
      </w:pPr>
      <w:r>
        <w:rPr>
          <w:rFonts w:ascii="맑은 고딕" w:cs="맑은 고딕" w:eastAsia="맑은 고딕" w:hAnsi="맑은 고딕"/>
          <w:b/>
          <w:bCs/>
          <w:color w:val="1E3A5F"/>
          <w:sz w:val="19"/>
          <w:szCs w:val="19"/>
        </w:rPr>
        <w:t xml:space="preserve">장기 </w:t>
      </w:r>
      <w:r>
        <w:rPr>
          <w:rFonts w:ascii="맑은 고딕" w:cs="맑은 고딕" w:eastAsia="맑은 고딕" w:hAnsi="맑은 고딕"/>
          <w:color w:val="1F2937"/>
          <w:sz w:val="19"/>
          <w:szCs w:val="19"/>
        </w:rPr>
        <w:t xml:space="preserve">Base 0.55: [판단] 2회 인상(3.50%) 후 동결, KTB 10Y +10bp. 오피스는 서울 핵심권역 임대 견조·지방/상가 약세의 이원화.  /  Bull 0.2: [판단] 경기 둔화로 인상이 1회에 그치거나 조기 인하 전환, KTB 10Y -20bp. 정책 지원과 대체자금(사모대출) 유입으로 PF 정상화가 빨라지고…  /  Bear 0.25: [판단] 물가·환율 압력으로 인상 폭 확대(3.50% 초과), KTB 10Y +40bp. 상가·지방 오피스 공실 확대, 거래 절벽 장기화, 브릿지론·토담…</w:t>
      </w:r>
    </w:p>
    <w:p>
      <w:pPr>
        <w:pStyle w:val="ListParagraph"/>
        <w:numPr>
          <w:ilvl w:val="0"/>
          <w:numId w:val="2"/>
        </w:numPr>
        <w:spacing w:after="40" w:before="40" w:line="276"/>
      </w:pPr>
      <w:r>
        <w:rPr>
          <w:rFonts w:ascii="맑은 고딕" w:cs="맑은 고딕" w:eastAsia="맑은 고딕" w:hAnsi="맑은 고딕"/>
          <w:b/>
          <w:bCs/>
          <w:color w:val="1E3A5F"/>
          <w:sz w:val="19"/>
          <w:szCs w:val="19"/>
        </w:rPr>
        <w:t xml:space="preserve">하우스 </w:t>
      </w:r>
      <w:r>
        <w:rPr>
          <w:rFonts w:ascii="맑은 고딕" w:cs="맑은 고딕" w:eastAsia="맑은 고딕" w:hAnsi="맑은 고딕"/>
          <w:color w:val="1F2937"/>
          <w:sz w:val="19"/>
          <w:szCs w:val="19"/>
        </w:rPr>
        <w:t xml:space="preserve">[하우스] 신한투자증권 1곳(20261020_신한_WeeklyCreditMonitor, p.1): PF대출 증가 전환·연체율 하락, 정책 지원으로 PF 시장 정상화 지속(방향 상승, 확신도 낮음, 목표치 없음). 상업용 부동산 캡레이트·공실 관련 하우스 뷰 없음. (1건)</w:t>
      </w:r>
    </w:p>
    <w:p>
      <w:pPr>
        <w:pStyle w:val="ListParagraph"/>
        <w:numPr>
          <w:ilvl w:val="0"/>
          <w:numId w:val="2"/>
        </w:numPr>
        <w:spacing w:after="40" w:before="40" w:line="276"/>
      </w:pPr>
      <w:r>
        <w:rPr>
          <w:rFonts w:ascii="맑은 고딕" w:cs="맑은 고딕" w:eastAsia="맑은 고딕" w:hAnsi="맑은 고딕"/>
          <w:b/>
          <w:bCs/>
          <w:color w:val="1E3A5F"/>
          <w:sz w:val="19"/>
          <w:szCs w:val="19"/>
        </w:rPr>
        <w:t xml:space="preserve">공백 </w:t>
      </w:r>
      <w:r>
        <w:rPr>
          <w:rFonts w:ascii="맑은 고딕" w:cs="맑은 고딕" w:eastAsia="맑은 고딕" w:hAnsi="맑은 고딕"/>
          <w:color w:val="1F2937"/>
          <w:sz w:val="19"/>
          <w:szCs w:val="19"/>
        </w:rPr>
        <w:t xml:space="preserve">하우스 뷰 부족(1곳: 신한투자증권); 스냅샷 월별 지표 stale: 건설기성·수주·건축허가·착공·지가변동률 기준일 2026-08-31(55일 경과, 45일 기준 초…</w:t>
      </w:r>
    </w:p>
    <w:p>
      <w:pPr>
        <w:pStyle w:val="Heading2"/>
        <w:keepNext/>
        <w:pBdr>
          <w:bottom w:val="single" w:color="1E3A5F" w:sz="6" w:space="2"/>
        </w:pBdr>
        <w:spacing w:after="80" w:before="260"/>
      </w:pPr>
      <w:r>
        <w:rPr>
          <w:rFonts w:ascii="맑은 고딕" w:cs="맑은 고딕" w:eastAsia="맑은 고딕" w:hAnsi="맑은 고딕"/>
          <w:b/>
          <w:bCs/>
          <w:color w:val="1E3A5F"/>
          <w:sz w:val="23"/>
          <w:szCs w:val="23"/>
        </w:rPr>
        <w:t xml:space="preserve">10. 한국 대체투자 - 인프라</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00"/>
        <w:gridCol w:w="2200"/>
        <w:gridCol w:w="1700"/>
        <w:gridCol w:w="2138"/>
      </w:tblGrid>
      <w:tr>
        <w:trPr>
          <w:tblHeader/>
        </w:trPr>
        <w:tc>
          <w:tcPr>
            <w:tcW w:type="dxa" w:w="3600"/>
            <w:tcBorders>
              <w:top w:val="single" w:color="D1D5DB" w:sz="4"/>
              <w:left w:val="single" w:color="D1D5DB" w:sz="4"/>
              <w:bottom w:val="single" w:color="D1D5DB" w:sz="4"/>
              <w:right w:val="single" w:color="D1D5DB" w:sz="4"/>
            </w:tcBorders>
            <w:shd w:fill="E8EEF6" w:color="auto" w:val="clear"/>
            <w:tcMar>
              <w:top w:type="dxa" w:w="50"/>
              <w:left w:type="dxa" w:w="90"/>
              <w:bottom w:type="dxa" w:w="50"/>
              <w:right w:type="dxa" w:w="90"/>
            </w:tcMar>
          </w:tcPr>
          <w:p>
            <w:pPr>
              <w:spacing w:after="0" w:before="0" w:line="252"/>
            </w:pPr>
            <w:r>
              <w:rPr>
                <w:rFonts w:ascii="맑은 고딕" w:cs="맑은 고딕" w:eastAsia="맑은 고딕" w:hAnsi="맑은 고딕"/>
                <w:b/>
                <w:bCs/>
                <w:color w:val="1F2937"/>
                <w:sz w:val="17"/>
                <w:szCs w:val="17"/>
              </w:rPr>
              <w:t xml:space="preserve">지표</w:t>
            </w:r>
          </w:p>
        </w:tc>
        <w:tc>
          <w:tcPr>
            <w:tcW w:type="dxa" w:w="2200"/>
            <w:tcBorders>
              <w:top w:val="single" w:color="D1D5DB" w:sz="4"/>
              <w:left w:val="single" w:color="D1D5DB" w:sz="4"/>
              <w:bottom w:val="single" w:color="D1D5DB" w:sz="4"/>
              <w:right w:val="single" w:color="D1D5DB" w:sz="4"/>
            </w:tcBorders>
            <w:shd w:fill="E8EEF6" w:color="auto" w:val="clear"/>
            <w:tcMar>
              <w:top w:type="dxa" w:w="50"/>
              <w:left w:type="dxa" w:w="90"/>
              <w:bottom w:type="dxa" w:w="50"/>
              <w:right w:type="dxa" w:w="90"/>
            </w:tcMar>
          </w:tcPr>
          <w:p>
            <w:pPr>
              <w:spacing w:after="0" w:before="0" w:line="252"/>
            </w:pPr>
            <w:r>
              <w:rPr>
                <w:rFonts w:ascii="맑은 고딕" w:cs="맑은 고딕" w:eastAsia="맑은 고딕" w:hAnsi="맑은 고딕"/>
                <w:b/>
                <w:bCs/>
                <w:color w:val="1F2937"/>
                <w:sz w:val="17"/>
                <w:szCs w:val="17"/>
              </w:rPr>
              <w:t xml:space="preserve">값</w:t>
            </w:r>
          </w:p>
        </w:tc>
        <w:tc>
          <w:tcPr>
            <w:tcW w:type="dxa" w:w="1700"/>
            <w:tcBorders>
              <w:top w:val="single" w:color="D1D5DB" w:sz="4"/>
              <w:left w:val="single" w:color="D1D5DB" w:sz="4"/>
              <w:bottom w:val="single" w:color="D1D5DB" w:sz="4"/>
              <w:right w:val="single" w:color="D1D5DB" w:sz="4"/>
            </w:tcBorders>
            <w:shd w:fill="E8EEF6" w:color="auto" w:val="clear"/>
            <w:tcMar>
              <w:top w:type="dxa" w:w="50"/>
              <w:left w:type="dxa" w:w="90"/>
              <w:bottom w:type="dxa" w:w="50"/>
              <w:right w:type="dxa" w:w="90"/>
            </w:tcMar>
          </w:tcPr>
          <w:p>
            <w:pPr>
              <w:spacing w:after="0" w:before="0" w:line="252"/>
            </w:pPr>
            <w:r>
              <w:rPr>
                <w:rFonts w:ascii="맑은 고딕" w:cs="맑은 고딕" w:eastAsia="맑은 고딕" w:hAnsi="맑은 고딕"/>
                <w:b/>
                <w:bCs/>
                <w:color w:val="1F2937"/>
                <w:sz w:val="17"/>
                <w:szCs w:val="17"/>
              </w:rPr>
              <w:t xml:space="preserve">기준일</w:t>
            </w:r>
          </w:p>
        </w:tc>
        <w:tc>
          <w:tcPr>
            <w:tcW w:type="dxa" w:w="2138"/>
            <w:tcBorders>
              <w:top w:val="single" w:color="D1D5DB" w:sz="4"/>
              <w:left w:val="single" w:color="D1D5DB" w:sz="4"/>
              <w:bottom w:val="single" w:color="D1D5DB" w:sz="4"/>
              <w:right w:val="single" w:color="D1D5DB" w:sz="4"/>
            </w:tcBorders>
            <w:shd w:fill="E8EEF6" w:color="auto" w:val="clear"/>
            <w:tcMar>
              <w:top w:type="dxa" w:w="50"/>
              <w:left w:type="dxa" w:w="90"/>
              <w:bottom w:type="dxa" w:w="50"/>
              <w:right w:type="dxa" w:w="90"/>
            </w:tcMar>
          </w:tcPr>
          <w:p>
            <w:pPr>
              <w:spacing w:after="0" w:before="0" w:line="252"/>
            </w:pPr>
            <w:r>
              <w:rPr>
                <w:rFonts w:ascii="맑은 고딕" w:cs="맑은 고딕" w:eastAsia="맑은 고딕" w:hAnsi="맑은 고딕"/>
                <w:b/>
                <w:bCs/>
                <w:color w:val="1F2937"/>
                <w:sz w:val="17"/>
                <w:szCs w:val="17"/>
              </w:rPr>
              <w:t xml:space="preserve">출처 플래그</w:t>
            </w:r>
          </w:p>
        </w:tc>
      </w:tr>
      <w:tr>
        <w:trPr>
          <w:cantSplit/>
        </w:trPr>
        <w:tc>
          <w:tcPr>
            <w:tcW w:type="dxa" w:w="36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국고채 5년(할인율 기준금리 참고)</w:t>
            </w:r>
          </w:p>
        </w:tc>
        <w:tc>
          <w:tcPr>
            <w:tcW w:type="dxa" w:w="22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3.948 %</w:t>
            </w:r>
          </w:p>
        </w:tc>
        <w:tc>
          <w:tcPr>
            <w:tcW w:type="dxa" w:w="17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2026-10-23</w:t>
            </w:r>
          </w:p>
        </w:tc>
        <w:tc>
          <w:tcPr>
            <w:tcW w:type="dxa" w:w="2138"/>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수기</w:t>
            </w:r>
          </w:p>
        </w:tc>
      </w:tr>
      <w:tr>
        <w:trPr>
          <w:cantSplit/>
        </w:trPr>
        <w:tc>
          <w:tcPr>
            <w:tcW w:type="dxa" w:w="36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국고채 3년</w:t>
            </w:r>
          </w:p>
        </w:tc>
        <w:tc>
          <w:tcPr>
            <w:tcW w:type="dxa" w:w="22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3.803 %</w:t>
            </w:r>
          </w:p>
        </w:tc>
        <w:tc>
          <w:tcPr>
            <w:tcW w:type="dxa" w:w="17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2026-10-23</w:t>
            </w:r>
          </w:p>
        </w:tc>
        <w:tc>
          <w:tcPr>
            <w:tcW w:type="dxa" w:w="2138"/>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수기</w:t>
            </w:r>
          </w:p>
        </w:tc>
      </w:tr>
      <w:tr>
        <w:trPr>
          <w:cantSplit/>
        </w:trPr>
        <w:tc>
          <w:tcPr>
            <w:tcW w:type="dxa" w:w="36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기준금리</w:t>
            </w:r>
          </w:p>
        </w:tc>
        <w:tc>
          <w:tcPr>
            <w:tcW w:type="dxa" w:w="22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3 %</w:t>
            </w:r>
          </w:p>
        </w:tc>
        <w:tc>
          <w:tcPr>
            <w:tcW w:type="dxa" w:w="17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2026-10-22</w:t>
            </w:r>
          </w:p>
        </w:tc>
        <w:tc>
          <w:tcPr>
            <w:tcW w:type="dxa" w:w="2138"/>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수기</w:t>
            </w:r>
          </w:p>
        </w:tc>
      </w:tr>
    </w:tbl>
    <w:p>
      <w:pPr>
        <w:pStyle w:val="ListParagraph"/>
        <w:numPr>
          <w:ilvl w:val="0"/>
          <w:numId w:val="2"/>
        </w:numPr>
        <w:spacing w:after="40" w:before="40" w:line="276"/>
      </w:pPr>
      <w:r>
        <w:rPr>
          <w:rFonts w:ascii="맑은 고딕" w:cs="맑은 고딕" w:eastAsia="맑은 고딕" w:hAnsi="맑은 고딕"/>
          <w:b/>
          <w:bCs/>
          <w:color w:val="1E3A5F"/>
          <w:sz w:val="19"/>
          <w:szCs w:val="19"/>
        </w:rPr>
        <w:t xml:space="preserve">현황 </w:t>
      </w:r>
      <w:r>
        <w:rPr>
          <w:rFonts w:ascii="맑은 고딕" w:cs="맑은 고딕" w:eastAsia="맑은 고딕" w:hAnsi="맑은 고딕"/>
          <w:color w:val="1F2937"/>
          <w:sz w:val="19"/>
          <w:szCs w:val="19"/>
        </w:rPr>
        <w:t xml:space="preserve">[사실] 할인율 기준인 KTB 5Y 3.948%·3Y 3.803%(2026-10-23, 수기), 기준금리 3.00%(2026-10-22, 수기).</w:t>
      </w:r>
    </w:p>
    <w:p>
      <w:pPr>
        <w:pStyle w:val="ListParagraph"/>
        <w:numPr>
          <w:ilvl w:val="0"/>
          <w:numId w:val="2"/>
        </w:numPr>
        <w:spacing w:after="40" w:before="40" w:line="276"/>
      </w:pPr>
      <w:r>
        <w:rPr>
          <w:rFonts w:ascii="맑은 고딕" w:cs="맑은 고딕" w:eastAsia="맑은 고딕" w:hAnsi="맑은 고딕"/>
          <w:b/>
          <w:bCs/>
          <w:color w:val="1E3A5F"/>
          <w:sz w:val="19"/>
          <w:szCs w:val="19"/>
        </w:rPr>
        <w:t xml:space="preserve">단기 </w:t>
      </w:r>
      <w:r>
        <w:rPr>
          <w:rFonts w:ascii="맑은 고딕" w:cs="맑은 고딕" w:eastAsia="맑은 고딕" w:hAnsi="맑은 고딕"/>
          <w:color w:val="1F2937"/>
          <w:sz w:val="19"/>
          <w:szCs w:val="19"/>
        </w:rPr>
        <w:t xml:space="preserve">[판단] 기준금리 인상 재개(작업가정)로 장기금리 소폭 상승 → 인프라 할인율 +5bp 내외. 인프라는 장기 계약 현금흐름 구조라 금리 전가율이 높은 편. [판단] 정책 물량(데이터센터·송전망)은 2027년 이후 본격화 가능성이 커 단기 공급 효과는 제한적. (확신도 낮음)</w:t>
      </w:r>
    </w:p>
    <w:p>
      <w:pPr>
        <w:pStyle w:val="ListParagraph"/>
        <w:numPr>
          <w:ilvl w:val="0"/>
          <w:numId w:val="2"/>
        </w:numPr>
        <w:spacing w:after="40" w:before="40" w:line="276"/>
      </w:pPr>
      <w:r>
        <w:rPr>
          <w:rFonts w:ascii="맑은 고딕" w:cs="맑은 고딕" w:eastAsia="맑은 고딕" w:hAnsi="맑은 고딕"/>
          <w:b/>
          <w:bCs/>
          <w:color w:val="1E3A5F"/>
          <w:sz w:val="19"/>
          <w:szCs w:val="19"/>
        </w:rPr>
        <w:t xml:space="preserve">장기 </w:t>
      </w:r>
      <w:r>
        <w:rPr>
          <w:rFonts w:ascii="맑은 고딕" w:cs="맑은 고딕" w:eastAsia="맑은 고딕" w:hAnsi="맑은 고딕"/>
          <w:color w:val="1F2937"/>
          <w:sz w:val="19"/>
          <w:szCs w:val="19"/>
        </w:rPr>
        <w:t xml:space="preserve">Base 0.55: [판단] 2회 인상 후 동결, KTB 10Y +10bp. 신규 민자 물량은 점진적으로 늘고 에너지 전환·데이터센터 딜이 증가하나 리스크 스프레드는 대체로…  /  Bull 0.2: [판단] 경기 둔화로 금리 하락(KTB 10Y -20bp), 정책 물량 확대와 공모펀드 수요가 우량 자산 가격을 지지.  /  Bear 0.25: [판단] 인상 폭 확대로 KTB 10Y +40bp, 신규 물량 급증과 지방 민자 부진·수요 리스크로 요구수익률 상승.</w:t>
      </w:r>
    </w:p>
    <w:p>
      <w:pPr>
        <w:pStyle w:val="ListParagraph"/>
        <w:numPr>
          <w:ilvl w:val="0"/>
          <w:numId w:val="2"/>
        </w:numPr>
        <w:spacing w:after="40" w:before="40" w:line="276"/>
      </w:pPr>
      <w:r>
        <w:rPr>
          <w:rFonts w:ascii="맑은 고딕" w:cs="맑은 고딕" w:eastAsia="맑은 고딕" w:hAnsi="맑은 고딕"/>
          <w:b/>
          <w:bCs/>
          <w:color w:val="1E3A5F"/>
          <w:sz w:val="19"/>
          <w:szCs w:val="19"/>
        </w:rPr>
        <w:t xml:space="preserve">하우스 </w:t>
      </w:r>
      <w:r>
        <w:rPr>
          <w:rFonts w:ascii="맑은 고딕" w:cs="맑은 고딕" w:eastAsia="맑은 고딕" w:hAnsi="맑은 고딕"/>
          <w:color w:val="1F2937"/>
          <w:sz w:val="19"/>
          <w:szCs w:val="19"/>
        </w:rPr>
        <w:t xml:space="preserve">하우스 뷰 없음(최근 30일 kr_alt_infra 카드 0개).</w:t>
      </w:r>
    </w:p>
    <w:p>
      <w:pPr>
        <w:pStyle w:val="ListParagraph"/>
        <w:numPr>
          <w:ilvl w:val="0"/>
          <w:numId w:val="2"/>
        </w:numPr>
        <w:spacing w:after="40" w:before="40" w:line="276"/>
      </w:pPr>
      <w:r>
        <w:rPr>
          <w:rFonts w:ascii="맑은 고딕" w:cs="맑은 고딕" w:eastAsia="맑은 고딕" w:hAnsi="맑은 고딕"/>
          <w:b/>
          <w:bCs/>
          <w:color w:val="1E3A5F"/>
          <w:sz w:val="19"/>
          <w:szCs w:val="19"/>
        </w:rPr>
        <w:t xml:space="preserve">공백 </w:t>
      </w:r>
      <w:r>
        <w:rPr>
          <w:rFonts w:ascii="맑은 고딕" w:cs="맑은 고딕" w:eastAsia="맑은 고딕" w:hAnsi="맑은 고딕"/>
          <w:color w:val="1F2937"/>
          <w:sz w:val="19"/>
          <w:szCs w:val="19"/>
        </w:rPr>
        <w:t xml:space="preserve">하우스 뷰 없음 — 하우스 뷰 부족(0곳); 국내 인프라 할인율·지분 IRR·신규 민자사업 고시/협약 통계 미확인</w:t>
      </w:r>
    </w:p>
    <w:p>
      <w:pPr>
        <w:pStyle w:val="Heading2"/>
        <w:keepNext/>
        <w:pBdr>
          <w:bottom w:val="single" w:color="1E3A5F" w:sz="6" w:space="2"/>
        </w:pBdr>
        <w:spacing w:after="80" w:before="260"/>
      </w:pPr>
      <w:r>
        <w:rPr>
          <w:rFonts w:ascii="맑은 고딕" w:cs="맑은 고딕" w:eastAsia="맑은 고딕" w:hAnsi="맑은 고딕"/>
          <w:b/>
          <w:bCs/>
          <w:color w:val="1E3A5F"/>
          <w:sz w:val="23"/>
          <w:szCs w:val="23"/>
        </w:rPr>
        <w:t xml:space="preserve">11. 한국 대체투자 - PE (Equity)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00"/>
        <w:gridCol w:w="2200"/>
        <w:gridCol w:w="1700"/>
        <w:gridCol w:w="2138"/>
      </w:tblGrid>
      <w:tr>
        <w:trPr>
          <w:tblHeader/>
        </w:trPr>
        <w:tc>
          <w:tcPr>
            <w:tcW w:type="dxa" w:w="3600"/>
            <w:tcBorders>
              <w:top w:val="single" w:color="D1D5DB" w:sz="4"/>
              <w:left w:val="single" w:color="D1D5DB" w:sz="4"/>
              <w:bottom w:val="single" w:color="D1D5DB" w:sz="4"/>
              <w:right w:val="single" w:color="D1D5DB" w:sz="4"/>
            </w:tcBorders>
            <w:shd w:fill="E8EEF6" w:color="auto" w:val="clear"/>
            <w:tcMar>
              <w:top w:type="dxa" w:w="50"/>
              <w:left w:type="dxa" w:w="90"/>
              <w:bottom w:type="dxa" w:w="50"/>
              <w:right w:type="dxa" w:w="90"/>
            </w:tcMar>
          </w:tcPr>
          <w:p>
            <w:pPr>
              <w:spacing w:after="0" w:before="0" w:line="252"/>
            </w:pPr>
            <w:r>
              <w:rPr>
                <w:rFonts w:ascii="맑은 고딕" w:cs="맑은 고딕" w:eastAsia="맑은 고딕" w:hAnsi="맑은 고딕"/>
                <w:b/>
                <w:bCs/>
                <w:color w:val="1F2937"/>
                <w:sz w:val="17"/>
                <w:szCs w:val="17"/>
              </w:rPr>
              <w:t xml:space="preserve">지표</w:t>
            </w:r>
          </w:p>
        </w:tc>
        <w:tc>
          <w:tcPr>
            <w:tcW w:type="dxa" w:w="2200"/>
            <w:tcBorders>
              <w:top w:val="single" w:color="D1D5DB" w:sz="4"/>
              <w:left w:val="single" w:color="D1D5DB" w:sz="4"/>
              <w:bottom w:val="single" w:color="D1D5DB" w:sz="4"/>
              <w:right w:val="single" w:color="D1D5DB" w:sz="4"/>
            </w:tcBorders>
            <w:shd w:fill="E8EEF6" w:color="auto" w:val="clear"/>
            <w:tcMar>
              <w:top w:type="dxa" w:w="50"/>
              <w:left w:type="dxa" w:w="90"/>
              <w:bottom w:type="dxa" w:w="50"/>
              <w:right w:type="dxa" w:w="90"/>
            </w:tcMar>
          </w:tcPr>
          <w:p>
            <w:pPr>
              <w:spacing w:after="0" w:before="0" w:line="252"/>
            </w:pPr>
            <w:r>
              <w:rPr>
                <w:rFonts w:ascii="맑은 고딕" w:cs="맑은 고딕" w:eastAsia="맑은 고딕" w:hAnsi="맑은 고딕"/>
                <w:b/>
                <w:bCs/>
                <w:color w:val="1F2937"/>
                <w:sz w:val="17"/>
                <w:szCs w:val="17"/>
              </w:rPr>
              <w:t xml:space="preserve">값</w:t>
            </w:r>
          </w:p>
        </w:tc>
        <w:tc>
          <w:tcPr>
            <w:tcW w:type="dxa" w:w="1700"/>
            <w:tcBorders>
              <w:top w:val="single" w:color="D1D5DB" w:sz="4"/>
              <w:left w:val="single" w:color="D1D5DB" w:sz="4"/>
              <w:bottom w:val="single" w:color="D1D5DB" w:sz="4"/>
              <w:right w:val="single" w:color="D1D5DB" w:sz="4"/>
            </w:tcBorders>
            <w:shd w:fill="E8EEF6" w:color="auto" w:val="clear"/>
            <w:tcMar>
              <w:top w:type="dxa" w:w="50"/>
              <w:left w:type="dxa" w:w="90"/>
              <w:bottom w:type="dxa" w:w="50"/>
              <w:right w:type="dxa" w:w="90"/>
            </w:tcMar>
          </w:tcPr>
          <w:p>
            <w:pPr>
              <w:spacing w:after="0" w:before="0" w:line="252"/>
            </w:pPr>
            <w:r>
              <w:rPr>
                <w:rFonts w:ascii="맑은 고딕" w:cs="맑은 고딕" w:eastAsia="맑은 고딕" w:hAnsi="맑은 고딕"/>
                <w:b/>
                <w:bCs/>
                <w:color w:val="1F2937"/>
                <w:sz w:val="17"/>
                <w:szCs w:val="17"/>
              </w:rPr>
              <w:t xml:space="preserve">기준일</w:t>
            </w:r>
          </w:p>
        </w:tc>
        <w:tc>
          <w:tcPr>
            <w:tcW w:type="dxa" w:w="2138"/>
            <w:tcBorders>
              <w:top w:val="single" w:color="D1D5DB" w:sz="4"/>
              <w:left w:val="single" w:color="D1D5DB" w:sz="4"/>
              <w:bottom w:val="single" w:color="D1D5DB" w:sz="4"/>
              <w:right w:val="single" w:color="D1D5DB" w:sz="4"/>
            </w:tcBorders>
            <w:shd w:fill="E8EEF6" w:color="auto" w:val="clear"/>
            <w:tcMar>
              <w:top w:type="dxa" w:w="50"/>
              <w:left w:type="dxa" w:w="90"/>
              <w:bottom w:type="dxa" w:w="50"/>
              <w:right w:type="dxa" w:w="90"/>
            </w:tcMar>
          </w:tcPr>
          <w:p>
            <w:pPr>
              <w:spacing w:after="0" w:before="0" w:line="252"/>
            </w:pPr>
            <w:r>
              <w:rPr>
                <w:rFonts w:ascii="맑은 고딕" w:cs="맑은 고딕" w:eastAsia="맑은 고딕" w:hAnsi="맑은 고딕"/>
                <w:b/>
                <w:bCs/>
                <w:color w:val="1F2937"/>
                <w:sz w:val="17"/>
                <w:szCs w:val="17"/>
              </w:rPr>
              <w:t xml:space="preserve">출처 플래그</w:t>
            </w:r>
          </w:p>
        </w:tc>
      </w:tr>
      <w:tr>
        <w:trPr>
          <w:cantSplit/>
        </w:trPr>
        <w:tc>
          <w:tcPr>
            <w:tcW w:type="dxa" w:w="36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KOSPI</w:t>
            </w:r>
          </w:p>
        </w:tc>
        <w:tc>
          <w:tcPr>
            <w:tcW w:type="dxa" w:w="22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5,550.3 (1980.01.04=100)</w:t>
            </w:r>
          </w:p>
        </w:tc>
        <w:tc>
          <w:tcPr>
            <w:tcW w:type="dxa" w:w="17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2026-10-23</w:t>
            </w:r>
          </w:p>
        </w:tc>
        <w:tc>
          <w:tcPr>
            <w:tcW w:type="dxa" w:w="2138"/>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수기</w:t>
            </w:r>
          </w:p>
        </w:tc>
      </w:tr>
      <w:tr>
        <w:trPr>
          <w:cantSplit/>
        </w:trPr>
        <w:tc>
          <w:tcPr>
            <w:tcW w:type="dxa" w:w="36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기관전용 PEF 출자약정액(금감원)</w:t>
            </w:r>
          </w:p>
        </w:tc>
        <w:tc>
          <w:tcPr>
            <w:tcW w:type="dxa" w:w="22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167.5 조원</w:t>
            </w:r>
          </w:p>
        </w:tc>
        <w:tc>
          <w:tcPr>
            <w:tcW w:type="dxa" w:w="17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2025-12-31</w:t>
            </w:r>
          </w:p>
        </w:tc>
        <w:tc>
          <w:tcPr>
            <w:tcW w:type="dxa" w:w="2138"/>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웹확인 ⚠</w:t>
            </w:r>
          </w:p>
        </w:tc>
      </w:tr>
      <w:tr>
        <w:trPr>
          <w:cantSplit/>
        </w:trPr>
        <w:tc>
          <w:tcPr>
            <w:tcW w:type="dxa" w:w="36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PEF 신규 출자약정액(금감원)</w:t>
            </w:r>
          </w:p>
        </w:tc>
        <w:tc>
          <w:tcPr>
            <w:tcW w:type="dxa" w:w="22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27.8 조원</w:t>
            </w:r>
          </w:p>
        </w:tc>
        <w:tc>
          <w:tcPr>
            <w:tcW w:type="dxa" w:w="17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2025-12-31</w:t>
            </w:r>
          </w:p>
        </w:tc>
        <w:tc>
          <w:tcPr>
            <w:tcW w:type="dxa" w:w="2138"/>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웹확인 ⚠</w:t>
            </w:r>
          </w:p>
        </w:tc>
      </w:tr>
      <w:tr>
        <w:trPr>
          <w:cantSplit/>
        </w:trPr>
        <w:tc>
          <w:tcPr>
            <w:tcW w:type="dxa" w:w="36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PEF 미집행 약정액(금감원)</w:t>
            </w:r>
          </w:p>
        </w:tc>
        <w:tc>
          <w:tcPr>
            <w:tcW w:type="dxa" w:w="22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43.2 조원</w:t>
            </w:r>
          </w:p>
        </w:tc>
        <w:tc>
          <w:tcPr>
            <w:tcW w:type="dxa" w:w="17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2025-12-31</w:t>
            </w:r>
          </w:p>
        </w:tc>
        <w:tc>
          <w:tcPr>
            <w:tcW w:type="dxa" w:w="2138"/>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웹확인 ⚠</w:t>
            </w:r>
          </w:p>
        </w:tc>
      </w:tr>
    </w:tbl>
    <w:p>
      <w:pPr>
        <w:pStyle w:val="ListParagraph"/>
        <w:numPr>
          <w:ilvl w:val="0"/>
          <w:numId w:val="2"/>
        </w:numPr>
        <w:spacing w:after="40" w:before="40" w:line="276"/>
      </w:pPr>
      <w:r>
        <w:rPr>
          <w:rFonts w:ascii="맑은 고딕" w:cs="맑은 고딕" w:eastAsia="맑은 고딕" w:hAnsi="맑은 고딕"/>
          <w:b/>
          <w:bCs/>
          <w:color w:val="1E3A5F"/>
          <w:sz w:val="19"/>
          <w:szCs w:val="19"/>
        </w:rPr>
        <w:t xml:space="preserve">현황 </w:t>
      </w:r>
      <w:r>
        <w:rPr>
          <w:rFonts w:ascii="맑은 고딕" w:cs="맑은 고딕" w:eastAsia="맑은 고딕" w:hAnsi="맑은 고딕"/>
          <w:color w:val="1F2937"/>
          <w:sz w:val="19"/>
          <w:szCs w:val="19"/>
        </w:rPr>
        <w:t xml:space="preserve">[사실] KOSPI 5,550.3(2026-10-23, 수기). [사실] 금감원(2026-06-17 발표) 2025년말 기관전용 PEF 1,195개, 출자약정액 167.5조원(역대 최대, +9%), 신규 약정 27.8조원(+44.8%), 미집행 약정액 43.2조원(+1…</w:t>
      </w:r>
    </w:p>
    <w:p>
      <w:pPr>
        <w:pStyle w:val="ListParagraph"/>
        <w:numPr>
          <w:ilvl w:val="0"/>
          <w:numId w:val="2"/>
        </w:numPr>
        <w:spacing w:after="40" w:before="40" w:line="276"/>
      </w:pPr>
      <w:r>
        <w:rPr>
          <w:rFonts w:ascii="맑은 고딕" w:cs="맑은 고딕" w:eastAsia="맑은 고딕" w:hAnsi="맑은 고딕"/>
          <w:b/>
          <w:bCs/>
          <w:color w:val="1E3A5F"/>
          <w:sz w:val="19"/>
          <w:szCs w:val="19"/>
        </w:rPr>
        <w:t xml:space="preserve">단기 </w:t>
      </w:r>
      <w:r>
        <w:rPr>
          <w:rFonts w:ascii="맑은 고딕" w:cs="맑은 고딕" w:eastAsia="맑은 고딕" w:hAnsi="맑은 고딕"/>
          <w:color w:val="1F2937"/>
          <w:sz w:val="19"/>
          <w:szCs w:val="19"/>
        </w:rPr>
        <w:t xml:space="preserve">[판단] 10월 증시 조정과 금리 인상 재개(작업가정)가 상장 비교기업 멀티플과 인수금융 비용을 동시에 압박해 PE 지분 평가가치는 소폭 하향 조정 가능. (확신도 낮음)</w:t>
      </w:r>
    </w:p>
    <w:p>
      <w:pPr>
        <w:pStyle w:val="ListParagraph"/>
        <w:numPr>
          <w:ilvl w:val="0"/>
          <w:numId w:val="2"/>
        </w:numPr>
        <w:spacing w:after="40" w:before="40" w:line="276"/>
      </w:pPr>
      <w:r>
        <w:rPr>
          <w:rFonts w:ascii="맑은 고딕" w:cs="맑은 고딕" w:eastAsia="맑은 고딕" w:hAnsi="맑은 고딕"/>
          <w:b/>
          <w:bCs/>
          <w:color w:val="1E3A5F"/>
          <w:sz w:val="19"/>
          <w:szCs w:val="19"/>
        </w:rPr>
        <w:t xml:space="preserve">장기 </w:t>
      </w:r>
      <w:r>
        <w:rPr>
          <w:rFonts w:ascii="맑은 고딕" w:cs="맑은 고딕" w:eastAsia="맑은 고딕" w:hAnsi="맑은 고딕"/>
          <w:color w:val="1F2937"/>
          <w:sz w:val="19"/>
          <w:szCs w:val="19"/>
        </w:rPr>
        <w:t xml:space="preserve">Base 0.5: [판단] 금리 소폭 상승 속 증시 박스권 회복, 규제는 공시·내부통제 중심으로 완화된 형태로 입법. PE 평가가치는 완만한 상승.  /  Bull 0.2: [판단] 금리 안정·증시 랠리 재개, 드라이파우더 집행과 대형 엑시트 활성화.  /  Bear 0.3: [판단] 인상 폭 확대와 증시 추가 조정, LBO 규제 강화로 엑시트 지연·포트폴리오 기업 이자부담 증가.</w:t>
      </w:r>
    </w:p>
    <w:p>
      <w:pPr>
        <w:pStyle w:val="ListParagraph"/>
        <w:numPr>
          <w:ilvl w:val="0"/>
          <w:numId w:val="2"/>
        </w:numPr>
        <w:spacing w:after="40" w:before="40" w:line="276"/>
      </w:pPr>
      <w:r>
        <w:rPr>
          <w:rFonts w:ascii="맑은 고딕" w:cs="맑은 고딕" w:eastAsia="맑은 고딕" w:hAnsi="맑은 고딕"/>
          <w:b/>
          <w:bCs/>
          <w:color w:val="1E3A5F"/>
          <w:sz w:val="19"/>
          <w:szCs w:val="19"/>
        </w:rPr>
        <w:t xml:space="preserve">하우스 </w:t>
      </w:r>
      <w:r>
        <w:rPr>
          <w:rFonts w:ascii="맑은 고딕" w:cs="맑은 고딕" w:eastAsia="맑은 고딕" w:hAnsi="맑은 고딕"/>
          <w:color w:val="1F2937"/>
          <w:sz w:val="19"/>
          <w:szCs w:val="19"/>
        </w:rPr>
        <w:t xml:space="preserve">하우스 뷰 없음(최근 30일 kr_alt_pe 카드 0개).</w:t>
      </w:r>
    </w:p>
    <w:p>
      <w:pPr>
        <w:pStyle w:val="ListParagraph"/>
        <w:numPr>
          <w:ilvl w:val="0"/>
          <w:numId w:val="2"/>
        </w:numPr>
        <w:spacing w:after="40" w:before="40" w:line="276"/>
      </w:pPr>
      <w:r>
        <w:rPr>
          <w:rFonts w:ascii="맑은 고딕" w:cs="맑은 고딕" w:eastAsia="맑은 고딕" w:hAnsi="맑은 고딕"/>
          <w:b/>
          <w:bCs/>
          <w:color w:val="1E3A5F"/>
          <w:sz w:val="19"/>
          <w:szCs w:val="19"/>
        </w:rPr>
        <w:t xml:space="preserve">공백 </w:t>
      </w:r>
      <w:r>
        <w:rPr>
          <w:rFonts w:ascii="맑은 고딕" w:cs="맑은 고딕" w:eastAsia="맑은 고딕" w:hAnsi="맑은 고딕"/>
          <w:color w:val="1F2937"/>
          <w:sz w:val="19"/>
          <w:szCs w:val="19"/>
        </w:rPr>
        <w:t xml:space="preserve">하우스 뷰 없음 — 하우스 뷰 부족(0곳); 2026년 PE 엑시트·펀드레이징 집계 미확인(최신 공식은 2025년말 금감원)</w:t>
      </w:r>
    </w:p>
    <w:p>
      <w:pPr>
        <w:pStyle w:val="Heading2"/>
        <w:keepNext/>
        <w:pBdr>
          <w:bottom w:val="single" w:color="1E3A5F" w:sz="6" w:space="2"/>
        </w:pBdr>
        <w:spacing w:after="80" w:before="260"/>
      </w:pPr>
      <w:r>
        <w:rPr>
          <w:rFonts w:ascii="맑은 고딕" w:cs="맑은 고딕" w:eastAsia="맑은 고딕" w:hAnsi="맑은 고딕"/>
          <w:b/>
          <w:bCs/>
          <w:color w:val="1E3A5F"/>
          <w:sz w:val="23"/>
          <w:szCs w:val="23"/>
        </w:rPr>
        <w:t xml:space="preserve">12. 한국 대체투자 - PE (Debt) / 사모대출</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00"/>
        <w:gridCol w:w="2200"/>
        <w:gridCol w:w="1700"/>
        <w:gridCol w:w="2138"/>
      </w:tblGrid>
      <w:tr>
        <w:trPr>
          <w:tblHeader/>
        </w:trPr>
        <w:tc>
          <w:tcPr>
            <w:tcW w:type="dxa" w:w="3600"/>
            <w:tcBorders>
              <w:top w:val="single" w:color="D1D5DB" w:sz="4"/>
              <w:left w:val="single" w:color="D1D5DB" w:sz="4"/>
              <w:bottom w:val="single" w:color="D1D5DB" w:sz="4"/>
              <w:right w:val="single" w:color="D1D5DB" w:sz="4"/>
            </w:tcBorders>
            <w:shd w:fill="E8EEF6" w:color="auto" w:val="clear"/>
            <w:tcMar>
              <w:top w:type="dxa" w:w="50"/>
              <w:left w:type="dxa" w:w="90"/>
              <w:bottom w:type="dxa" w:w="50"/>
              <w:right w:type="dxa" w:w="90"/>
            </w:tcMar>
          </w:tcPr>
          <w:p>
            <w:pPr>
              <w:spacing w:after="0" w:before="0" w:line="252"/>
            </w:pPr>
            <w:r>
              <w:rPr>
                <w:rFonts w:ascii="맑은 고딕" w:cs="맑은 고딕" w:eastAsia="맑은 고딕" w:hAnsi="맑은 고딕"/>
                <w:b/>
                <w:bCs/>
                <w:color w:val="1F2937"/>
                <w:sz w:val="17"/>
                <w:szCs w:val="17"/>
              </w:rPr>
              <w:t xml:space="preserve">지표</w:t>
            </w:r>
          </w:p>
        </w:tc>
        <w:tc>
          <w:tcPr>
            <w:tcW w:type="dxa" w:w="2200"/>
            <w:tcBorders>
              <w:top w:val="single" w:color="D1D5DB" w:sz="4"/>
              <w:left w:val="single" w:color="D1D5DB" w:sz="4"/>
              <w:bottom w:val="single" w:color="D1D5DB" w:sz="4"/>
              <w:right w:val="single" w:color="D1D5DB" w:sz="4"/>
            </w:tcBorders>
            <w:shd w:fill="E8EEF6" w:color="auto" w:val="clear"/>
            <w:tcMar>
              <w:top w:type="dxa" w:w="50"/>
              <w:left w:type="dxa" w:w="90"/>
              <w:bottom w:type="dxa" w:w="50"/>
              <w:right w:type="dxa" w:w="90"/>
            </w:tcMar>
          </w:tcPr>
          <w:p>
            <w:pPr>
              <w:spacing w:after="0" w:before="0" w:line="252"/>
            </w:pPr>
            <w:r>
              <w:rPr>
                <w:rFonts w:ascii="맑은 고딕" w:cs="맑은 고딕" w:eastAsia="맑은 고딕" w:hAnsi="맑은 고딕"/>
                <w:b/>
                <w:bCs/>
                <w:color w:val="1F2937"/>
                <w:sz w:val="17"/>
                <w:szCs w:val="17"/>
              </w:rPr>
              <w:t xml:space="preserve">값</w:t>
            </w:r>
          </w:p>
        </w:tc>
        <w:tc>
          <w:tcPr>
            <w:tcW w:type="dxa" w:w="1700"/>
            <w:tcBorders>
              <w:top w:val="single" w:color="D1D5DB" w:sz="4"/>
              <w:left w:val="single" w:color="D1D5DB" w:sz="4"/>
              <w:bottom w:val="single" w:color="D1D5DB" w:sz="4"/>
              <w:right w:val="single" w:color="D1D5DB" w:sz="4"/>
            </w:tcBorders>
            <w:shd w:fill="E8EEF6" w:color="auto" w:val="clear"/>
            <w:tcMar>
              <w:top w:type="dxa" w:w="50"/>
              <w:left w:type="dxa" w:w="90"/>
              <w:bottom w:type="dxa" w:w="50"/>
              <w:right w:type="dxa" w:w="90"/>
            </w:tcMar>
          </w:tcPr>
          <w:p>
            <w:pPr>
              <w:spacing w:after="0" w:before="0" w:line="252"/>
            </w:pPr>
            <w:r>
              <w:rPr>
                <w:rFonts w:ascii="맑은 고딕" w:cs="맑은 고딕" w:eastAsia="맑은 고딕" w:hAnsi="맑은 고딕"/>
                <w:b/>
                <w:bCs/>
                <w:color w:val="1F2937"/>
                <w:sz w:val="17"/>
                <w:szCs w:val="17"/>
              </w:rPr>
              <w:t xml:space="preserve">기준일</w:t>
            </w:r>
          </w:p>
        </w:tc>
        <w:tc>
          <w:tcPr>
            <w:tcW w:type="dxa" w:w="2138"/>
            <w:tcBorders>
              <w:top w:val="single" w:color="D1D5DB" w:sz="4"/>
              <w:left w:val="single" w:color="D1D5DB" w:sz="4"/>
              <w:bottom w:val="single" w:color="D1D5DB" w:sz="4"/>
              <w:right w:val="single" w:color="D1D5DB" w:sz="4"/>
            </w:tcBorders>
            <w:shd w:fill="E8EEF6" w:color="auto" w:val="clear"/>
            <w:tcMar>
              <w:top w:type="dxa" w:w="50"/>
              <w:left w:type="dxa" w:w="90"/>
              <w:bottom w:type="dxa" w:w="50"/>
              <w:right w:type="dxa" w:w="90"/>
            </w:tcMar>
          </w:tcPr>
          <w:p>
            <w:pPr>
              <w:spacing w:after="0" w:before="0" w:line="252"/>
            </w:pPr>
            <w:r>
              <w:rPr>
                <w:rFonts w:ascii="맑은 고딕" w:cs="맑은 고딕" w:eastAsia="맑은 고딕" w:hAnsi="맑은 고딕"/>
                <w:b/>
                <w:bCs/>
                <w:color w:val="1F2937"/>
                <w:sz w:val="17"/>
                <w:szCs w:val="17"/>
              </w:rPr>
              <w:t xml:space="preserve">출처 플래그</w:t>
            </w:r>
          </w:p>
        </w:tc>
      </w:tr>
      <w:tr>
        <w:trPr>
          <w:cantSplit/>
        </w:trPr>
        <w:tc>
          <w:tcPr>
            <w:tcW w:type="dxa" w:w="36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금융권 PF대출 연체율(금융위·금감원)</w:t>
            </w:r>
          </w:p>
        </w:tc>
        <w:tc>
          <w:tcPr>
            <w:tcW w:type="dxa" w:w="22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4.65 %</w:t>
            </w:r>
          </w:p>
        </w:tc>
        <w:tc>
          <w:tcPr>
            <w:tcW w:type="dxa" w:w="17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2026-03-31</w:t>
            </w:r>
          </w:p>
        </w:tc>
        <w:tc>
          <w:tcPr>
            <w:tcW w:type="dxa" w:w="2138"/>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웹확인 ⚠</w:t>
            </w:r>
          </w:p>
        </w:tc>
      </w:tr>
      <w:tr>
        <w:trPr>
          <w:cantSplit/>
        </w:trPr>
        <w:tc>
          <w:tcPr>
            <w:tcW w:type="dxa" w:w="36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중소금융사 토지담보대출 연체율</w:t>
            </w:r>
          </w:p>
        </w:tc>
        <w:tc>
          <w:tcPr>
            <w:tcW w:type="dxa" w:w="22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31.88 %</w:t>
            </w:r>
          </w:p>
        </w:tc>
        <w:tc>
          <w:tcPr>
            <w:tcW w:type="dxa" w:w="17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2026-03-31</w:t>
            </w:r>
          </w:p>
        </w:tc>
        <w:tc>
          <w:tcPr>
            <w:tcW w:type="dxa" w:w="2138"/>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웹확인 ⚠</w:t>
            </w:r>
          </w:p>
        </w:tc>
      </w:tr>
      <w:tr>
        <w:trPr>
          <w:cantSplit/>
        </w:trPr>
        <w:tc>
          <w:tcPr>
            <w:tcW w:type="dxa" w:w="36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기준금리</w:t>
            </w:r>
          </w:p>
        </w:tc>
        <w:tc>
          <w:tcPr>
            <w:tcW w:type="dxa" w:w="22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3 %</w:t>
            </w:r>
          </w:p>
        </w:tc>
        <w:tc>
          <w:tcPr>
            <w:tcW w:type="dxa" w:w="17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2026-10-22</w:t>
            </w:r>
          </w:p>
        </w:tc>
        <w:tc>
          <w:tcPr>
            <w:tcW w:type="dxa" w:w="2138"/>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수기</w:t>
            </w:r>
          </w:p>
        </w:tc>
      </w:tr>
      <w:tr>
        <w:trPr>
          <w:cantSplit/>
        </w:trPr>
        <w:tc>
          <w:tcPr>
            <w:tcW w:type="dxa" w:w="36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국고채 3년</w:t>
            </w:r>
          </w:p>
        </w:tc>
        <w:tc>
          <w:tcPr>
            <w:tcW w:type="dxa" w:w="22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3.803 %</w:t>
            </w:r>
          </w:p>
        </w:tc>
        <w:tc>
          <w:tcPr>
            <w:tcW w:type="dxa" w:w="17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2026-10-23</w:t>
            </w:r>
          </w:p>
        </w:tc>
        <w:tc>
          <w:tcPr>
            <w:tcW w:type="dxa" w:w="2138"/>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수기</w:t>
            </w:r>
          </w:p>
        </w:tc>
      </w:tr>
    </w:tbl>
    <w:p>
      <w:pPr>
        <w:pStyle w:val="ListParagraph"/>
        <w:numPr>
          <w:ilvl w:val="0"/>
          <w:numId w:val="2"/>
        </w:numPr>
        <w:spacing w:after="40" w:before="40" w:line="276"/>
      </w:pPr>
      <w:r>
        <w:rPr>
          <w:rFonts w:ascii="맑은 고딕" w:cs="맑은 고딕" w:eastAsia="맑은 고딕" w:hAnsi="맑은 고딕"/>
          <w:b/>
          <w:bCs/>
          <w:color w:val="1E3A5F"/>
          <w:sz w:val="19"/>
          <w:szCs w:val="19"/>
        </w:rPr>
        <w:t xml:space="preserve">현황 </w:t>
      </w:r>
      <w:r>
        <w:rPr>
          <w:rFonts w:ascii="맑은 고딕" w:cs="맑은 고딕" w:eastAsia="맑은 고딕" w:hAnsi="맑은 고딕"/>
          <w:color w:val="1F2937"/>
          <w:sz w:val="19"/>
          <w:szCs w:val="19"/>
        </w:rPr>
        <w:t xml:space="preserve">[사실] 금융위 기준 3월말 PF대출 연체율 4.65%(+0.77%p), 중소금융사 토담대 연체율 31.88%(2026-03-31, 웹확인). 기준금리 3.00%(2026-10-22, 수기), KTB 3Y 3.803%(2026-10-23, 수기).</w:t>
      </w:r>
    </w:p>
    <w:p>
      <w:pPr>
        <w:pStyle w:val="ListParagraph"/>
        <w:numPr>
          <w:ilvl w:val="0"/>
          <w:numId w:val="2"/>
        </w:numPr>
        <w:spacing w:after="40" w:before="40" w:line="276"/>
      </w:pPr>
      <w:r>
        <w:rPr>
          <w:rFonts w:ascii="맑은 고딕" w:cs="맑은 고딕" w:eastAsia="맑은 고딕" w:hAnsi="맑은 고딕"/>
          <w:b/>
          <w:bCs/>
          <w:color w:val="1E3A5F"/>
          <w:sz w:val="19"/>
          <w:szCs w:val="19"/>
        </w:rPr>
        <w:t xml:space="preserve">단기 </w:t>
      </w:r>
      <w:r>
        <w:rPr>
          <w:rFonts w:ascii="맑은 고딕" w:cs="맑은 고딕" w:eastAsia="맑은 고딕" w:hAnsi="맑은 고딕"/>
          <w:color w:val="1F2937"/>
          <w:sz w:val="19"/>
          <w:szCs w:val="19"/>
        </w:rPr>
        <w:t xml:space="preserve">[하우스] PF 연체율은 하락 추세(20261020_신한_WeeklyCreditMonitor, p.1). [판단] 다만 기준금리 인상 재개(작업가정)는 변동금리 사모대출·LBO 차주의 이자부담을 키우고, 토담대 등 후순위·2금융권 부실이 남아 있어 사모대출 부도율은 소… (확신도 낮음)</w:t>
      </w:r>
    </w:p>
    <w:p>
      <w:pPr>
        <w:pStyle w:val="ListParagraph"/>
        <w:numPr>
          <w:ilvl w:val="0"/>
          <w:numId w:val="2"/>
        </w:numPr>
        <w:spacing w:after="40" w:before="40" w:line="276"/>
      </w:pPr>
      <w:r>
        <w:rPr>
          <w:rFonts w:ascii="맑은 고딕" w:cs="맑은 고딕" w:eastAsia="맑은 고딕" w:hAnsi="맑은 고딕"/>
          <w:b/>
          <w:bCs/>
          <w:color w:val="1E3A5F"/>
          <w:sz w:val="19"/>
          <w:szCs w:val="19"/>
        </w:rPr>
        <w:t xml:space="preserve">장기 </w:t>
      </w:r>
      <w:r>
        <w:rPr>
          <w:rFonts w:ascii="맑은 고딕" w:cs="맑은 고딕" w:eastAsia="맑은 고딕" w:hAnsi="맑은 고딕"/>
          <w:color w:val="1F2937"/>
          <w:sz w:val="19"/>
          <w:szCs w:val="19"/>
        </w:rPr>
        <w:t xml:space="preserve">Base 0.55: [판단] 2회 인상 후 동결, PF 정리 마무리. 사모대출 시장은 규제 공백을 채우며 성장하되 부도율은 금리 부담으로 소폭 상승.  /  Bull 0.2: [판단] 금리 안정·조기 인하, PF 정상화 가속과 차주 재무 개선으로 부도율 하락.  /  Bear 0.25: [판단] 인상 폭 확대와 경기 둔화로 LBO·부동산 담보 사모대출 부실 확대, 2금융권 토담대 부실 전이.</w:t>
      </w:r>
    </w:p>
    <w:p>
      <w:pPr>
        <w:pStyle w:val="ListParagraph"/>
        <w:numPr>
          <w:ilvl w:val="0"/>
          <w:numId w:val="2"/>
        </w:numPr>
        <w:spacing w:after="40" w:before="40" w:line="276"/>
      </w:pPr>
      <w:r>
        <w:rPr>
          <w:rFonts w:ascii="맑은 고딕" w:cs="맑은 고딕" w:eastAsia="맑은 고딕" w:hAnsi="맑은 고딕"/>
          <w:b/>
          <w:bCs/>
          <w:color w:val="1E3A5F"/>
          <w:sz w:val="19"/>
          <w:szCs w:val="19"/>
        </w:rPr>
        <w:t xml:space="preserve">하우스 </w:t>
      </w:r>
      <w:r>
        <w:rPr>
          <w:rFonts w:ascii="맑은 고딕" w:cs="맑은 고딕" w:eastAsia="맑은 고딕" w:hAnsi="맑은 고딕"/>
          <w:color w:val="1F2937"/>
          <w:sz w:val="19"/>
          <w:szCs w:val="19"/>
        </w:rPr>
        <w:t xml:space="preserve">[하우스] 신한투자증권 1곳(20261020_신한_WeeklyCreditMonitor, p.1): PF대출 연체율 하락, PF 시장 안정 국면(방향 하락, 확신도 낮음, 목표치 없음). 사모대출 직접 뷰 없음. (1건)</w:t>
      </w:r>
    </w:p>
    <w:p>
      <w:pPr>
        <w:pStyle w:val="ListParagraph"/>
        <w:numPr>
          <w:ilvl w:val="0"/>
          <w:numId w:val="2"/>
        </w:numPr>
        <w:spacing w:after="40" w:before="40" w:line="276"/>
      </w:pPr>
      <w:r>
        <w:rPr>
          <w:rFonts w:ascii="맑은 고딕" w:cs="맑은 고딕" w:eastAsia="맑은 고딕" w:hAnsi="맑은 고딕"/>
          <w:b/>
          <w:bCs/>
          <w:color w:val="1E3A5F"/>
          <w:sz w:val="19"/>
          <w:szCs w:val="19"/>
        </w:rPr>
        <w:t xml:space="preserve">공백 </w:t>
      </w:r>
      <w:r>
        <w:rPr>
          <w:rFonts w:ascii="맑은 고딕" w:cs="맑은 고딕" w:eastAsia="맑은 고딕" w:hAnsi="맑은 고딕"/>
          <w:color w:val="1F2937"/>
          <w:sz w:val="19"/>
          <w:szCs w:val="19"/>
        </w:rPr>
        <w:t xml:space="preserve">하우스 뷰 부족(1곳: 신한투자증권); 국내 사모대출 부도율·인수금융 금리 공개 통계 미확인</w:t>
      </w:r>
    </w:p>
    <w:p>
      <w:pPr>
        <w:pStyle w:val="Heading2"/>
        <w:keepNext/>
        <w:pBdr>
          <w:bottom w:val="single" w:color="1E3A5F" w:sz="6" w:space="2"/>
        </w:pBdr>
        <w:spacing w:after="80" w:before="260"/>
      </w:pPr>
      <w:r>
        <w:rPr>
          <w:rFonts w:ascii="맑은 고딕" w:cs="맑은 고딕" w:eastAsia="맑은 고딕" w:hAnsi="맑은 고딕"/>
          <w:b/>
          <w:bCs/>
          <w:color w:val="1E3A5F"/>
          <w:sz w:val="23"/>
          <w:szCs w:val="23"/>
        </w:rPr>
        <w:t xml:space="preserve">13. 미국 대체투자 - 부동산</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00"/>
        <w:gridCol w:w="2200"/>
        <w:gridCol w:w="1700"/>
        <w:gridCol w:w="2138"/>
      </w:tblGrid>
      <w:tr>
        <w:trPr>
          <w:tblHeader/>
        </w:trPr>
        <w:tc>
          <w:tcPr>
            <w:tcW w:type="dxa" w:w="3600"/>
            <w:tcBorders>
              <w:top w:val="single" w:color="D1D5DB" w:sz="4"/>
              <w:left w:val="single" w:color="D1D5DB" w:sz="4"/>
              <w:bottom w:val="single" w:color="D1D5DB" w:sz="4"/>
              <w:right w:val="single" w:color="D1D5DB" w:sz="4"/>
            </w:tcBorders>
            <w:shd w:fill="E8EEF6" w:color="auto" w:val="clear"/>
            <w:tcMar>
              <w:top w:type="dxa" w:w="50"/>
              <w:left w:type="dxa" w:w="90"/>
              <w:bottom w:type="dxa" w:w="50"/>
              <w:right w:type="dxa" w:w="90"/>
            </w:tcMar>
          </w:tcPr>
          <w:p>
            <w:pPr>
              <w:spacing w:after="0" w:before="0" w:line="252"/>
            </w:pPr>
            <w:r>
              <w:rPr>
                <w:rFonts w:ascii="맑은 고딕" w:cs="맑은 고딕" w:eastAsia="맑은 고딕" w:hAnsi="맑은 고딕"/>
                <w:b/>
                <w:bCs/>
                <w:color w:val="1F2937"/>
                <w:sz w:val="17"/>
                <w:szCs w:val="17"/>
              </w:rPr>
              <w:t xml:space="preserve">지표</w:t>
            </w:r>
          </w:p>
        </w:tc>
        <w:tc>
          <w:tcPr>
            <w:tcW w:type="dxa" w:w="2200"/>
            <w:tcBorders>
              <w:top w:val="single" w:color="D1D5DB" w:sz="4"/>
              <w:left w:val="single" w:color="D1D5DB" w:sz="4"/>
              <w:bottom w:val="single" w:color="D1D5DB" w:sz="4"/>
              <w:right w:val="single" w:color="D1D5DB" w:sz="4"/>
            </w:tcBorders>
            <w:shd w:fill="E8EEF6" w:color="auto" w:val="clear"/>
            <w:tcMar>
              <w:top w:type="dxa" w:w="50"/>
              <w:left w:type="dxa" w:w="90"/>
              <w:bottom w:type="dxa" w:w="50"/>
              <w:right w:type="dxa" w:w="90"/>
            </w:tcMar>
          </w:tcPr>
          <w:p>
            <w:pPr>
              <w:spacing w:after="0" w:before="0" w:line="252"/>
            </w:pPr>
            <w:r>
              <w:rPr>
                <w:rFonts w:ascii="맑은 고딕" w:cs="맑은 고딕" w:eastAsia="맑은 고딕" w:hAnsi="맑은 고딕"/>
                <w:b/>
                <w:bCs/>
                <w:color w:val="1F2937"/>
                <w:sz w:val="17"/>
                <w:szCs w:val="17"/>
              </w:rPr>
              <w:t xml:space="preserve">값</w:t>
            </w:r>
          </w:p>
        </w:tc>
        <w:tc>
          <w:tcPr>
            <w:tcW w:type="dxa" w:w="1700"/>
            <w:tcBorders>
              <w:top w:val="single" w:color="D1D5DB" w:sz="4"/>
              <w:left w:val="single" w:color="D1D5DB" w:sz="4"/>
              <w:bottom w:val="single" w:color="D1D5DB" w:sz="4"/>
              <w:right w:val="single" w:color="D1D5DB" w:sz="4"/>
            </w:tcBorders>
            <w:shd w:fill="E8EEF6" w:color="auto" w:val="clear"/>
            <w:tcMar>
              <w:top w:type="dxa" w:w="50"/>
              <w:left w:type="dxa" w:w="90"/>
              <w:bottom w:type="dxa" w:w="50"/>
              <w:right w:type="dxa" w:w="90"/>
            </w:tcMar>
          </w:tcPr>
          <w:p>
            <w:pPr>
              <w:spacing w:after="0" w:before="0" w:line="252"/>
            </w:pPr>
            <w:r>
              <w:rPr>
                <w:rFonts w:ascii="맑은 고딕" w:cs="맑은 고딕" w:eastAsia="맑은 고딕" w:hAnsi="맑은 고딕"/>
                <w:b/>
                <w:bCs/>
                <w:color w:val="1F2937"/>
                <w:sz w:val="17"/>
                <w:szCs w:val="17"/>
              </w:rPr>
              <w:t xml:space="preserve">기준일</w:t>
            </w:r>
          </w:p>
        </w:tc>
        <w:tc>
          <w:tcPr>
            <w:tcW w:type="dxa" w:w="2138"/>
            <w:tcBorders>
              <w:top w:val="single" w:color="D1D5DB" w:sz="4"/>
              <w:left w:val="single" w:color="D1D5DB" w:sz="4"/>
              <w:bottom w:val="single" w:color="D1D5DB" w:sz="4"/>
              <w:right w:val="single" w:color="D1D5DB" w:sz="4"/>
            </w:tcBorders>
            <w:shd w:fill="E8EEF6" w:color="auto" w:val="clear"/>
            <w:tcMar>
              <w:top w:type="dxa" w:w="50"/>
              <w:left w:type="dxa" w:w="90"/>
              <w:bottom w:type="dxa" w:w="50"/>
              <w:right w:type="dxa" w:w="90"/>
            </w:tcMar>
          </w:tcPr>
          <w:p>
            <w:pPr>
              <w:spacing w:after="0" w:before="0" w:line="252"/>
            </w:pPr>
            <w:r>
              <w:rPr>
                <w:rFonts w:ascii="맑은 고딕" w:cs="맑은 고딕" w:eastAsia="맑은 고딕" w:hAnsi="맑은 고딕"/>
                <w:b/>
                <w:bCs/>
                <w:color w:val="1F2937"/>
                <w:sz w:val="17"/>
                <w:szCs w:val="17"/>
              </w:rPr>
              <w:t xml:space="preserve">출처 플래그</w:t>
            </w:r>
          </w:p>
        </w:tc>
      </w:tr>
      <w:tr>
        <w:trPr>
          <w:cantSplit/>
        </w:trPr>
        <w:tc>
          <w:tcPr>
            <w:tcW w:type="dxa" w:w="36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미국 CMBS 연체율(Trepp, 전체)</w:t>
            </w:r>
          </w:p>
        </w:tc>
        <w:tc>
          <w:tcPr>
            <w:tcW w:type="dxa" w:w="22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8.02 %</w:t>
            </w:r>
          </w:p>
        </w:tc>
        <w:tc>
          <w:tcPr>
            <w:tcW w:type="dxa" w:w="17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2026-09-30</w:t>
            </w:r>
          </w:p>
        </w:tc>
        <w:tc>
          <w:tcPr>
            <w:tcW w:type="dxa" w:w="2138"/>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웹확인 ⚠</w:t>
            </w:r>
          </w:p>
        </w:tc>
      </w:tr>
      <w:tr>
        <w:trPr>
          <w:cantSplit/>
        </w:trPr>
        <w:tc>
          <w:tcPr>
            <w:tcW w:type="dxa" w:w="36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미국 CMBS 오피스 연체율(Trepp)</w:t>
            </w:r>
          </w:p>
        </w:tc>
        <w:tc>
          <w:tcPr>
            <w:tcW w:type="dxa" w:w="22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12.16 %</w:t>
            </w:r>
          </w:p>
        </w:tc>
        <w:tc>
          <w:tcPr>
            <w:tcW w:type="dxa" w:w="17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2026-09-30</w:t>
            </w:r>
          </w:p>
        </w:tc>
        <w:tc>
          <w:tcPr>
            <w:tcW w:type="dxa" w:w="2138"/>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웹확인 ⚠</w:t>
            </w:r>
          </w:p>
        </w:tc>
      </w:tr>
      <w:tr>
        <w:trPr>
          <w:cantSplit/>
        </w:trPr>
        <w:tc>
          <w:tcPr>
            <w:tcW w:type="dxa" w:w="36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미국 CMBS 멀티패밀리 연체율(Trepp)</w:t>
            </w:r>
          </w:p>
        </w:tc>
        <w:tc>
          <w:tcPr>
            <w:tcW w:type="dxa" w:w="22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8.04 %</w:t>
            </w:r>
          </w:p>
        </w:tc>
        <w:tc>
          <w:tcPr>
            <w:tcW w:type="dxa" w:w="17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2026-09-30</w:t>
            </w:r>
          </w:p>
        </w:tc>
        <w:tc>
          <w:tcPr>
            <w:tcW w:type="dxa" w:w="2138"/>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웹확인 ⚠</w:t>
            </w:r>
          </w:p>
        </w:tc>
      </w:tr>
      <w:tr>
        <w:trPr>
          <w:cantSplit/>
        </w:trPr>
        <w:tc>
          <w:tcPr>
            <w:tcW w:type="dxa" w:w="36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KBRA 등급 CMBS 30일+ 연체율</w:t>
            </w:r>
          </w:p>
        </w:tc>
        <w:tc>
          <w:tcPr>
            <w:tcW w:type="dxa" w:w="22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7.7 %</w:t>
            </w:r>
          </w:p>
        </w:tc>
        <w:tc>
          <w:tcPr>
            <w:tcW w:type="dxa" w:w="17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2026-09-30</w:t>
            </w:r>
          </w:p>
        </w:tc>
        <w:tc>
          <w:tcPr>
            <w:tcW w:type="dxa" w:w="2138"/>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웹확인 ⚠</w:t>
            </w:r>
          </w:p>
        </w:tc>
      </w:tr>
    </w:tbl>
    <w:p>
      <w:pPr>
        <w:pStyle w:val="ListParagraph"/>
        <w:numPr>
          <w:ilvl w:val="0"/>
          <w:numId w:val="2"/>
        </w:numPr>
        <w:spacing w:after="40" w:before="40" w:line="276"/>
      </w:pPr>
      <w:r>
        <w:rPr>
          <w:rFonts w:ascii="맑은 고딕" w:cs="맑은 고딕" w:eastAsia="맑은 고딕" w:hAnsi="맑은 고딕"/>
          <w:b/>
          <w:bCs/>
          <w:color w:val="1E3A5F"/>
          <w:sz w:val="19"/>
          <w:szCs w:val="19"/>
        </w:rPr>
        <w:t xml:space="preserve">현황 </w:t>
      </w:r>
      <w:r>
        <w:rPr>
          <w:rFonts w:ascii="맑은 고딕" w:cs="맑은 고딕" w:eastAsia="맑은 고딕" w:hAnsi="맑은 고딕"/>
          <w:color w:val="1F2937"/>
          <w:sz w:val="19"/>
          <w:szCs w:val="19"/>
        </w:rPr>
        <w:t xml:space="preserve">[사실] snapshot에 미국 CRE API 데이터 없음(API 데이터 미수집) — 현황은 전부 웹확인. [사실] Trepp CMBS 연체율 8.02%(2026-09, 전월 7.85%, 2020년 이후 최고) — 대형 SASB 대출 5건이 상승 주도, 오피스 12.1…</w:t>
      </w:r>
    </w:p>
    <w:p>
      <w:pPr>
        <w:pStyle w:val="ListParagraph"/>
        <w:numPr>
          <w:ilvl w:val="0"/>
          <w:numId w:val="2"/>
        </w:numPr>
        <w:spacing w:after="40" w:before="40" w:line="276"/>
      </w:pPr>
      <w:r>
        <w:rPr>
          <w:rFonts w:ascii="맑은 고딕" w:cs="맑은 고딕" w:eastAsia="맑은 고딕" w:hAnsi="맑은 고딕"/>
          <w:b/>
          <w:bCs/>
          <w:color w:val="1E3A5F"/>
          <w:sz w:val="19"/>
          <w:szCs w:val="19"/>
        </w:rPr>
        <w:t xml:space="preserve">단기 </w:t>
      </w:r>
      <w:r>
        <w:rPr>
          <w:rFonts w:ascii="맑은 고딕" w:cs="맑은 고딕" w:eastAsia="맑은 고딕" w:hAnsi="맑은 고딕"/>
          <w:color w:val="1F2937"/>
          <w:sz w:val="19"/>
          <w:szCs w:val="19"/>
        </w:rPr>
        <w:t xml:space="preserve">[판단] FOMC 매파적 동결·UST10Y 4.90~5.15% 밴드(신한 단기 전망) 하에서 캡레이트는 하방 경직적 — 전체 가격은 보합, 오피스·노후 멀티패밀리는 만기 미상환발 연체 확대로 약세 지속. (확신도 중간)</w:t>
      </w:r>
    </w:p>
    <w:p>
      <w:pPr>
        <w:pStyle w:val="ListParagraph"/>
        <w:numPr>
          <w:ilvl w:val="0"/>
          <w:numId w:val="2"/>
        </w:numPr>
        <w:spacing w:after="40" w:before="40" w:line="276"/>
      </w:pPr>
      <w:r>
        <w:rPr>
          <w:rFonts w:ascii="맑은 고딕" w:cs="맑은 고딕" w:eastAsia="맑은 고딕" w:hAnsi="맑은 고딕"/>
          <w:b/>
          <w:bCs/>
          <w:color w:val="1E3A5F"/>
          <w:sz w:val="19"/>
          <w:szCs w:val="19"/>
        </w:rPr>
        <w:t xml:space="preserve">장기 </w:t>
      </w:r>
      <w:r>
        <w:rPr>
          <w:rFonts w:ascii="맑은 고딕" w:cs="맑은 고딕" w:eastAsia="맑은 고딕" w:hAnsi="맑은 고딕"/>
          <w:color w:val="1F2937"/>
          <w:sz w:val="19"/>
          <w:szCs w:val="19"/>
        </w:rPr>
        <w:t xml:space="preserve">Base 0.55: [판단] UST10Y 완만 하락(가정 −25bp)으로 캡레이트 소폭 하락, 가격은 연 한 자릿수 초반 회복. 오피스는 손실 인식·할인매각이 2027년까지…  /  Bull 0.2: [판단] 인플레 둔화로 연준 재인하·UST10Y 큰 폭 하락(가정 −75bp), 거래량 회복과 리파이낸싱 원활화로 캡레이트 의미 있게 압축, 오피스도 바…  /  Bear 0.25: [판단] 인플레 재가속·추가 인상 우려로 UST10Y 상승(가정 +50bp), 만기도래 대출의 리파이낸싱 실패·강제매각 확대, CMBS 연체율 추가 상승…</w:t>
      </w:r>
    </w:p>
    <w:p>
      <w:pPr>
        <w:pStyle w:val="ListParagraph"/>
        <w:numPr>
          <w:ilvl w:val="0"/>
          <w:numId w:val="2"/>
        </w:numPr>
        <w:spacing w:after="40" w:before="40" w:line="276"/>
      </w:pPr>
      <w:r>
        <w:rPr>
          <w:rFonts w:ascii="맑은 고딕" w:cs="맑은 고딕" w:eastAsia="맑은 고딕" w:hAnsi="맑은 고딕"/>
          <w:b/>
          <w:bCs/>
          <w:color w:val="1E3A5F"/>
          <w:sz w:val="19"/>
          <w:szCs w:val="19"/>
        </w:rPr>
        <w:t xml:space="preserve">하우스 </w:t>
      </w:r>
      <w:r>
        <w:rPr>
          <w:rFonts w:ascii="맑은 고딕" w:cs="맑은 고딕" w:eastAsia="맑은 고딕" w:hAnsi="맑은 고딕"/>
          <w:color w:val="1F2937"/>
          <w:sz w:val="19"/>
          <w:szCs w:val="19"/>
        </w:rPr>
        <w:t xml:space="preserve">[하우스] 신한투자증권 1곳(20261023_신한_WeeklyGuideBook p.12): 상장 리츠 기준 고금리 환경에서 리테일 리츠 유리, 데이터센터 회복 제한, 오피스 부진 — 단기 중립, 확신도 낮음. 상장 리츠 시각이므로 사모 CRE 판단에는 참고 수준으로만 반영. (1건)</w:t>
      </w:r>
    </w:p>
    <w:p>
      <w:pPr>
        <w:pStyle w:val="ListParagraph"/>
        <w:numPr>
          <w:ilvl w:val="0"/>
          <w:numId w:val="2"/>
        </w:numPr>
        <w:spacing w:after="40" w:before="40" w:line="276"/>
      </w:pPr>
      <w:r>
        <w:rPr>
          <w:rFonts w:ascii="맑은 고딕" w:cs="맑은 고딕" w:eastAsia="맑은 고딕" w:hAnsi="맑은 고딕"/>
          <w:b/>
          <w:bCs/>
          <w:color w:val="1E3A5F"/>
          <w:sz w:val="19"/>
          <w:szCs w:val="19"/>
        </w:rPr>
        <w:t xml:space="preserve">공백 </w:t>
      </w:r>
      <w:r>
        <w:rPr>
          <w:rFonts w:ascii="맑은 고딕" w:cs="맑은 고딕" w:eastAsia="맑은 고딕" w:hAnsi="맑은 고딕"/>
          <w:color w:val="1F2937"/>
          <w:sz w:val="19"/>
          <w:szCs w:val="19"/>
        </w:rPr>
        <w:t xml:space="preserve">API 데이터 미수집 — snapshot에 미국 CRE 지표 없음, 전부 웹확인; Green Street CPPI 기준일 2026-07-31, 86일 경과(stale) — 8~9월 수치 미확인</w:t>
      </w:r>
    </w:p>
    <w:p>
      <w:pPr>
        <w:pStyle w:val="Heading2"/>
        <w:keepNext/>
        <w:pBdr>
          <w:bottom w:val="single" w:color="1E3A5F" w:sz="6" w:space="2"/>
        </w:pBdr>
        <w:spacing w:after="80" w:before="260"/>
      </w:pPr>
      <w:r>
        <w:rPr>
          <w:rFonts w:ascii="맑은 고딕" w:cs="맑은 고딕" w:eastAsia="맑은 고딕" w:hAnsi="맑은 고딕"/>
          <w:b/>
          <w:bCs/>
          <w:color w:val="1E3A5F"/>
          <w:sz w:val="23"/>
          <w:szCs w:val="23"/>
        </w:rPr>
        <w:t xml:space="preserve">14. 미국 대체투자 - 인프라</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00"/>
        <w:gridCol w:w="2200"/>
        <w:gridCol w:w="1700"/>
        <w:gridCol w:w="2138"/>
      </w:tblGrid>
      <w:tr>
        <w:trPr>
          <w:tblHeader/>
        </w:trPr>
        <w:tc>
          <w:tcPr>
            <w:tcW w:type="dxa" w:w="3600"/>
            <w:tcBorders>
              <w:top w:val="single" w:color="D1D5DB" w:sz="4"/>
              <w:left w:val="single" w:color="D1D5DB" w:sz="4"/>
              <w:bottom w:val="single" w:color="D1D5DB" w:sz="4"/>
              <w:right w:val="single" w:color="D1D5DB" w:sz="4"/>
            </w:tcBorders>
            <w:shd w:fill="E8EEF6" w:color="auto" w:val="clear"/>
            <w:tcMar>
              <w:top w:type="dxa" w:w="50"/>
              <w:left w:type="dxa" w:w="90"/>
              <w:bottom w:type="dxa" w:w="50"/>
              <w:right w:type="dxa" w:w="90"/>
            </w:tcMar>
          </w:tcPr>
          <w:p>
            <w:pPr>
              <w:spacing w:after="0" w:before="0" w:line="252"/>
            </w:pPr>
            <w:r>
              <w:rPr>
                <w:rFonts w:ascii="맑은 고딕" w:cs="맑은 고딕" w:eastAsia="맑은 고딕" w:hAnsi="맑은 고딕"/>
                <w:b/>
                <w:bCs/>
                <w:color w:val="1F2937"/>
                <w:sz w:val="17"/>
                <w:szCs w:val="17"/>
              </w:rPr>
              <w:t xml:space="preserve">지표</w:t>
            </w:r>
          </w:p>
        </w:tc>
        <w:tc>
          <w:tcPr>
            <w:tcW w:type="dxa" w:w="2200"/>
            <w:tcBorders>
              <w:top w:val="single" w:color="D1D5DB" w:sz="4"/>
              <w:left w:val="single" w:color="D1D5DB" w:sz="4"/>
              <w:bottom w:val="single" w:color="D1D5DB" w:sz="4"/>
              <w:right w:val="single" w:color="D1D5DB" w:sz="4"/>
            </w:tcBorders>
            <w:shd w:fill="E8EEF6" w:color="auto" w:val="clear"/>
            <w:tcMar>
              <w:top w:type="dxa" w:w="50"/>
              <w:left w:type="dxa" w:w="90"/>
              <w:bottom w:type="dxa" w:w="50"/>
              <w:right w:type="dxa" w:w="90"/>
            </w:tcMar>
          </w:tcPr>
          <w:p>
            <w:pPr>
              <w:spacing w:after="0" w:before="0" w:line="252"/>
            </w:pPr>
            <w:r>
              <w:rPr>
                <w:rFonts w:ascii="맑은 고딕" w:cs="맑은 고딕" w:eastAsia="맑은 고딕" w:hAnsi="맑은 고딕"/>
                <w:b/>
                <w:bCs/>
                <w:color w:val="1F2937"/>
                <w:sz w:val="17"/>
                <w:szCs w:val="17"/>
              </w:rPr>
              <w:t xml:space="preserve">값</w:t>
            </w:r>
          </w:p>
        </w:tc>
        <w:tc>
          <w:tcPr>
            <w:tcW w:type="dxa" w:w="1700"/>
            <w:tcBorders>
              <w:top w:val="single" w:color="D1D5DB" w:sz="4"/>
              <w:left w:val="single" w:color="D1D5DB" w:sz="4"/>
              <w:bottom w:val="single" w:color="D1D5DB" w:sz="4"/>
              <w:right w:val="single" w:color="D1D5DB" w:sz="4"/>
            </w:tcBorders>
            <w:shd w:fill="E8EEF6" w:color="auto" w:val="clear"/>
            <w:tcMar>
              <w:top w:type="dxa" w:w="50"/>
              <w:left w:type="dxa" w:w="90"/>
              <w:bottom w:type="dxa" w:w="50"/>
              <w:right w:type="dxa" w:w="90"/>
            </w:tcMar>
          </w:tcPr>
          <w:p>
            <w:pPr>
              <w:spacing w:after="0" w:before="0" w:line="252"/>
            </w:pPr>
            <w:r>
              <w:rPr>
                <w:rFonts w:ascii="맑은 고딕" w:cs="맑은 고딕" w:eastAsia="맑은 고딕" w:hAnsi="맑은 고딕"/>
                <w:b/>
                <w:bCs/>
                <w:color w:val="1F2937"/>
                <w:sz w:val="17"/>
                <w:szCs w:val="17"/>
              </w:rPr>
              <w:t xml:space="preserve">기준일</w:t>
            </w:r>
          </w:p>
        </w:tc>
        <w:tc>
          <w:tcPr>
            <w:tcW w:type="dxa" w:w="2138"/>
            <w:tcBorders>
              <w:top w:val="single" w:color="D1D5DB" w:sz="4"/>
              <w:left w:val="single" w:color="D1D5DB" w:sz="4"/>
              <w:bottom w:val="single" w:color="D1D5DB" w:sz="4"/>
              <w:right w:val="single" w:color="D1D5DB" w:sz="4"/>
            </w:tcBorders>
            <w:shd w:fill="E8EEF6" w:color="auto" w:val="clear"/>
            <w:tcMar>
              <w:top w:type="dxa" w:w="50"/>
              <w:left w:type="dxa" w:w="90"/>
              <w:bottom w:type="dxa" w:w="50"/>
              <w:right w:type="dxa" w:w="90"/>
            </w:tcMar>
          </w:tcPr>
          <w:p>
            <w:pPr>
              <w:spacing w:after="0" w:before="0" w:line="252"/>
            </w:pPr>
            <w:r>
              <w:rPr>
                <w:rFonts w:ascii="맑은 고딕" w:cs="맑은 고딕" w:eastAsia="맑은 고딕" w:hAnsi="맑은 고딕"/>
                <w:b/>
                <w:bCs/>
                <w:color w:val="1F2937"/>
                <w:sz w:val="17"/>
                <w:szCs w:val="17"/>
              </w:rPr>
              <w:t xml:space="preserve">출처 플래그</w:t>
            </w:r>
          </w:p>
        </w:tc>
      </w:tr>
      <w:tr>
        <w:trPr>
          <w:cantSplit/>
        </w:trPr>
        <w:tc>
          <w:tcPr>
            <w:tcW w:type="dxa" w:w="36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EIA 2026년 미국 전력수요 전망(STEO 2026-10)</w:t>
            </w:r>
          </w:p>
        </w:tc>
        <w:tc>
          <w:tcPr>
            <w:tcW w:type="dxa" w:w="22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4288 billion kWh</w:t>
            </w:r>
          </w:p>
        </w:tc>
        <w:tc>
          <w:tcPr>
            <w:tcW w:type="dxa" w:w="17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2026-10-07</w:t>
            </w:r>
          </w:p>
        </w:tc>
        <w:tc>
          <w:tcPr>
            <w:tcW w:type="dxa" w:w="2138"/>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웹확인 ⚠</w:t>
            </w:r>
          </w:p>
        </w:tc>
      </w:tr>
      <w:tr>
        <w:trPr>
          <w:cantSplit/>
        </w:trPr>
        <w:tc>
          <w:tcPr>
            <w:tcW w:type="dxa" w:w="36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EIA 2027년 미국 전력수요 전망(STEO 2026-10)</w:t>
            </w:r>
          </w:p>
        </w:tc>
        <w:tc>
          <w:tcPr>
            <w:tcW w:type="dxa" w:w="22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4356 billion kWh</w:t>
            </w:r>
          </w:p>
        </w:tc>
        <w:tc>
          <w:tcPr>
            <w:tcW w:type="dxa" w:w="17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2026-10-07</w:t>
            </w:r>
          </w:p>
        </w:tc>
        <w:tc>
          <w:tcPr>
            <w:tcW w:type="dxa" w:w="2138"/>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웹확인 ⚠</w:t>
            </w:r>
          </w:p>
        </w:tc>
      </w:tr>
      <w:tr>
        <w:trPr>
          <w:cantSplit/>
        </w:trPr>
        <w:tc>
          <w:tcPr>
            <w:tcW w:type="dxa" w:w="36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미국 전력수요 2025년 실적(EIA)</w:t>
            </w:r>
          </w:p>
        </w:tc>
        <w:tc>
          <w:tcPr>
            <w:tcW w:type="dxa" w:w="22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4195 billion kWh</w:t>
            </w:r>
          </w:p>
        </w:tc>
        <w:tc>
          <w:tcPr>
            <w:tcW w:type="dxa" w:w="17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2026-10-07</w:t>
            </w:r>
          </w:p>
        </w:tc>
        <w:tc>
          <w:tcPr>
            <w:tcW w:type="dxa" w:w="2138"/>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웹확인 ⚠</w:t>
            </w:r>
          </w:p>
        </w:tc>
      </w:tr>
      <w:tr>
        <w:trPr>
          <w:cantSplit/>
        </w:trPr>
        <w:tc>
          <w:tcPr>
            <w:tcW w:type="dxa" w:w="36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EIA 2026 도매전력가격 전망</w:t>
            </w:r>
          </w:p>
        </w:tc>
        <w:tc>
          <w:tcPr>
            <w:tcW w:type="dxa" w:w="22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52 USD/MWh</w:t>
            </w:r>
          </w:p>
        </w:tc>
        <w:tc>
          <w:tcPr>
            <w:tcW w:type="dxa" w:w="17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2026-10-07</w:t>
            </w:r>
          </w:p>
        </w:tc>
        <w:tc>
          <w:tcPr>
            <w:tcW w:type="dxa" w:w="2138"/>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웹확인 ⚠</w:t>
            </w:r>
          </w:p>
        </w:tc>
      </w:tr>
    </w:tbl>
    <w:p>
      <w:pPr>
        <w:pStyle w:val="ListParagraph"/>
        <w:numPr>
          <w:ilvl w:val="0"/>
          <w:numId w:val="2"/>
        </w:numPr>
        <w:spacing w:after="40" w:before="40" w:line="276"/>
      </w:pPr>
      <w:r>
        <w:rPr>
          <w:rFonts w:ascii="맑은 고딕" w:cs="맑은 고딕" w:eastAsia="맑은 고딕" w:hAnsi="맑은 고딕"/>
          <w:b/>
          <w:bCs/>
          <w:color w:val="1E3A5F"/>
          <w:sz w:val="19"/>
          <w:szCs w:val="19"/>
        </w:rPr>
        <w:t xml:space="preserve">현황 </w:t>
      </w:r>
      <w:r>
        <w:rPr>
          <w:rFonts w:ascii="맑은 고딕" w:cs="맑은 고딕" w:eastAsia="맑은 고딕" w:hAnsi="맑은 고딕"/>
          <w:color w:val="1F2937"/>
          <w:sz w:val="19"/>
          <w:szCs w:val="19"/>
        </w:rPr>
        <w:t xml:space="preserve">[사실] snapshot에 인프라 API 데이터 없음(API 데이터 미수집). [사실] EIA STEO(2026-10 발표, 보도 기준): 미국 전력수요 2025년 4,195 → 2026년 4,288 → 2027년 4,356 bkWh로 2년 연속 사상 최고, AI·암호…</w:t>
      </w:r>
    </w:p>
    <w:p>
      <w:pPr>
        <w:pStyle w:val="ListParagraph"/>
        <w:numPr>
          <w:ilvl w:val="0"/>
          <w:numId w:val="2"/>
        </w:numPr>
        <w:spacing w:after="40" w:before="40" w:line="276"/>
      </w:pPr>
      <w:r>
        <w:rPr>
          <w:rFonts w:ascii="맑은 고딕" w:cs="맑은 고딕" w:eastAsia="맑은 고딕" w:hAnsi="맑은 고딕"/>
          <w:b/>
          <w:bCs/>
          <w:color w:val="1E3A5F"/>
          <w:sz w:val="19"/>
          <w:szCs w:val="19"/>
        </w:rPr>
        <w:t xml:space="preserve">단기 </w:t>
      </w:r>
      <w:r>
        <w:rPr>
          <w:rFonts w:ascii="맑은 고딕" w:cs="맑은 고딕" w:eastAsia="맑은 고딕" w:hAnsi="맑은 고딕"/>
          <w:color w:val="1F2937"/>
          <w:sz w:val="19"/>
          <w:szCs w:val="19"/>
        </w:rPr>
        <w:t xml:space="preserve">[판단] 매파적 동결·UST10Y 5% 내외 고착으로 할인율 하락 여지 제한, 평가가치는 보합. [판단] 데이터센터 연계 발전·송전·가스 미드스트림은 계약 수요 견조로 상대 강세, 순수 재생에너지는 정책 불확실성(IRA 세액공제 축소 영향 — 세부 미확인)과 고금리로… (확신도 중간)</w:t>
      </w:r>
    </w:p>
    <w:p>
      <w:pPr>
        <w:pStyle w:val="ListParagraph"/>
        <w:numPr>
          <w:ilvl w:val="0"/>
          <w:numId w:val="2"/>
        </w:numPr>
        <w:spacing w:after="40" w:before="40" w:line="276"/>
      </w:pPr>
      <w:r>
        <w:rPr>
          <w:rFonts w:ascii="맑은 고딕" w:cs="맑은 고딕" w:eastAsia="맑은 고딕" w:hAnsi="맑은 고딕"/>
          <w:b/>
          <w:bCs/>
          <w:color w:val="1E3A5F"/>
          <w:sz w:val="19"/>
          <w:szCs w:val="19"/>
        </w:rPr>
        <w:t xml:space="preserve">장기 </w:t>
      </w:r>
      <w:r>
        <w:rPr>
          <w:rFonts w:ascii="맑은 고딕" w:cs="맑은 고딕" w:eastAsia="맑은 고딕" w:hAnsi="맑은 고딕"/>
          <w:color w:val="1F2937"/>
          <w:sz w:val="19"/>
          <w:szCs w:val="19"/>
        </w:rPr>
        <w:t xml:space="preserve">Base 0.55: [판단] 전력·데이터센터 수요가 계약 현금흐름을 지지하고 UST10Y 완만 하락(가정 −25bp)으로 할인율 소폭 하락.  /  Bull 0.2: [판단] 연준 재인하·UST10Y −75bp(가정), 펀드레이징·거래 재가속으로 할인율 압축, 전력 인프라 프리미엄 확대.  /  Bear 0.25: [판단] 인플레 재가속으로 UST10Y +50bp(가정), 건설비·전력가격 상승과 정책 리스크(재생에너지 보조 축소)로 리스크 프리미엄 확대, 평가가치…</w:t>
      </w:r>
    </w:p>
    <w:p>
      <w:pPr>
        <w:pStyle w:val="ListParagraph"/>
        <w:numPr>
          <w:ilvl w:val="0"/>
          <w:numId w:val="2"/>
        </w:numPr>
        <w:spacing w:after="40" w:before="40" w:line="276"/>
      </w:pPr>
      <w:r>
        <w:rPr>
          <w:rFonts w:ascii="맑은 고딕" w:cs="맑은 고딕" w:eastAsia="맑은 고딕" w:hAnsi="맑은 고딕"/>
          <w:b/>
          <w:bCs/>
          <w:color w:val="1E3A5F"/>
          <w:sz w:val="19"/>
          <w:szCs w:val="19"/>
        </w:rPr>
        <w:t xml:space="preserve">하우스 </w:t>
      </w:r>
      <w:r>
        <w:rPr>
          <w:rFonts w:ascii="맑은 고딕" w:cs="맑은 고딕" w:eastAsia="맑은 고딕" w:hAnsi="맑은 고딕"/>
          <w:color w:val="1F2937"/>
          <w:sz w:val="19"/>
          <w:szCs w:val="19"/>
        </w:rPr>
        <w:t xml:space="preserve">[하우스] 삼성증권(20260528_삼성_2026하반기대체투자전망, 2026-05 발간, 약 5개월 전 — 구조적·장기 뷰만 반영, 당시 시장규모·스프레드 수치는 현재값으로 쓰지 않음): ① 물가·성장이 모두 현금흐름에 긍정적이고 금리 영향은 주로 밸류에이션에 그쳐 고금리·고물가에 가장 방어적, 위험조정수익률 최상위의 최선호 전략(p.42-43, 확신 높음) ② AI발 데이터센터 펀더멘털 최강, 개발형 비중이 높아 대출형 투자 수요 큼(p.49, 높음) ③ 데이… (1건)</w:t>
      </w:r>
    </w:p>
    <w:p>
      <w:pPr>
        <w:pStyle w:val="ListParagraph"/>
        <w:numPr>
          <w:ilvl w:val="0"/>
          <w:numId w:val="2"/>
        </w:numPr>
        <w:spacing w:after="40" w:before="40" w:line="276"/>
      </w:pPr>
      <w:r>
        <w:rPr>
          <w:rFonts w:ascii="맑은 고딕" w:cs="맑은 고딕" w:eastAsia="맑은 고딕" w:hAnsi="맑은 고딕"/>
          <w:b/>
          <w:bCs/>
          <w:color w:val="1E3A5F"/>
          <w:sz w:val="19"/>
          <w:szCs w:val="19"/>
        </w:rPr>
        <w:t xml:space="preserve">공백 </w:t>
      </w:r>
      <w:r>
        <w:rPr>
          <w:rFonts w:ascii="맑은 고딕" w:cs="맑은 고딕" w:eastAsia="맑은 고딕" w:hAnsi="맑은 고딕"/>
          <w:color w:val="1F2937"/>
          <w:sz w:val="19"/>
          <w:szCs w:val="19"/>
        </w:rPr>
        <w:t xml:space="preserve">API 데이터 미수집 — snapshot에 인프라 지표 없음; 하우스 뷰 부족(1곳: 삼성증권, 2026-05 발간 — 구조적 뷰만 반영)</w:t>
      </w:r>
    </w:p>
    <w:p>
      <w:pPr>
        <w:pStyle w:val="Heading2"/>
        <w:keepNext/>
        <w:pBdr>
          <w:bottom w:val="single" w:color="1E3A5F" w:sz="6" w:space="2"/>
        </w:pBdr>
        <w:spacing w:after="80" w:before="260"/>
      </w:pPr>
      <w:r>
        <w:rPr>
          <w:rFonts w:ascii="맑은 고딕" w:cs="맑은 고딕" w:eastAsia="맑은 고딕" w:hAnsi="맑은 고딕"/>
          <w:b/>
          <w:bCs/>
          <w:color w:val="1E3A5F"/>
          <w:sz w:val="23"/>
          <w:szCs w:val="23"/>
        </w:rPr>
        <w:t xml:space="preserve">15. 미국 대체투자 - PE (Equity)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00"/>
        <w:gridCol w:w="2200"/>
        <w:gridCol w:w="1700"/>
        <w:gridCol w:w="2138"/>
      </w:tblGrid>
      <w:tr>
        <w:trPr>
          <w:tblHeader/>
        </w:trPr>
        <w:tc>
          <w:tcPr>
            <w:tcW w:type="dxa" w:w="3600"/>
            <w:tcBorders>
              <w:top w:val="single" w:color="D1D5DB" w:sz="4"/>
              <w:left w:val="single" w:color="D1D5DB" w:sz="4"/>
              <w:bottom w:val="single" w:color="D1D5DB" w:sz="4"/>
              <w:right w:val="single" w:color="D1D5DB" w:sz="4"/>
            </w:tcBorders>
            <w:shd w:fill="E8EEF6" w:color="auto" w:val="clear"/>
            <w:tcMar>
              <w:top w:type="dxa" w:w="50"/>
              <w:left w:type="dxa" w:w="90"/>
              <w:bottom w:type="dxa" w:w="50"/>
              <w:right w:type="dxa" w:w="90"/>
            </w:tcMar>
          </w:tcPr>
          <w:p>
            <w:pPr>
              <w:spacing w:after="0" w:before="0" w:line="252"/>
            </w:pPr>
            <w:r>
              <w:rPr>
                <w:rFonts w:ascii="맑은 고딕" w:cs="맑은 고딕" w:eastAsia="맑은 고딕" w:hAnsi="맑은 고딕"/>
                <w:b/>
                <w:bCs/>
                <w:color w:val="1F2937"/>
                <w:sz w:val="17"/>
                <w:szCs w:val="17"/>
              </w:rPr>
              <w:t xml:space="preserve">지표</w:t>
            </w:r>
          </w:p>
        </w:tc>
        <w:tc>
          <w:tcPr>
            <w:tcW w:type="dxa" w:w="2200"/>
            <w:tcBorders>
              <w:top w:val="single" w:color="D1D5DB" w:sz="4"/>
              <w:left w:val="single" w:color="D1D5DB" w:sz="4"/>
              <w:bottom w:val="single" w:color="D1D5DB" w:sz="4"/>
              <w:right w:val="single" w:color="D1D5DB" w:sz="4"/>
            </w:tcBorders>
            <w:shd w:fill="E8EEF6" w:color="auto" w:val="clear"/>
            <w:tcMar>
              <w:top w:type="dxa" w:w="50"/>
              <w:left w:type="dxa" w:w="90"/>
              <w:bottom w:type="dxa" w:w="50"/>
              <w:right w:type="dxa" w:w="90"/>
            </w:tcMar>
          </w:tcPr>
          <w:p>
            <w:pPr>
              <w:spacing w:after="0" w:before="0" w:line="252"/>
            </w:pPr>
            <w:r>
              <w:rPr>
                <w:rFonts w:ascii="맑은 고딕" w:cs="맑은 고딕" w:eastAsia="맑은 고딕" w:hAnsi="맑은 고딕"/>
                <w:b/>
                <w:bCs/>
                <w:color w:val="1F2937"/>
                <w:sz w:val="17"/>
                <w:szCs w:val="17"/>
              </w:rPr>
              <w:t xml:space="preserve">값</w:t>
            </w:r>
          </w:p>
        </w:tc>
        <w:tc>
          <w:tcPr>
            <w:tcW w:type="dxa" w:w="1700"/>
            <w:tcBorders>
              <w:top w:val="single" w:color="D1D5DB" w:sz="4"/>
              <w:left w:val="single" w:color="D1D5DB" w:sz="4"/>
              <w:bottom w:val="single" w:color="D1D5DB" w:sz="4"/>
              <w:right w:val="single" w:color="D1D5DB" w:sz="4"/>
            </w:tcBorders>
            <w:shd w:fill="E8EEF6" w:color="auto" w:val="clear"/>
            <w:tcMar>
              <w:top w:type="dxa" w:w="50"/>
              <w:left w:type="dxa" w:w="90"/>
              <w:bottom w:type="dxa" w:w="50"/>
              <w:right w:type="dxa" w:w="90"/>
            </w:tcMar>
          </w:tcPr>
          <w:p>
            <w:pPr>
              <w:spacing w:after="0" w:before="0" w:line="252"/>
            </w:pPr>
            <w:r>
              <w:rPr>
                <w:rFonts w:ascii="맑은 고딕" w:cs="맑은 고딕" w:eastAsia="맑은 고딕" w:hAnsi="맑은 고딕"/>
                <w:b/>
                <w:bCs/>
                <w:color w:val="1F2937"/>
                <w:sz w:val="17"/>
                <w:szCs w:val="17"/>
              </w:rPr>
              <w:t xml:space="preserve">기준일</w:t>
            </w:r>
          </w:p>
        </w:tc>
        <w:tc>
          <w:tcPr>
            <w:tcW w:type="dxa" w:w="2138"/>
            <w:tcBorders>
              <w:top w:val="single" w:color="D1D5DB" w:sz="4"/>
              <w:left w:val="single" w:color="D1D5DB" w:sz="4"/>
              <w:bottom w:val="single" w:color="D1D5DB" w:sz="4"/>
              <w:right w:val="single" w:color="D1D5DB" w:sz="4"/>
            </w:tcBorders>
            <w:shd w:fill="E8EEF6" w:color="auto" w:val="clear"/>
            <w:tcMar>
              <w:top w:type="dxa" w:w="50"/>
              <w:left w:type="dxa" w:w="90"/>
              <w:bottom w:type="dxa" w:w="50"/>
              <w:right w:type="dxa" w:w="90"/>
            </w:tcMar>
          </w:tcPr>
          <w:p>
            <w:pPr>
              <w:spacing w:after="0" w:before="0" w:line="252"/>
            </w:pPr>
            <w:r>
              <w:rPr>
                <w:rFonts w:ascii="맑은 고딕" w:cs="맑은 고딕" w:eastAsia="맑은 고딕" w:hAnsi="맑은 고딕"/>
                <w:b/>
                <w:bCs/>
                <w:color w:val="1F2937"/>
                <w:sz w:val="17"/>
                <w:szCs w:val="17"/>
              </w:rPr>
              <w:t xml:space="preserve">출처 플래그</w:t>
            </w:r>
          </w:p>
        </w:tc>
      </w:tr>
      <w:tr>
        <w:trPr>
          <w:cantSplit/>
        </w:trPr>
        <w:tc>
          <w:tcPr>
            <w:tcW w:type="dxa" w:w="36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미국 PE 엑시트 금액(2026 3Q, PitchBook First Look 인용)</w:t>
            </w:r>
          </w:p>
        </w:tc>
        <w:tc>
          <w:tcPr>
            <w:tcW w:type="dxa" w:w="22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165.1 USD bn</w:t>
            </w:r>
          </w:p>
        </w:tc>
        <w:tc>
          <w:tcPr>
            <w:tcW w:type="dxa" w:w="17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2026-09-30</w:t>
            </w:r>
          </w:p>
        </w:tc>
        <w:tc>
          <w:tcPr>
            <w:tcW w:type="dxa" w:w="2138"/>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웹확인 ⚠</w:t>
            </w:r>
          </w:p>
        </w:tc>
      </w:tr>
      <w:tr>
        <w:trPr>
          <w:cantSplit/>
        </w:trPr>
        <w:tc>
          <w:tcPr>
            <w:tcW w:type="dxa" w:w="36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미국 PE 엑시트 건수(2026 3Q)</w:t>
            </w:r>
          </w:p>
        </w:tc>
        <w:tc>
          <w:tcPr>
            <w:tcW w:type="dxa" w:w="22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405 건</w:t>
            </w:r>
          </w:p>
        </w:tc>
        <w:tc>
          <w:tcPr>
            <w:tcW w:type="dxa" w:w="17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2026-09-30</w:t>
            </w:r>
          </w:p>
        </w:tc>
        <w:tc>
          <w:tcPr>
            <w:tcW w:type="dxa" w:w="2138"/>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웹확인 ⚠</w:t>
            </w:r>
          </w:p>
        </w:tc>
      </w:tr>
      <w:tr>
        <w:trPr>
          <w:cantSplit/>
        </w:trPr>
        <w:tc>
          <w:tcPr>
            <w:tcW w:type="dxa" w:w="36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미국 PE 엑시트 금액 YTD 전년비(2026 1~3Q)</w:t>
            </w:r>
          </w:p>
        </w:tc>
        <w:tc>
          <w:tcPr>
            <w:tcW w:type="dxa" w:w="22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19 %</w:t>
            </w:r>
          </w:p>
        </w:tc>
        <w:tc>
          <w:tcPr>
            <w:tcW w:type="dxa" w:w="17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2026-09-30</w:t>
            </w:r>
          </w:p>
        </w:tc>
        <w:tc>
          <w:tcPr>
            <w:tcW w:type="dxa" w:w="2138"/>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웹확인 ⚠</w:t>
            </w:r>
          </w:p>
        </w:tc>
      </w:tr>
      <w:tr>
        <w:trPr>
          <w:cantSplit/>
        </w:trPr>
        <w:tc>
          <w:tcPr>
            <w:tcW w:type="dxa" w:w="36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미국 PE 엑시트 건수 YTD 전년비(2026 1~3Q)</w:t>
            </w:r>
          </w:p>
        </w:tc>
        <w:tc>
          <w:tcPr>
            <w:tcW w:type="dxa" w:w="22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-34 %</w:t>
            </w:r>
          </w:p>
        </w:tc>
        <w:tc>
          <w:tcPr>
            <w:tcW w:type="dxa" w:w="17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2026-09-30</w:t>
            </w:r>
          </w:p>
        </w:tc>
        <w:tc>
          <w:tcPr>
            <w:tcW w:type="dxa" w:w="2138"/>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웹확인 ⚠</w:t>
            </w:r>
          </w:p>
        </w:tc>
      </w:tr>
    </w:tbl>
    <w:p>
      <w:pPr>
        <w:pStyle w:val="ListParagraph"/>
        <w:numPr>
          <w:ilvl w:val="0"/>
          <w:numId w:val="2"/>
        </w:numPr>
        <w:spacing w:after="40" w:before="40" w:line="276"/>
      </w:pPr>
      <w:r>
        <w:rPr>
          <w:rFonts w:ascii="맑은 고딕" w:cs="맑은 고딕" w:eastAsia="맑은 고딕" w:hAnsi="맑은 고딕"/>
          <w:b/>
          <w:bCs/>
          <w:color w:val="1E3A5F"/>
          <w:sz w:val="19"/>
          <w:szCs w:val="19"/>
        </w:rPr>
        <w:t xml:space="preserve">현황 </w:t>
      </w:r>
      <w:r>
        <w:rPr>
          <w:rFonts w:ascii="맑은 고딕" w:cs="맑은 고딕" w:eastAsia="맑은 고딕" w:hAnsi="맑은 고딕"/>
          <w:color w:val="1F2937"/>
          <w:sz w:val="19"/>
          <w:szCs w:val="19"/>
        </w:rPr>
        <w:t xml:space="preserve">[사실] snapshot에 PE API 데이터 없음(API 데이터 미수집). [사실] PitchBook 3Q26 First Look(Foley 요약): 미국 PE 엑시트 405건(QoQ +11%), 금액 $165.1bn(QoQ +51%) — 소수 대형 매각이 금액 견인…</w:t>
      </w:r>
    </w:p>
    <w:p>
      <w:pPr>
        <w:pStyle w:val="ListParagraph"/>
        <w:numPr>
          <w:ilvl w:val="0"/>
          <w:numId w:val="2"/>
        </w:numPr>
        <w:spacing w:after="40" w:before="40" w:line="276"/>
      </w:pPr>
      <w:r>
        <w:rPr>
          <w:rFonts w:ascii="맑은 고딕" w:cs="맑은 고딕" w:eastAsia="맑은 고딕" w:hAnsi="맑은 고딕"/>
          <w:b/>
          <w:bCs/>
          <w:color w:val="1E3A5F"/>
          <w:sz w:val="19"/>
          <w:szCs w:val="19"/>
        </w:rPr>
        <w:t xml:space="preserve">단기 </w:t>
      </w:r>
      <w:r>
        <w:rPr>
          <w:rFonts w:ascii="맑은 고딕" w:cs="맑은 고딕" w:eastAsia="맑은 고딕" w:hAnsi="맑은 고딕"/>
          <w:color w:val="1F2937"/>
          <w:sz w:val="19"/>
          <w:szCs w:val="19"/>
        </w:rPr>
        <w:t xml:space="preserve">[판단] UST10Y ~5.0%·매파적 동결은 레버리지 비용과 공개시장 배수에 부담 — 4Q 평가(NAV)는 보합~소폭 하락. 대형 엑시트 회복은 긍정적이나 중소형 딜·분배 정체로 컨티뉴에이션 펀드·NAV 대출 의존 지속. (확신도 낮음)</w:t>
      </w:r>
    </w:p>
    <w:p>
      <w:pPr>
        <w:pStyle w:val="ListParagraph"/>
        <w:numPr>
          <w:ilvl w:val="0"/>
          <w:numId w:val="2"/>
        </w:numPr>
        <w:spacing w:after="40" w:before="40" w:line="276"/>
      </w:pPr>
      <w:r>
        <w:rPr>
          <w:rFonts w:ascii="맑은 고딕" w:cs="맑은 고딕" w:eastAsia="맑은 고딕" w:hAnsi="맑은 고딕"/>
          <w:b/>
          <w:bCs/>
          <w:color w:val="1E3A5F"/>
          <w:sz w:val="19"/>
          <w:szCs w:val="19"/>
        </w:rPr>
        <w:t xml:space="preserve">장기 </w:t>
      </w:r>
      <w:r>
        <w:rPr>
          <w:rFonts w:ascii="맑은 고딕" w:cs="맑은 고딕" w:eastAsia="맑은 고딕" w:hAnsi="맑은 고딕"/>
          <w:color w:val="1F2937"/>
          <w:sz w:val="19"/>
          <w:szCs w:val="19"/>
        </w:rPr>
        <w:t xml:space="preserve">Base 0.55: [판단] UST10Y 완만 하락(가정 −25bp)과 이익 성장으로 엑시트·분배가 점진 정상화, PE 평가가치는 연 한 자릿수 상승; 빈티지 간 성과 격차…  /  Bull 0.2: [판단] 연준 재인하·UST10Y −75bp(가정), IPO·M&amp;A 창구 재개로 대규모 분배, 배수 확장.  /  Bear 0.25: [판단] UST10Y +50bp(가정)·경기 둔화로 공개시장 조정, 고레버리지 포트폴리오 이자부담 확대와 엑시트 재동결, 평가 하향(시차 반영).</w:t>
      </w:r>
    </w:p>
    <w:p>
      <w:pPr>
        <w:pStyle w:val="ListParagraph"/>
        <w:numPr>
          <w:ilvl w:val="0"/>
          <w:numId w:val="2"/>
        </w:numPr>
        <w:spacing w:after="40" w:before="40" w:line="276"/>
      </w:pPr>
      <w:r>
        <w:rPr>
          <w:rFonts w:ascii="맑은 고딕" w:cs="맑은 고딕" w:eastAsia="맑은 고딕" w:hAnsi="맑은 고딕"/>
          <w:b/>
          <w:bCs/>
          <w:color w:val="1E3A5F"/>
          <w:sz w:val="19"/>
          <w:szCs w:val="19"/>
        </w:rPr>
        <w:t xml:space="preserve">하우스 </w:t>
      </w:r>
      <w:r>
        <w:rPr>
          <w:rFonts w:ascii="맑은 고딕" w:cs="맑은 고딕" w:eastAsia="맑은 고딕" w:hAnsi="맑은 고딕"/>
          <w:color w:val="1F2937"/>
          <w:sz w:val="19"/>
          <w:szCs w:val="19"/>
        </w:rPr>
        <w:t xml:space="preserve">[하우스] 삼성증권(20260528_삼성_2026하반기대체투자전망, 2026-05 발간, 약 5개월 전 — 구조적·장기 뷰만 반영, 당시 단기 판단·수치는 현재값으로 쓰지 않음): ① LP 평가 기준이 IRR에서 실제 분배(DPI)로 구조적 이동(p.20, 확신 높음) ② 고금리 장기화로 레버리지·배수 확장 기여 축소, 운영개선(EBITDA 성장) 중심 가치창출로 전환(p.16-17, 높음) ③ 세컨더리·컨티뉴에이션 펀드가 핵심 엑시트 대안으로 구조적 성장, 연… (1건)</w:t>
      </w:r>
    </w:p>
    <w:p>
      <w:pPr>
        <w:pStyle w:val="ListParagraph"/>
        <w:numPr>
          <w:ilvl w:val="0"/>
          <w:numId w:val="2"/>
        </w:numPr>
        <w:spacing w:after="40" w:before="40" w:line="276"/>
      </w:pPr>
      <w:r>
        <w:rPr>
          <w:rFonts w:ascii="맑은 고딕" w:cs="맑은 고딕" w:eastAsia="맑은 고딕" w:hAnsi="맑은 고딕"/>
          <w:b/>
          <w:bCs/>
          <w:color w:val="1E3A5F"/>
          <w:sz w:val="19"/>
          <w:szCs w:val="19"/>
        </w:rPr>
        <w:t xml:space="preserve">공백 </w:t>
      </w:r>
      <w:r>
        <w:rPr>
          <w:rFonts w:ascii="맑은 고딕" w:cs="맑은 고딕" w:eastAsia="맑은 고딕" w:hAnsi="맑은 고딕"/>
          <w:color w:val="1F2937"/>
          <w:sz w:val="19"/>
          <w:szCs w:val="19"/>
        </w:rPr>
        <w:t xml:space="preserve">API 데이터 미수집 — snapshot에 PE 지표 없음; 하우스 뷰 부족(1곳: 삼성증권, 2026-05 발간 — 구조적 뷰만 반영)</w:t>
      </w:r>
    </w:p>
    <w:p>
      <w:pPr>
        <w:pStyle w:val="Heading2"/>
        <w:keepNext/>
        <w:pBdr>
          <w:bottom w:val="single" w:color="1E3A5F" w:sz="6" w:space="2"/>
        </w:pBdr>
        <w:spacing w:after="80" w:before="260"/>
      </w:pPr>
      <w:r>
        <w:rPr>
          <w:rFonts w:ascii="맑은 고딕" w:cs="맑은 고딕" w:eastAsia="맑은 고딕" w:hAnsi="맑은 고딕"/>
          <w:b/>
          <w:bCs/>
          <w:color w:val="1E3A5F"/>
          <w:sz w:val="23"/>
          <w:szCs w:val="23"/>
        </w:rPr>
        <w:t xml:space="preserve">16. 미국 대체투자 - PE (Debt) / Private Credit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00"/>
        <w:gridCol w:w="2200"/>
        <w:gridCol w:w="1700"/>
        <w:gridCol w:w="2138"/>
      </w:tblGrid>
      <w:tr>
        <w:trPr>
          <w:tblHeader/>
        </w:trPr>
        <w:tc>
          <w:tcPr>
            <w:tcW w:type="dxa" w:w="3600"/>
            <w:tcBorders>
              <w:top w:val="single" w:color="D1D5DB" w:sz="4"/>
              <w:left w:val="single" w:color="D1D5DB" w:sz="4"/>
              <w:bottom w:val="single" w:color="D1D5DB" w:sz="4"/>
              <w:right w:val="single" w:color="D1D5DB" w:sz="4"/>
            </w:tcBorders>
            <w:shd w:fill="E8EEF6" w:color="auto" w:val="clear"/>
            <w:tcMar>
              <w:top w:type="dxa" w:w="50"/>
              <w:left w:type="dxa" w:w="90"/>
              <w:bottom w:type="dxa" w:w="50"/>
              <w:right w:type="dxa" w:w="90"/>
            </w:tcMar>
          </w:tcPr>
          <w:p>
            <w:pPr>
              <w:spacing w:after="0" w:before="0" w:line="252"/>
            </w:pPr>
            <w:r>
              <w:rPr>
                <w:rFonts w:ascii="맑은 고딕" w:cs="맑은 고딕" w:eastAsia="맑은 고딕" w:hAnsi="맑은 고딕"/>
                <w:b/>
                <w:bCs/>
                <w:color w:val="1F2937"/>
                <w:sz w:val="17"/>
                <w:szCs w:val="17"/>
              </w:rPr>
              <w:t xml:space="preserve">지표</w:t>
            </w:r>
          </w:p>
        </w:tc>
        <w:tc>
          <w:tcPr>
            <w:tcW w:type="dxa" w:w="2200"/>
            <w:tcBorders>
              <w:top w:val="single" w:color="D1D5DB" w:sz="4"/>
              <w:left w:val="single" w:color="D1D5DB" w:sz="4"/>
              <w:bottom w:val="single" w:color="D1D5DB" w:sz="4"/>
              <w:right w:val="single" w:color="D1D5DB" w:sz="4"/>
            </w:tcBorders>
            <w:shd w:fill="E8EEF6" w:color="auto" w:val="clear"/>
            <w:tcMar>
              <w:top w:type="dxa" w:w="50"/>
              <w:left w:type="dxa" w:w="90"/>
              <w:bottom w:type="dxa" w:w="50"/>
              <w:right w:type="dxa" w:w="90"/>
            </w:tcMar>
          </w:tcPr>
          <w:p>
            <w:pPr>
              <w:spacing w:after="0" w:before="0" w:line="252"/>
            </w:pPr>
            <w:r>
              <w:rPr>
                <w:rFonts w:ascii="맑은 고딕" w:cs="맑은 고딕" w:eastAsia="맑은 고딕" w:hAnsi="맑은 고딕"/>
                <w:b/>
                <w:bCs/>
                <w:color w:val="1F2937"/>
                <w:sz w:val="17"/>
                <w:szCs w:val="17"/>
              </w:rPr>
              <w:t xml:space="preserve">값</w:t>
            </w:r>
          </w:p>
        </w:tc>
        <w:tc>
          <w:tcPr>
            <w:tcW w:type="dxa" w:w="1700"/>
            <w:tcBorders>
              <w:top w:val="single" w:color="D1D5DB" w:sz="4"/>
              <w:left w:val="single" w:color="D1D5DB" w:sz="4"/>
              <w:bottom w:val="single" w:color="D1D5DB" w:sz="4"/>
              <w:right w:val="single" w:color="D1D5DB" w:sz="4"/>
            </w:tcBorders>
            <w:shd w:fill="E8EEF6" w:color="auto" w:val="clear"/>
            <w:tcMar>
              <w:top w:type="dxa" w:w="50"/>
              <w:left w:type="dxa" w:w="90"/>
              <w:bottom w:type="dxa" w:w="50"/>
              <w:right w:type="dxa" w:w="90"/>
            </w:tcMar>
          </w:tcPr>
          <w:p>
            <w:pPr>
              <w:spacing w:after="0" w:before="0" w:line="252"/>
            </w:pPr>
            <w:r>
              <w:rPr>
                <w:rFonts w:ascii="맑은 고딕" w:cs="맑은 고딕" w:eastAsia="맑은 고딕" w:hAnsi="맑은 고딕"/>
                <w:b/>
                <w:bCs/>
                <w:color w:val="1F2937"/>
                <w:sz w:val="17"/>
                <w:szCs w:val="17"/>
              </w:rPr>
              <w:t xml:space="preserve">기준일</w:t>
            </w:r>
          </w:p>
        </w:tc>
        <w:tc>
          <w:tcPr>
            <w:tcW w:type="dxa" w:w="2138"/>
            <w:tcBorders>
              <w:top w:val="single" w:color="D1D5DB" w:sz="4"/>
              <w:left w:val="single" w:color="D1D5DB" w:sz="4"/>
              <w:bottom w:val="single" w:color="D1D5DB" w:sz="4"/>
              <w:right w:val="single" w:color="D1D5DB" w:sz="4"/>
            </w:tcBorders>
            <w:shd w:fill="E8EEF6" w:color="auto" w:val="clear"/>
            <w:tcMar>
              <w:top w:type="dxa" w:w="50"/>
              <w:left w:type="dxa" w:w="90"/>
              <w:bottom w:type="dxa" w:w="50"/>
              <w:right w:type="dxa" w:w="90"/>
            </w:tcMar>
          </w:tcPr>
          <w:p>
            <w:pPr>
              <w:spacing w:after="0" w:before="0" w:line="252"/>
            </w:pPr>
            <w:r>
              <w:rPr>
                <w:rFonts w:ascii="맑은 고딕" w:cs="맑은 고딕" w:eastAsia="맑은 고딕" w:hAnsi="맑은 고딕"/>
                <w:b/>
                <w:bCs/>
                <w:color w:val="1F2937"/>
                <w:sz w:val="17"/>
                <w:szCs w:val="17"/>
              </w:rPr>
              <w:t xml:space="preserve">출처 플래그</w:t>
            </w:r>
          </w:p>
        </w:tc>
      </w:tr>
      <w:tr>
        <w:trPr>
          <w:cantSplit/>
        </w:trPr>
        <w:tc>
          <w:tcPr>
            <w:tcW w:type="dxa" w:w="36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Fitch 미국 Private Credit 부도율(TTM, 부실교환 포함)</w:t>
            </w:r>
          </w:p>
        </w:tc>
        <w:tc>
          <w:tcPr>
            <w:tcW w:type="dxa" w:w="22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6.3 %</w:t>
            </w:r>
          </w:p>
        </w:tc>
        <w:tc>
          <w:tcPr>
            <w:tcW w:type="dxa" w:w="17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2026-08-31</w:t>
            </w:r>
          </w:p>
        </w:tc>
        <w:tc>
          <w:tcPr>
            <w:tcW w:type="dxa" w:w="2138"/>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웹확인 ⚠</w:t>
            </w:r>
          </w:p>
        </w:tc>
      </w:tr>
      <w:tr>
        <w:trPr>
          <w:cantSplit/>
        </w:trPr>
        <w:tc>
          <w:tcPr>
            <w:tcW w:type="dxa" w:w="36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Proskauer Private Credit Default Index(분기)</w:t>
            </w:r>
          </w:p>
        </w:tc>
        <w:tc>
          <w:tcPr>
            <w:tcW w:type="dxa" w:w="22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2.51 %</w:t>
            </w:r>
          </w:p>
        </w:tc>
        <w:tc>
          <w:tcPr>
            <w:tcW w:type="dxa" w:w="17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2026-06-30</w:t>
            </w:r>
          </w:p>
        </w:tc>
        <w:tc>
          <w:tcPr>
            <w:tcW w:type="dxa" w:w="2138"/>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웹확인 ⚠</w:t>
            </w:r>
          </w:p>
        </w:tc>
      </w:tr>
      <w:tr>
        <w:trPr>
          <w:cantSplit/>
        </w:trPr>
        <w:tc>
          <w:tcPr>
            <w:tcW w:type="dxa" w:w="36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New Mountain Finance PIK 이자 비중(총투자수익 대비)</w:t>
            </w:r>
          </w:p>
        </w:tc>
        <w:tc>
          <w:tcPr>
            <w:tcW w:type="dxa" w:w="22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8.81 %</w:t>
            </w:r>
          </w:p>
        </w:tc>
        <w:tc>
          <w:tcPr>
            <w:tcW w:type="dxa" w:w="17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2026-06-30</w:t>
            </w:r>
          </w:p>
        </w:tc>
        <w:tc>
          <w:tcPr>
            <w:tcW w:type="dxa" w:w="2138"/>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웹확인 ⚠</w:t>
            </w:r>
          </w:p>
        </w:tc>
      </w:tr>
    </w:tbl>
    <w:p>
      <w:pPr>
        <w:pStyle w:val="ListParagraph"/>
        <w:numPr>
          <w:ilvl w:val="0"/>
          <w:numId w:val="2"/>
        </w:numPr>
        <w:spacing w:after="40" w:before="40" w:line="276"/>
      </w:pPr>
      <w:r>
        <w:rPr>
          <w:rFonts w:ascii="맑은 고딕" w:cs="맑은 고딕" w:eastAsia="맑은 고딕" w:hAnsi="맑은 고딕"/>
          <w:b/>
          <w:bCs/>
          <w:color w:val="1E3A5F"/>
          <w:sz w:val="19"/>
          <w:szCs w:val="19"/>
        </w:rPr>
        <w:t xml:space="preserve">현황 </w:t>
      </w:r>
      <w:r>
        <w:rPr>
          <w:rFonts w:ascii="맑은 고딕" w:cs="맑은 고딕" w:eastAsia="맑은 고딕" w:hAnsi="맑은 고딕"/>
          <w:color w:val="1F2937"/>
          <w:sz w:val="19"/>
          <w:szCs w:val="19"/>
        </w:rPr>
        <w:t xml:space="preserve">[사실] snapshot에 Private Credit API 데이터 없음(API 데이터 미수집). [사실] Fitch 미국 Private Credit 부도율(TTM) 6.3%(2026-08, 7월 6.1%, 사상 최고, 4월 이후 6%대) — 기준일 2026-08-31…</w:t>
      </w:r>
    </w:p>
    <w:p>
      <w:pPr>
        <w:pStyle w:val="ListParagraph"/>
        <w:numPr>
          <w:ilvl w:val="0"/>
          <w:numId w:val="2"/>
        </w:numPr>
        <w:spacing w:after="40" w:before="40" w:line="276"/>
      </w:pPr>
      <w:r>
        <w:rPr>
          <w:rFonts w:ascii="맑은 고딕" w:cs="맑은 고딕" w:eastAsia="맑은 고딕" w:hAnsi="맑은 고딕"/>
          <w:b/>
          <w:bCs/>
          <w:color w:val="1E3A5F"/>
          <w:sz w:val="19"/>
          <w:szCs w:val="19"/>
        </w:rPr>
        <w:t xml:space="preserve">단기 </w:t>
      </w:r>
      <w:r>
        <w:rPr>
          <w:rFonts w:ascii="맑은 고딕" w:cs="맑은 고딕" w:eastAsia="맑은 고딕" w:hAnsi="맑은 고딕"/>
          <w:color w:val="1F2937"/>
          <w:sz w:val="19"/>
          <w:szCs w:val="19"/>
        </w:rPr>
        <w:t xml:space="preserve">[판단] FFR 3.75~4.00%(9월 인상 후)·매파적 동결로 변동금리 차주의 이자보상배율 압박 지속 → Fitch 기준 부도율 6%대 중반으로 소폭 상승, 부실교환·PIK 전환 증가. (확신도 중간)</w:t>
      </w:r>
    </w:p>
    <w:p>
      <w:pPr>
        <w:pStyle w:val="ListParagraph"/>
        <w:numPr>
          <w:ilvl w:val="0"/>
          <w:numId w:val="2"/>
        </w:numPr>
        <w:spacing w:after="40" w:before="40" w:line="276"/>
      </w:pPr>
      <w:r>
        <w:rPr>
          <w:rFonts w:ascii="맑은 고딕" w:cs="맑은 고딕" w:eastAsia="맑은 고딕" w:hAnsi="맑은 고딕"/>
          <w:b/>
          <w:bCs/>
          <w:color w:val="1E3A5F"/>
          <w:sz w:val="19"/>
          <w:szCs w:val="19"/>
        </w:rPr>
        <w:t xml:space="preserve">장기 </w:t>
      </w:r>
      <w:r>
        <w:rPr>
          <w:rFonts w:ascii="맑은 고딕" w:cs="맑은 고딕" w:eastAsia="맑은 고딕" w:hAnsi="맑은 고딕"/>
          <w:color w:val="1F2937"/>
          <w:sz w:val="19"/>
          <w:szCs w:val="19"/>
        </w:rPr>
        <w:t xml:space="preserve">Base 0.55: [판단] 금리 완만 하락(UST10Y 가정 −25bp, 단기금리도 점진 인하)으로 이자부담이 서서히 완화되나, 2021~22 빈티지 부실 처리로 부도율은…  /  Bull 0.2: [판단] 연준 재인하·UST10Y −75bp(가정), 리파이낸싱 창구 재개로 부실교환 감소, 부도율 하락.  /  Bear 0.25: [판단] 금리 재상승(UST10Y +50bp 가정)·경기 둔화로 변동금리 차주 부도 급증, BDC 환매 압력과 밸류에이션 마크다운 동반.</w:t>
      </w:r>
    </w:p>
    <w:p>
      <w:pPr>
        <w:pStyle w:val="ListParagraph"/>
        <w:numPr>
          <w:ilvl w:val="0"/>
          <w:numId w:val="2"/>
        </w:numPr>
        <w:spacing w:after="40" w:before="40" w:line="276"/>
      </w:pPr>
      <w:r>
        <w:rPr>
          <w:rFonts w:ascii="맑은 고딕" w:cs="맑은 고딕" w:eastAsia="맑은 고딕" w:hAnsi="맑은 고딕"/>
          <w:b/>
          <w:bCs/>
          <w:color w:val="1E3A5F"/>
          <w:sz w:val="19"/>
          <w:szCs w:val="19"/>
        </w:rPr>
        <w:t xml:space="preserve">하우스 </w:t>
      </w:r>
      <w:r>
        <w:rPr>
          <w:rFonts w:ascii="맑은 고딕" w:cs="맑은 고딕" w:eastAsia="맑은 고딕" w:hAnsi="맑은 고딕"/>
          <w:color w:val="1F2937"/>
          <w:sz w:val="19"/>
          <w:szCs w:val="19"/>
        </w:rPr>
        <w:t xml:space="preserve">[하우스] 삼성증권(20260528_삼성_2026하반기대체투자전망, 2026-05 발간, 약 5개월 전 — 구조적·장기 뷰만 반영, 당시 스프레드 목표·단기 판단은 현재값으로 쓰지 않음): ① BDC 법정 레버리지 상한·환매 한도·이자 쿠션으로 금융위기식 시스템 위기 가능성은 낮음, 단 고금리 장기화·급격한 침체가 2027~28 레버리지론 만기 집중과 겹치면 위험 확대(p.28, 확신 높음) ② 은행 규제·AI/데이터센터/인프라 자금 수요로 사모대출 성장은 추세… (1건)</w:t>
      </w:r>
    </w:p>
    <w:p>
      <w:pPr>
        <w:pStyle w:val="ListParagraph"/>
        <w:numPr>
          <w:ilvl w:val="0"/>
          <w:numId w:val="2"/>
        </w:numPr>
        <w:spacing w:after="40" w:before="40" w:line="276"/>
      </w:pPr>
      <w:r>
        <w:rPr>
          <w:rFonts w:ascii="맑은 고딕" w:cs="맑은 고딕" w:eastAsia="맑은 고딕" w:hAnsi="맑은 고딕"/>
          <w:b/>
          <w:bCs/>
          <w:color w:val="1E3A5F"/>
          <w:sz w:val="19"/>
          <w:szCs w:val="19"/>
        </w:rPr>
        <w:t xml:space="preserve">공백 </w:t>
      </w:r>
      <w:r>
        <w:rPr>
          <w:rFonts w:ascii="맑은 고딕" w:cs="맑은 고딕" w:eastAsia="맑은 고딕" w:hAnsi="맑은 고딕"/>
          <w:color w:val="1F2937"/>
          <w:sz w:val="19"/>
          <w:szCs w:val="19"/>
        </w:rPr>
        <w:t xml:space="preserve">API 데이터 미수집 — snapshot에 Private Credit 지표 없음; 하우스 뷰 부족(1곳: 삼성증권, 2026-05 발간 — 구조적 뷰만 반영)</w:t>
      </w:r>
    </w:p>
    <w:p>
      <w:pPr>
        <w:pStyle w:val="Heading1"/>
        <w:spacing w:after="120" w:before="240"/>
      </w:pPr>
      <w:r>
        <w:rPr>
          <w:rFonts w:ascii="맑은 고딕" w:cs="맑은 고딕" w:eastAsia="맑은 고딕" w:hAnsi="맑은 고딕"/>
          <w:b/>
          <w:bCs/>
          <w:color w:val="1E3A5F"/>
          <w:sz w:val="28"/>
          <w:szCs w:val="28"/>
        </w:rPr>
        <w:t xml:space="preserve">사용한 증권사 리포트</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700"/>
        <w:gridCol w:w="1500"/>
        <w:gridCol w:w="1200"/>
        <w:gridCol w:w="3238"/>
      </w:tblGrid>
      <w:tr>
        <w:trPr>
          <w:tblHeader/>
        </w:trPr>
        <w:tc>
          <w:tcPr>
            <w:tcW w:type="dxa" w:w="3700"/>
            <w:tcBorders>
              <w:top w:val="single" w:color="D1D5DB" w:sz="4"/>
              <w:left w:val="single" w:color="D1D5DB" w:sz="4"/>
              <w:bottom w:val="single" w:color="D1D5DB" w:sz="4"/>
              <w:right w:val="single" w:color="D1D5DB" w:sz="4"/>
            </w:tcBorders>
            <w:shd w:fill="E8EEF6" w:color="auto" w:val="clear"/>
            <w:tcMar>
              <w:top w:type="dxa" w:w="50"/>
              <w:left w:type="dxa" w:w="90"/>
              <w:bottom w:type="dxa" w:w="50"/>
              <w:right w:type="dxa" w:w="90"/>
            </w:tcMar>
          </w:tcPr>
          <w:p>
            <w:pPr>
              <w:spacing w:after="0" w:before="0" w:line="252"/>
            </w:pPr>
            <w:r>
              <w:rPr>
                <w:rFonts w:ascii="맑은 고딕" w:cs="맑은 고딕" w:eastAsia="맑은 고딕" w:hAnsi="맑은 고딕"/>
                <w:b/>
                <w:bCs/>
                <w:color w:val="1F2937"/>
                <w:sz w:val="17"/>
                <w:szCs w:val="17"/>
              </w:rPr>
              <w:t xml:space="preserve">card_id</w:t>
            </w:r>
          </w:p>
        </w:tc>
        <w:tc>
          <w:tcPr>
            <w:tcW w:type="dxa" w:w="1500"/>
            <w:tcBorders>
              <w:top w:val="single" w:color="D1D5DB" w:sz="4"/>
              <w:left w:val="single" w:color="D1D5DB" w:sz="4"/>
              <w:bottom w:val="single" w:color="D1D5DB" w:sz="4"/>
              <w:right w:val="single" w:color="D1D5DB" w:sz="4"/>
            </w:tcBorders>
            <w:shd w:fill="E8EEF6" w:color="auto" w:val="clear"/>
            <w:tcMar>
              <w:top w:type="dxa" w:w="50"/>
              <w:left w:type="dxa" w:w="90"/>
              <w:bottom w:type="dxa" w:w="50"/>
              <w:right w:type="dxa" w:w="90"/>
            </w:tcMar>
          </w:tcPr>
          <w:p>
            <w:pPr>
              <w:spacing w:after="0" w:before="0" w:line="252"/>
            </w:pPr>
            <w:r>
              <w:rPr>
                <w:rFonts w:ascii="맑은 고딕" w:cs="맑은 고딕" w:eastAsia="맑은 고딕" w:hAnsi="맑은 고딕"/>
                <w:b/>
                <w:bCs/>
                <w:color w:val="1F2937"/>
                <w:sz w:val="17"/>
                <w:szCs w:val="17"/>
              </w:rPr>
              <w:t xml:space="preserve">하우스</w:t>
            </w:r>
          </w:p>
        </w:tc>
        <w:tc>
          <w:tcPr>
            <w:tcW w:type="dxa" w:w="1200"/>
            <w:tcBorders>
              <w:top w:val="single" w:color="D1D5DB" w:sz="4"/>
              <w:left w:val="single" w:color="D1D5DB" w:sz="4"/>
              <w:bottom w:val="single" w:color="D1D5DB" w:sz="4"/>
              <w:right w:val="single" w:color="D1D5DB" w:sz="4"/>
            </w:tcBorders>
            <w:shd w:fill="E8EEF6" w:color="auto" w:val="clear"/>
            <w:tcMar>
              <w:top w:type="dxa" w:w="50"/>
              <w:left w:type="dxa" w:w="90"/>
              <w:bottom w:type="dxa" w:w="50"/>
              <w:right w:type="dxa" w:w="90"/>
            </w:tcMar>
          </w:tcPr>
          <w:p>
            <w:pPr>
              <w:spacing w:after="0" w:before="0" w:line="252"/>
            </w:pPr>
            <w:r>
              <w:rPr>
                <w:rFonts w:ascii="맑은 고딕" w:cs="맑은 고딕" w:eastAsia="맑은 고딕" w:hAnsi="맑은 고딕"/>
                <w:b/>
                <w:bCs/>
                <w:color w:val="1F2937"/>
                <w:sz w:val="17"/>
                <w:szCs w:val="17"/>
              </w:rPr>
              <w:t xml:space="preserve">발간일</w:t>
            </w:r>
          </w:p>
        </w:tc>
        <w:tc>
          <w:tcPr>
            <w:tcW w:type="dxa" w:w="3238"/>
            <w:tcBorders>
              <w:top w:val="single" w:color="D1D5DB" w:sz="4"/>
              <w:left w:val="single" w:color="D1D5DB" w:sz="4"/>
              <w:bottom w:val="single" w:color="D1D5DB" w:sz="4"/>
              <w:right w:val="single" w:color="D1D5DB" w:sz="4"/>
            </w:tcBorders>
            <w:shd w:fill="E8EEF6" w:color="auto" w:val="clear"/>
            <w:tcMar>
              <w:top w:type="dxa" w:w="50"/>
              <w:left w:type="dxa" w:w="90"/>
              <w:bottom w:type="dxa" w:w="50"/>
              <w:right w:type="dxa" w:w="90"/>
            </w:tcMar>
          </w:tcPr>
          <w:p>
            <w:pPr>
              <w:spacing w:after="0" w:before="0" w:line="252"/>
            </w:pPr>
            <w:r>
              <w:rPr>
                <w:rFonts w:ascii="맑은 고딕" w:cs="맑은 고딕" w:eastAsia="맑은 고딕" w:hAnsi="맑은 고딕"/>
                <w:b/>
                <w:bCs/>
                <w:color w:val="1F2937"/>
                <w:sz w:val="17"/>
                <w:szCs w:val="17"/>
              </w:rPr>
              <w:t xml:space="preserve">리포트</w:t>
            </w:r>
          </w:p>
        </w:tc>
      </w:tr>
      <w:tr>
        <w:trPr>
          <w:cantSplit/>
        </w:trPr>
        <w:tc>
          <w:tcPr>
            <w:tcW w:type="dxa" w:w="37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20260528_삼성_2026하반기대체투자전망</w:t>
            </w:r>
          </w:p>
        </w:tc>
        <w:tc>
          <w:tcPr>
            <w:tcW w:type="dxa" w:w="15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삼성증권</w:t>
            </w:r>
          </w:p>
        </w:tc>
        <w:tc>
          <w:tcPr>
            <w:tcW w:type="dxa" w:w="12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2026-05-28</w:t>
            </w:r>
          </w:p>
        </w:tc>
        <w:tc>
          <w:tcPr>
            <w:tcW w:type="dxa" w:w="3238"/>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2026년 하반기 대체투자 시장 전망: 현금흐름 우선 전략</w:t>
            </w:r>
          </w:p>
        </w:tc>
      </w:tr>
      <w:tr>
        <w:trPr>
          <w:cantSplit/>
        </w:trPr>
        <w:tc>
          <w:tcPr>
            <w:tcW w:type="dxa" w:w="37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20261020_신한_WeeklyCreditMonitor</w:t>
            </w:r>
          </w:p>
        </w:tc>
        <w:tc>
          <w:tcPr>
            <w:tcW w:type="dxa" w:w="15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신한투자증권</w:t>
            </w:r>
          </w:p>
        </w:tc>
        <w:tc>
          <w:tcPr>
            <w:tcW w:type="dxa" w:w="12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2026-10-20</w:t>
            </w:r>
          </w:p>
        </w:tc>
        <w:tc>
          <w:tcPr>
            <w:tcW w:type="dxa" w:w="3238"/>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WeeklyCreditMonitor</w:t>
            </w:r>
          </w:p>
        </w:tc>
      </w:tr>
      <w:tr>
        <w:trPr>
          <w:cantSplit/>
        </w:trPr>
        <w:tc>
          <w:tcPr>
            <w:tcW w:type="dxa" w:w="37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20261022_신한_10월금통위</w:t>
            </w:r>
          </w:p>
        </w:tc>
        <w:tc>
          <w:tcPr>
            <w:tcW w:type="dxa" w:w="15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신한투자증권</w:t>
            </w:r>
          </w:p>
        </w:tc>
        <w:tc>
          <w:tcPr>
            <w:tcW w:type="dxa" w:w="12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2026-10-22</w:t>
            </w:r>
          </w:p>
        </w:tc>
        <w:tc>
          <w:tcPr>
            <w:tcW w:type="dxa" w:w="3238"/>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10월 금통위 리뷰: 기준금리 만장일치 동결</w:t>
            </w:r>
          </w:p>
        </w:tc>
      </w:tr>
      <w:tr>
        <w:trPr>
          <w:cantSplit/>
        </w:trPr>
        <w:tc>
          <w:tcPr>
            <w:tcW w:type="dxa" w:w="37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20261023_신한_EconCheckup</w:t>
            </w:r>
          </w:p>
        </w:tc>
        <w:tc>
          <w:tcPr>
            <w:tcW w:type="dxa" w:w="15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신한투자증권</w:t>
            </w:r>
          </w:p>
        </w:tc>
        <w:tc>
          <w:tcPr>
            <w:tcW w:type="dxa" w:w="12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2026-10-23</w:t>
            </w:r>
          </w:p>
        </w:tc>
        <w:tc>
          <w:tcPr>
            <w:tcW w:type="dxa" w:w="3238"/>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Shinhan Econ Check-up: 주요국 통화정책회의 매파적 동결에 무게</w:t>
            </w:r>
          </w:p>
        </w:tc>
      </w:tr>
      <w:tr>
        <w:trPr>
          <w:cantSplit/>
        </w:trPr>
        <w:tc>
          <w:tcPr>
            <w:tcW w:type="dxa" w:w="37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20261023_신한_FXCheckup</w:t>
            </w:r>
          </w:p>
        </w:tc>
        <w:tc>
          <w:tcPr>
            <w:tcW w:type="dxa" w:w="15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신한투자증권</w:t>
            </w:r>
          </w:p>
        </w:tc>
        <w:tc>
          <w:tcPr>
            <w:tcW w:type="dxa" w:w="12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2026-10-23</w:t>
            </w:r>
          </w:p>
        </w:tc>
        <w:tc>
          <w:tcPr>
            <w:tcW w:type="dxa" w:w="3238"/>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Shinhan FX Check-up: 수급 우위 속 원/달러 하락 압력 우세</w:t>
            </w:r>
          </w:p>
        </w:tc>
      </w:tr>
      <w:tr>
        <w:trPr>
          <w:cantSplit/>
        </w:trPr>
        <w:tc>
          <w:tcPr>
            <w:tcW w:type="dxa" w:w="37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20261023_신한_WeeklyGuideBook</w:t>
            </w:r>
          </w:p>
        </w:tc>
        <w:tc>
          <w:tcPr>
            <w:tcW w:type="dxa" w:w="15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신한투자증권</w:t>
            </w:r>
          </w:p>
        </w:tc>
        <w:tc>
          <w:tcPr>
            <w:tcW w:type="dxa" w:w="12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2026-10-23</w:t>
            </w:r>
          </w:p>
        </w:tc>
        <w:tc>
          <w:tcPr>
            <w:tcW w:type="dxa" w:w="3238"/>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WeeklyGuideBook</w:t>
            </w:r>
          </w:p>
        </w:tc>
      </w:tr>
    </w:tbl>
    <w:p>
      <w:pPr>
        <w:spacing w:after="40" w:before="200" w:line="276"/>
      </w:pPr>
      <w:r>
        <w:rPr>
          <w:rFonts w:ascii="맑은 고딕" w:cs="맑은 고딕" w:eastAsia="맑은 고딕" w:hAnsi="맑은 고딕"/>
          <w:b/>
          <w:bCs/>
          <w:color w:val="1F2937"/>
          <w:sz w:val="16"/>
          <w:szCs w:val="16"/>
        </w:rPr>
        <w:t xml:space="preserve">면책: </w:t>
      </w:r>
      <w:r>
        <w:rPr>
          <w:rFonts w:ascii="맑은 고딕" w:cs="맑은 고딕" w:eastAsia="맑은 고딕" w:hAnsi="맑은 고딕"/>
          <w:color w:val="6B7280"/>
          <w:sz w:val="16"/>
          <w:szCs w:val="16"/>
        </w:rPr>
        <w:t xml:space="preserve">본 자료는 개인 의사결정 보조용 분석 자료이며 투자 권유가 아닙니다. 현황 수치는 기준일 시점의 ECOS 수기 입력값 또는 [웹확인] 표시된 웹 검색 값(공식 원문 대조 전)이고, 전망·시나리오·확률은 하우스 뷰와 에이전트 판단에 기반한 추정입니다. 증권사 리포트의 저작권은 각 발행사에 있습니다.</w:t>
      </w:r>
    </w:p>
    <w:sectPr>
      <w:footerReference w:type="default" r:id="rId7"/>
      <w:pgSz w:w="11906" w:h="16838" w:orient="portrait"/>
      <w:pgMar w:top="1000" w:right="1134" w:bottom="1000"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맑은 고딕" w:cs="맑은 고딕" w:eastAsia="맑은 고딕" w:hAnsi="맑은 고딕"/>
        <w:color w:val="6B7280"/>
        <w:sz w:val="15"/>
        <w:szCs w:val="15"/>
      </w:rPr>
      <w:t xml:space="preserve">매크로 16개 항목 요약 · 2026-10-25 · </w:t>
    </w:r>
    <w:r>
      <w:rPr>
        <w:rFonts w:ascii="맑은 고딕" w:cs="맑은 고딕" w:eastAsia="맑은 고딕" w:hAnsi="맑은 고딕"/>
        <w:color w:val="6B7280"/>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0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맑은 고딕" w:cs="맑은 고딕" w:eastAsia="맑은 고딕" w:hAnsi="맑은 고딕"/>
      <w:b/>
      <w:bCs/>
      <w:sz w:val="28"/>
      <w:szCs w:val="28"/>
    </w:rPr>
  </w:style>
  <w:style w:type="paragraph" w:styleId="Heading2">
    <w:name w:val="Heading 2"/>
    <w:basedOn w:val="Normal"/>
    <w:next w:val="Normal"/>
    <w:qFormat/>
    <w:pPr>
      <w:outlineLvl w:val="1"/>
    </w:pPr>
    <w:rPr>
      <w:rFonts w:ascii="맑은 고딕" w:cs="맑은 고딕" w:eastAsia="맑은 고딕" w:hAnsi="맑은 고딕"/>
      <w:b/>
      <w:bCs/>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2026-10-25T06:22:33.612Z</dcterms:created>
  <dcterms:modified xsi:type="dcterms:W3CDTF">2026-10-25T06:22:33.618Z</dcterms:modified>
</cp:coreProperties>
</file>

<file path=docProps/custom.xml><?xml version="1.0" encoding="utf-8"?>
<Properties xmlns="http://schemas.openxmlformats.org/officeDocument/2006/custom-properties" xmlns:vt="http://schemas.openxmlformats.org/officeDocument/2006/docPropsVTypes"/>
</file>