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현대해상-포트폴리오-매크로-영향-분석-2026-10-25"/>
    <w:p>
      <w:pPr>
        <w:pStyle w:val="Heading1"/>
      </w:pPr>
      <w:r>
        <w:t xml:space="preserve">현대해상 포트폴리오 매크로 영향 분석 — 2026-10-25</w:t>
      </w:r>
    </w:p>
    <w:p>
      <w:pPr>
        <w:pStyle w:val="BlockText"/>
      </w:pPr>
      <w:r>
        <w:t xml:space="preserve">업종: 보험사 (</w:t>
      </w:r>
      <w:r>
        <w:rPr>
          <w:rStyle w:val="VerbatimChar"/>
        </w:rPr>
        <w:t xml:space="preserve">entity_type: insurer</w:t>
      </w:r>
      <w:r>
        <w:t xml:space="preserve">) — 분석 관점은</w:t>
      </w:r>
      <w:r>
        <w:t xml:space="preserve"> </w:t>
      </w:r>
      <w:r>
        <w:rPr>
          <w:rStyle w:val="VerbatimChar"/>
        </w:rPr>
        <w:t xml:space="preserve">config/entity_profiles.yaml</w:t>
      </w:r>
    </w:p>
    <w:p>
      <w:pPr>
        <w:pStyle w:val="BlockText"/>
      </w:pPr>
      <w:r>
        <w:t xml:space="preserve">익스포저 기준 2026Q2 · 매크로 충격 기준일 2026-10-25 (knowledge/macro_topics/2026-10-25/ (build_shocks.py)) · 금액 단위 억원, bp = 운용자산 대비 ·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= 가정/추정값 포함 · 평가 기준: 경제적 가치(공정가치) 기준 — 회계상 손익(AC 분류, 원가모형 부동산 등)과 다를 수 있음</w:t>
      </w:r>
    </w:p>
    <w:bookmarkStart w:id="20" w:name="요약"/>
    <w:p>
      <w:pPr>
        <w:pStyle w:val="Heading2"/>
      </w:pPr>
      <w:r>
        <w:t xml:space="preserve">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운용자산 평가손익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운용자산 대비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 포함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민감도 보정 (억원)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-3,298 (-72.3bp)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-1,720 (-37.7bp)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26,518 (+581.6bp)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-28,731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-31,220 (-684.7bp)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-1,511 (-33.1bp)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확률가중 기대값 (장기-Base/장기-Bull/장기-Bear)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공시 민감도 보정: 채권·대출의 금리 요인을 회사 공시 금리 민감도에 맞춰 금리 상승 ×1.136, 하락 ×1.217 조정한 합계(아래</w:t>
      </w:r>
      <w:r>
        <w:t xml:space="preserve"> </w:t>
      </w:r>
      <w:r>
        <w:t xml:space="preserve">‘</w:t>
      </w:r>
      <w:r>
        <w:t xml:space="preserve">공시 금리 민감도 vs 엔진</w:t>
      </w:r>
      <w:r>
        <w:t xml:space="preserve">’</w:t>
      </w:r>
      <w:r>
        <w:t xml:space="preserve"> </w:t>
      </w:r>
      <w:r>
        <w:t xml:space="preserve">참고).</w:t>
      </w:r>
    </w:p>
    <w:p>
      <w:pPr>
        <w:pStyle w:val="BodyText"/>
      </w:pPr>
      <w:r>
        <w:rPr>
          <w:bCs/>
          <w:b/>
        </w:rPr>
        <w:t xml:space="preserve">가장 취약한 자산군 3개</w:t>
      </w:r>
      <w:r>
        <w:t xml:space="preserve"> </w:t>
      </w:r>
      <w:r>
        <w:t xml:space="preserve">(시나리오별 최대 손실 기준)</w:t>
      </w:r>
    </w:p>
    <w:p>
      <w:pPr>
        <w:numPr>
          <w:ilvl w:val="0"/>
          <w:numId w:val="1001"/>
        </w:numPr>
        <w:pStyle w:val="Compact"/>
      </w:pPr>
      <w:r>
        <w:t xml:space="preserve">국공채: -9,777억원 (장기-Bear)</w:t>
      </w:r>
    </w:p>
    <w:p>
      <w:pPr>
        <w:numPr>
          <w:ilvl w:val="0"/>
          <w:numId w:val="1001"/>
        </w:numPr>
        <w:pStyle w:val="Compact"/>
      </w:pPr>
      <w:r>
        <w:t xml:space="preserve">해외채(혼합): -6,321억원 (장기-Bear)</w:t>
      </w:r>
    </w:p>
    <w:p>
      <w:pPr>
        <w:numPr>
          <w:ilvl w:val="0"/>
          <w:numId w:val="1001"/>
        </w:numPr>
        <w:pStyle w:val="Compact"/>
      </w:pPr>
      <w:r>
        <w:t xml:space="preserve">특수채: -3,924억원 (장기-Bear)</w:t>
      </w:r>
    </w:p>
    <w:p>
      <w:pPr>
        <w:pStyle w:val="FirstParagraph"/>
      </w:pPr>
      <w:r>
        <w:rPr>
          <w:bCs/>
          <w:b/>
        </w:rPr>
        <w:t xml:space="preserve">핵심 제안 3가지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국공채 −1%p → AA 이상 회사채 +1%p</w:t>
      </w:r>
      <w:r>
        <w:t xml:space="preserve">: 금리 상승 Base(국고 10년 +10bp)와 Bear(확률 0.2562, +55bp)에서 초장기 국공채 평가손이 가장 크다(Bear −9,777억원*). 공시 듀레이션 갭이 양(+)이라(자산 10.7년 &gt; 부채 10.0년, p.10) 금리가 오르면 가용자본이 준다(+50bp 시 −1,100억원). 그래서 자산 듀레이션을 소폭 낮추고 AA 스프레드 축소(Base −5bp) 캐리를 취한다.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부동산(직접+수익증권) −0.5%p → 현금 +0.5%p</w:t>
      </w:r>
      <w:r>
        <w:t xml:space="preserve">: 국내 캡레이트 Base +10bp·Bear +40bp 경로에서 부동산 계 6.2%가 Bear −2,494억원*으로 네 번째로 큰 손실원이다(국공채·해외채·특수채 다음). 상가 공실률도 통계 작성 이후 최고(13.4%, 2026-06-30, 웹확인)다.</w:t>
      </w:r>
    </w:p>
    <w:p>
      <w:pPr>
        <w:numPr>
          <w:ilvl w:val="0"/>
          <w:numId w:val="1002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해외채 유지 + 헤지비율·신용 점검</w:t>
      </w:r>
      <w:r>
        <w:t xml:space="preserve">: 헤지비용 Base −50bp로 헤지 후 수익률은 좋아질 여지가 있다. 그러나 미국 IG·HY 스프레드 확대(Base +10/+50bp)를 감안하고, 신규 투자는 국채·고등급 위주로 한다. [하우스] AI 인프라 발행사에서 크레딧 스트레스가 먼저 나타난다는 점은 두 하우스 공통이다(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p.2,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 </w:t>
      </w:r>
      <w:r>
        <w:t xml:space="preserve">p.13). 헤지비율은 공시가 없어 0.9로 가정했으므로 실제 비율 확인이 우선이다.</w:t>
      </w:r>
    </w:p>
    <w:bookmarkEnd w:id="20"/>
    <w:bookmarkStart w:id="21" w:name="포트폴리오-현황"/>
    <w:p>
      <w:pPr>
        <w:pStyle w:val="Heading2"/>
      </w:pPr>
      <w:r>
        <w:t xml:space="preserve">포트폴리오 현황</w:t>
      </w:r>
    </w:p>
    <w:p>
      <w:pPr>
        <w:pStyle w:val="FirstParagraph"/>
      </w:pPr>
      <w:r>
        <w:t xml:space="preserve">총 운용자산 45.6조원 (2026Q2, 공시, sheet:(4) Investment; p.8) · 회계기준 IFRS17/IFRS9 (금액은 IR데이터 엑셀 재무상태표·운용자산 기준, 장부가) · K-ICS 209% · 운용수익률 2.47%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(십억원)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수정듀레이션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 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 · 채권-국공채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 · 채권-특수채 및 금융채(금융채 포함)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· 채권-회사채 (rating_dist는 국내채권 전체 분포, p.8)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 · 외화유가증권-채권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· 주식(국내)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 · 수익증권-기타(10.2%)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 · 대출채권-개인 중 부동산(43.8%×96.9%)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 · 대출채권-기업(56.2%)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 · 대출채권-개인 중 기타(43.8%×3.1%)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(추정)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· 수익증권-부동산(28.0%)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· 부동산(직접 보유)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 · 수익증권-인프라(41.7%)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 · 수익증권-PE/인수(20.1%)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p.8; 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 · 현·예금및예치금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외화유가증권-채권 외(기타·구조화)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혼합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출자금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 · 관계·종속기업투자주식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sheet:(4) Investment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비중 추이 (%)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2026Q2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총 운용자산(조원)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</w:tr>
    </w:tbl>
    <w:p>
      <w:pPr>
        <w:pStyle w:val="BodyText"/>
      </w:pPr>
      <w:r>
        <w:rPr>
          <w:bCs/>
          <w:b/>
        </w:rPr>
        <w:t xml:space="preserve">운용 전략 해석</w:t>
      </w:r>
    </w:p>
    <w:p>
      <w:pPr>
        <w:numPr>
          <w:ilvl w:val="0"/>
          <w:numId w:val="1003"/>
        </w:numPr>
        <w:pStyle w:val="Compact"/>
      </w:pPr>
      <w:r>
        <w:t xml:space="preserve">[사실] 운용자산은 47.0조원(2025-12말)에서 45.6조원(2026-06말)으로 3.0% 줄었다. 국내채권이 20.2조원에서 18.2조원으로 10.1% 줄었고(국공채 −1.24조원, 특수채·금융채 −0.65조원), 외화 채권은 5.84조원에서 6.32조원으로 8.3% 늘었다(sheet:(4) Investment).</w:t>
      </w:r>
    </w:p>
    <w:p>
      <w:pPr>
        <w:numPr>
          <w:ilvl w:val="0"/>
          <w:numId w:val="1003"/>
        </w:numPr>
        <w:pStyle w:val="Compact"/>
      </w:pPr>
      <w:r>
        <w:t xml:space="preserve">[사실] 부채 듀레이션은 11.6년에서 10.0년으로, 자산 듀레이션은 10.9년에서 10.7년으로 줄어 듀레이션 갭이 −0.7년에서 +0.7년으로 바뀌었다(p.10). 최선추정부채는 15,522십억원에서 10,597십억원으로 31.7% 줄었고, K-ICS는 190.1%에서 209.0%로 올랐다(sheet:(6) BS, p.3).</w:t>
      </w:r>
    </w:p>
    <w:p>
      <w:pPr>
        <w:numPr>
          <w:ilvl w:val="0"/>
          <w:numId w:val="1003"/>
        </w:numPr>
        <w:pStyle w:val="Compact"/>
      </w:pPr>
      <w:r>
        <w:t xml:space="preserve">[판단] 부채 듀레이션이 짧아지자 장기 국공채 보유를 줄여 매칭을 유지하고, 해외채로 다변화한 것으로 보인다. 대출·대체투자 비중은 사실상 유지됐다. 2025말 대출·수익증권 세부 구성은 2026Q2 비율을 적용한 추정이라 세부 추이 해석에서는 제외한다.</w:t>
      </w:r>
    </w:p>
    <w:bookmarkEnd w:id="21"/>
    <w:bookmarkStart w:id="22" w:name="매크로-포트폴리오-영향"/>
    <w:p>
      <w:pPr>
        <w:pStyle w:val="Heading2"/>
      </w:pPr>
      <w:r>
        <w:t xml:space="preserve">매크로 → 포트폴리오 영향</w:t>
      </w:r>
    </w:p>
    <w:p>
      <w:pPr>
        <w:pStyle w:val="FirstParagraph"/>
      </w:pPr>
      <w:r>
        <w:rPr>
          <w:bCs/>
          <w:b/>
        </w:rPr>
        <w:t xml:space="preserve">시나리오 × 자산군 영향 (억원)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 (십억원)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확률가중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-468*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-553*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-1,476*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7,933*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-9,777*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-729*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-1,251*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-508*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3,031*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-3,924*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-498*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-1,111*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대출-기업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-233*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대출-부동산담보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-84*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-143*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대출-신용/약관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해외채(혼합)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-845*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5,547*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-6,321*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345*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기타(혼합)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-175*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부동산#수익증권-부동산(28.0%)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-1,413*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-353*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-404*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수익증권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-347*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부동산#부동산(직접 보유)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-135*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406*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-1,082*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-270*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-309*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기타#출자금 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기타#관계·종속기업투자주식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45,594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-3,076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-1,680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22,504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-28,731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-1,664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-2,565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운용자산 대비 (bp)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-67.5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-56.3</w:t>
            </w:r>
          </w:p>
        </w:tc>
      </w:tr>
    </w:tbl>
    <w:p>
      <w:pPr>
        <w:pStyle w:val="BodyText"/>
      </w:pPr>
      <w:r>
        <w:rPr>
          <w:bCs/>
          <w:b/>
        </w:rPr>
        <w:t xml:space="preserve">요인 분해 (억원)</w:t>
      </w:r>
      <w:r>
        <w:t xml:space="preserve"> </w:t>
      </w:r>
      <w:r>
        <w:t xml:space="preserve">— rate=금리, spread=스프레드, fx=환율(비헤지분), hedge_cost=헤지비용, 기타는 자산군별 팩터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hedge_cost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credit_loss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floating_income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-5,344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-2,494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영향 경로 설명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금리가 지배적</w:t>
      </w:r>
      <w:r>
        <w:t xml:space="preserve">: Bear(−28,731억원*)의 금리 요인은 −18,255억원이다. 국공채(가정 듀레이션 18년)가 가장 크다. 공시 민감도로 보정하면 Bear는 −31,220억원(−684.7bp)이다.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스프레드·부동산</w:t>
      </w:r>
      <w:r>
        <w:t xml:space="preserve">: Bear 스프레드 요인 −5,344억원(해외채 IG +80bp, 국내 AA +30bp)과 캡레이트 요인 −2,494억원(국내 +40bp)이 그다음이다. Base는 금리·스프레드·부동산의 소폭 손실(−1,680억원*)을 헤지비용 개선(+284억원)과 PE·주식 평가 상승이 일부 상쇄한다.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회계 인식</w:t>
      </w:r>
      <w:r>
        <w:t xml:space="preserve">: 유가증권 대부분이 기타포괄손익(FVOCI) 분류다(23.7조원 vs 당기손익(FVPL) 8.3조원, 상각후원가 0, sheet:(6) BS). 그래서 채권 평가손익의 상당 부분은 당기손익이 아니라 자본(기타포괄손익)에 반영된다. K-ICS 가용자본은 경제적 가치 기준이라 부채 평가와 상쇄된다(아래 ALM).</w:t>
      </w:r>
    </w:p>
    <w:p>
      <w:pPr>
        <w:numPr>
          <w:ilvl w:val="0"/>
          <w:numId w:val="1004"/>
        </w:numPr>
        <w:pStyle w:val="Compact"/>
      </w:pPr>
      <w:r>
        <w:t xml:space="preserve">[판단]</w:t>
      </w:r>
      <w:r>
        <w:t xml:space="preserve"> </w:t>
      </w:r>
      <w:r>
        <w:rPr>
          <w:bCs/>
          <w:b/>
        </w:rPr>
        <w:t xml:space="preserve">계산 밖 경로</w:t>
      </w:r>
      <w:r>
        <w:t xml:space="preserve">: 대체투자(인프라·PE·부동산 수익증권)는 평가가 1~2분기 늦게 반영된다. 부동산 PF는 금액 공시가 없어(미확인) 손실률 경로를 계산하지 못했다. 대출은 NPL 0.36%, 충당금 커버리지 275.9%(p.9)로 건전성 여유가 있다.</w:t>
      </w:r>
    </w:p>
    <w:p>
      <w:pPr>
        <w:numPr>
          <w:ilvl w:val="0"/>
          <w:numId w:val="1004"/>
        </w:numPr>
        <w:pStyle w:val="Compact"/>
      </w:pPr>
      <w:r>
        <w:t xml:space="preserve">[하우스]</w:t>
      </w:r>
      <w:r>
        <w:t xml:space="preserve"> </w:t>
      </w:r>
      <w:r>
        <w:rPr>
          <w:bCs/>
          <w:b/>
        </w:rPr>
        <w:t xml:space="preserve">발행사 신용</w:t>
      </w:r>
      <w:r>
        <w:t xml:space="preserve">: 신한투자증권 크레딧 위클리는 현대해상화재보험(AAA)을 발행사 부정적 등급전망 목록에 올렸다(</w:t>
      </w:r>
      <w:r>
        <w:rPr>
          <w:rStyle w:val="VerbatimChar"/>
        </w:rPr>
        <w:t xml:space="preserve">20261020_신한_WeeklyCreditMonitor</w:t>
      </w:r>
      <w:r>
        <w:t xml:space="preserve"> </w:t>
      </w:r>
      <w:r>
        <w:t xml:space="preserve">p.13). 자본성 증권 조달비용과 투자자 인식에 영향을 줄 수 있는 요인이다.</w:t>
      </w:r>
    </w:p>
    <w:bookmarkEnd w:id="22"/>
    <w:bookmarkStart w:id="23" w:name="자본비율"/>
    <w:p>
      <w:pPr>
        <w:pStyle w:val="Heading2"/>
      </w:pPr>
      <w:r>
        <w:t xml:space="preserve">자본비율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플래그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p.3; p.10; sheet:(1) Highlights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기본자본비율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기본자본비율(해약환급금준비금 100% 인정시)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</w:tbl>
    <w:bookmarkEnd w:id="23"/>
    <w:bookmarkStart w:id="24" w:name="공시-금리-민감도-vs-엔진-캘리브레이션"/>
    <w:p>
      <w:pPr>
        <w:pStyle w:val="Heading2"/>
      </w:pPr>
      <w:r>
        <w:t xml:space="preserve">공시 금리 민감도 vs 엔진 (캘리브레이션)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자산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엔진: 국내 커브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엔진: 국내+해외 커브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엔진/공시 (국내)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엔진/공시 (국내+해외)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가용자본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자본비율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-14,900*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-17,428*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+0.7%p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-50bp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14,900*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17,428*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K-ICS +0.3%p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</w:t>
            </w:r>
          </w:p>
        </w:tc>
      </w:tr>
    </w:tbl>
    <w:p>
      <w:pPr>
        <w:pStyle w:val="BodyText"/>
      </w:pPr>
      <w:r>
        <w:t xml:space="preserve">산출 기준(공시): PAP(건전성회계) 기준; 자산=채권·대출, 부채=장기보험료부채 및 장기위험마진; 가용자본은 세후, 기준일 2026-06말. 엔진은 금리 요인(rate)만 비교하며 스프레드·환율은 제외. 비율이 1에서 멀면 듀레이션 가정(assumptions.yaml) 또는 자산 분류를 재점검한다.</w:t>
      </w:r>
    </w:p>
    <w:p>
      <w:pPr>
        <w:pStyle w:val="BodyText"/>
      </w:pPr>
      <w:r>
        <w:t xml:space="preserve">[판단] 엔진의 금리 민감도는 공시보다 작다(+50bp에서 0.88배, −50bp에서 0.82배, 국내+해외 커브). 원인은 두 가지로 본다.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자산 범위 차이</w:t>
      </w:r>
      <w:r>
        <w:t xml:space="preserve">: 공시 민감도와 듀레이션으로 역산한 금리민감 자산은 약 37.0조원(1.98조원 ÷ (10.7년 × 0.5%))이다. 엔진이 금리 요인으로 계산하는 채권·대출은 34.0조원이다(국공채·특수채·회사채·기업대출·부동산담보대출 27.7조원 + 해외채 6.3조원). PAP 기준 ’채권·대출’에는 수익증권 안의 채권형·인프라 대출 등이 포함된 것으로 추정된다.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볼록성</w:t>
      </w:r>
      <w:r>
        <w:t xml:space="preserve">: 공시는 −50bp(+2.12조원)가 +50bp(−1.98조원)보다 커 볼록성(convexity)이 반영돼 있다. 엔진은 선형(컨벡시티 제외)이다.</w:t>
      </w:r>
      <w:r>
        <w:t xml:space="preserve"> </w:t>
      </w:r>
      <w:r>
        <w:t xml:space="preserve">그래서 요약표에 공시 보정 합계(금리 상승 ×1.136, 하락 ×1.217)를 함께 적었고, ALM은 공시 기반 열을 우선한다. 엔진이 금리 요인을 적용하는 국내 채권·대출의 가중평균 듀레이션은 10.7년으로 공시 자산 듀레이션과 같다. 그래서 차이는 듀레이션 가정보다 자산 범위의 차이로 보고, 가정은 바꾸지 않았다.</w:t>
      </w:r>
    </w:p>
    <w:bookmarkEnd w:id="24"/>
    <w:bookmarkStart w:id="25" w:name="alm-관점"/>
    <w:p>
      <w:pPr>
        <w:pStyle w:val="Heading2"/>
      </w:pPr>
      <w:r>
        <w:t xml:space="preserve">ALM 관점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팩터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Δy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자산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부채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순자산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엔진 순자산 (bp)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듀레이션 갭 (년)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기반 가용자본 (억원)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공시 기반 자본비율 (%p)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장기-Bull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장기-Bear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-20,473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-20,460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기대충격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+0.07</w:t>
            </w:r>
          </w:p>
        </w:tc>
      </w:tr>
    </w:tbl>
    <w:p>
      <w:pPr>
        <w:pStyle w:val="BodyText"/>
      </w:pPr>
      <w:r>
        <w:t xml:space="preserve">공시 기반 열: 공시 +50bp 시 가용자본 -110십억원 × 0.10 (선형 근사, p.10). 엔진 열과 부호가 다르면 공시 기반을 우선한다(엔진은 금리민감 자산 범위가 공시보다 좁을 수 있음).</w:t>
      </w:r>
    </w:p>
    <w:p>
      <w:pPr>
        <w:pStyle w:val="BodyText"/>
      </w:pPr>
      <w:r>
        <w:t xml:space="preserve">D_A 8.164년 (운용자산 대비, 금리민감 자산만), D_L 10.0년, L 37,200십억원. 단일 금리 팩터 근사이며 IFRS17 할인율(유동성 프리미엄·LTFR)과 CSM 흡수 효과는 반영하지 않음.</w:t>
      </w:r>
    </w:p>
    <w:p>
      <w:pPr>
        <w:numPr>
          <w:ilvl w:val="0"/>
          <w:numId w:val="1005"/>
        </w:numPr>
        <w:pStyle w:val="Compact"/>
      </w:pPr>
      <w:r>
        <w:t xml:space="preserve">[사실] 공시 듀레이션 갭은 양(+)이다(자산 10.7년 &gt; 부채 10.0년, p.10). 금리가 오르면 자산 감소가 부채 감소보다 커서 가용자본이 줄고(+50bp −1,100억원), 내리면 늘어난다(−50bp +800억원). 단 K-ICS 비율은 양방향 모두 오른다(+0.7%p / +0.3%p, p.10).</w:t>
      </w:r>
    </w:p>
    <w:p>
      <w:pPr>
        <w:numPr>
          <w:ilvl w:val="0"/>
          <w:numId w:val="1005"/>
        </w:numPr>
        <w:pStyle w:val="Compact"/>
      </w:pPr>
      <w:r>
        <w:t xml:space="preserve">[판단] 공시 기반으로 보면 Base(+10bp)는 가용자본 −220억원·K-ICS +0.14%p, Bear(+55bp)는 −1,210억원·+0.77%p, Bull(−45bp)은 +720억원·+0.27%p다. 금리 위험이 자본비율에 미치는 영향은 작다. K-ICS가 금리 상승에도 오르는 것은 요구자본(금리위험) 감소가 가용자본 감소를 상쇄하기 때문으로 해석한다.</w:t>
      </w:r>
    </w:p>
    <w:p>
      <w:pPr>
        <w:numPr>
          <w:ilvl w:val="0"/>
          <w:numId w:val="1005"/>
        </w:numPr>
        <w:pStyle w:val="Compact"/>
      </w:pPr>
      <w:r>
        <w:t xml:space="preserve">[판단] 엔진 열은 갭이 +0.005년으로 거의 중립이고, 공시 갭(+0.7년)보다 작다. 위 캘리브레이션에서 본 자산 범위 과소 때문이다. 방향은 공시와 같지만(금리 상승 시 순자산 감소) 크기는 작으므로 공시 기반을 우선한다. 결론적으로 K-ICS 209.0%에서 금리 충격 흡수 여력은 충분하다. 자본에 더 큰 변수는 신용 스프레드와 대체·부동산 평가다.</w:t>
      </w:r>
    </w:p>
    <w:bookmarkEnd w:id="25"/>
    <w:bookmarkStart w:id="26" w:name="리밸런싱-제안"/>
    <w:p>
      <w:pPr>
        <w:pStyle w:val="Heading2"/>
      </w:pPr>
      <w:r>
        <w:t xml:space="preserve">리밸런싱 제안</w:t>
      </w:r>
    </w:p>
    <w:p>
      <w:pPr>
        <w:pStyle w:val="FirstParagraph"/>
      </w:pPr>
      <w:r>
        <w:rPr>
          <w:bCs/>
          <w:b/>
        </w:rPr>
        <w:t xml:space="preserve">현재 제약 점검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config/constraints.yaml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제약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대체투자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부동산PF 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주식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해외자산 합계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현금성 최소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BBB 이하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듀레이션 갭(년)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</w:tbl>
    <w:p>
      <w:pPr>
        <w:pStyle w:val="BodyText"/>
      </w:pPr>
      <w:r>
        <w:t xml:space="preserve">[판단] 제안안(</w:t>
      </w:r>
      <w:r>
        <w:rPr>
          <w:rStyle w:val="VerbatimChar"/>
        </w:rPr>
        <w:t xml:space="preserve">{"국공채": −1.0, "회사채": +1.0, "부동산": −0.5, "현금예금": +0.5}</w:t>
      </w:r>
      <w:r>
        <w:t xml:space="preserve">, %p)을</w:t>
      </w:r>
      <w:r>
        <w:t xml:space="preserve"> </w:t>
      </w:r>
      <w:r>
        <w:rPr>
          <w:rStyle w:val="VerbatimChar"/>
        </w:rPr>
        <w:t xml:space="preserve">calc_impact.py --proposal</w:t>
      </w:r>
      <w:r>
        <w:t xml:space="preserve">로 점검했고, 비중 한도를 모두 충족한다(대체투자 합계 13.35%, 해외자산 16.4%, 현금성 4.4%). 조정 후 포트폴리오로 다시 계산한 엔진 듀레이션 갭은 +0.005년에서 −0.115년으로 바뀌고, 한도(±1년) 안이다. 공시 기준 갭(+0.7년)도 국공채 축소로 줄어드는 방향이다.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자산군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폭 (%p)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실행 시 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 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국공채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 ~ −1.0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상승 Base·Bear에서 최대 손실원(Bear −9,777억원*). 공시 갭이 양(+)이라 금리 상승 시 가용자본 감소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하락(Bull, 확률 0.25) 시 기회손실(Bull +7,933억원*). 부채 매칭 약화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회사채(AA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 ~ 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스프레드 Base −5bp, 우량물 수요 견조(신한 크레딧 위클리 p.2-3, 수요예측 p.9-10)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Bear에서 AA +30bp 확대. 발행 공급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부동산(직접+수익증권)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 ~ −0.5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캡레이트 Base +10bp·Bear +40bp, 상가 공실 최고치. Bear −2,494억원*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매각 시 할인, 감정평가 지연으로 손실 미반영분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현금예금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 ~ +0.5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유동성 버퍼, 금리 상승기 재투자 여력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캐리 손실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해외채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헤지비용 개선(Base −50bp) vs 미국 크레딧 스프레드 확대·AI 크레딧 우려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헤지비율 미공시(가정 0.9) — 확인 필요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대체-인프라·PE·대출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인프라는 장기 부채 매칭에 기여, 대출 건전성 양호(NPL 0.36%)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 지연, PF 노출 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충족</w:t>
            </w:r>
          </w:p>
        </w:tc>
      </w:tr>
    </w:tbl>
    <w:bookmarkEnd w:id="26"/>
    <w:bookmarkStart w:id="27" w:name="한계와-가정"/>
    <w:p>
      <w:pPr>
        <w:pStyle w:val="Heading2"/>
      </w:pPr>
      <w:r>
        <w:t xml:space="preserve">한계와 가정</w:t>
      </w:r>
    </w:p>
    <w:p>
      <w:pPr>
        <w:pStyle w:val="FirstParagraph"/>
      </w:pPr>
      <w:r>
        <w:rPr>
          <w:bCs/>
          <w:b/>
        </w:rPr>
        <w:t xml:space="preserve">추정·가정값을 쓴 항목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config/assumptions.yaml</w:t>
      </w:r>
      <w:r>
        <w:t xml:space="preserve"> </w:t>
      </w:r>
      <w:r>
        <w:t xml:space="preserve">— 모두 가정)</w:t>
      </w:r>
    </w:p>
    <w:p>
      <w:pPr>
        <w:numPr>
          <w:ilvl w:val="0"/>
          <w:numId w:val="1006"/>
        </w:numPr>
        <w:pStyle w:val="Compact"/>
      </w:pPr>
      <w:r>
        <w:t xml:space="preserve">주식: 베타=가정 1.0</w:t>
      </w:r>
    </w:p>
    <w:p>
      <w:pPr>
        <w:numPr>
          <w:ilvl w:val="0"/>
          <w:numId w:val="1006"/>
        </w:numPr>
        <w:pStyle w:val="Compact"/>
      </w:pPr>
      <w:r>
        <w:t xml:space="preserve">국공채: D_mod=추정</w:t>
      </w:r>
    </w:p>
    <w:p>
      <w:pPr>
        <w:numPr>
          <w:ilvl w:val="0"/>
          <w:numId w:val="1006"/>
        </w:numPr>
        <w:pStyle w:val="Compact"/>
      </w:pPr>
      <w:r>
        <w:t xml:space="preserve">특수채: D_mod=추정, SD=D_mod 가정, 스프레드 배수 0.3 가정</w:t>
      </w:r>
    </w:p>
    <w:p>
      <w:pPr>
        <w:numPr>
          <w:ilvl w:val="0"/>
          <w:numId w:val="1006"/>
        </w:numPr>
        <w:pStyle w:val="Compact"/>
      </w:pPr>
      <w:r>
        <w:t xml:space="preserve">회사채: D_mod=추정, SD=D_mod 가정</w:t>
      </w:r>
    </w:p>
    <w:p>
      <w:pPr>
        <w:numPr>
          <w:ilvl w:val="0"/>
          <w:numId w:val="1006"/>
        </w:numPr>
        <w:pStyle w:val="Compact"/>
      </w:pPr>
      <w:r>
        <w:t xml:space="preserve">대출-기업: D_mod=추정, SD=D_mod 가정, 스프레드 배수 0.5 가정</w:t>
      </w:r>
    </w:p>
    <w:p>
      <w:pPr>
        <w:numPr>
          <w:ilvl w:val="0"/>
          <w:numId w:val="1006"/>
        </w:numPr>
        <w:pStyle w:val="Compact"/>
      </w:pPr>
      <w:r>
        <w:t xml:space="preserve">대출-부동산담보: D_mod=추정, 손실률 배수 0.3 가정</w:t>
      </w:r>
    </w:p>
    <w:p>
      <w:pPr>
        <w:numPr>
          <w:ilvl w:val="0"/>
          <w:numId w:val="1006"/>
        </w:numPr>
        <w:pStyle w:val="Compact"/>
      </w:pPr>
      <w:r>
        <w:t xml:space="preserve">해외채(혼합): D_mod=추정, SD=D_mod 가정, 등급 미공시 → IG 가정, 헤지비용 보유기간 가정, 헤지비율=가정 0.9, 혼합 금리를 UST로 근사</w:t>
      </w:r>
    </w:p>
    <w:p>
      <w:pPr>
        <w:numPr>
          <w:ilvl w:val="0"/>
          <w:numId w:val="1006"/>
        </w:numPr>
        <w:pStyle w:val="Compact"/>
      </w:pPr>
      <w:r>
        <w:t xml:space="preserve">대체-인프라: D_mod=가정 10.0</w:t>
      </w:r>
    </w:p>
    <w:p>
      <w:pPr>
        <w:numPr>
          <w:ilvl w:val="0"/>
          <w:numId w:val="1006"/>
        </w:numPr>
        <w:pStyle w:val="Compact"/>
      </w:pPr>
      <w:r>
        <w:t xml:space="preserve">부동산#수익증권-부동산(28.0%): 기준 캡레이트 0.045 가정</w:t>
      </w:r>
    </w:p>
    <w:p>
      <w:pPr>
        <w:numPr>
          <w:ilvl w:val="0"/>
          <w:numId w:val="1006"/>
        </w:numPr>
        <w:pStyle w:val="Compact"/>
      </w:pPr>
      <w:r>
        <w:t xml:space="preserve">수익증권: 베타=가정 1.0, 주식 노출 비율 0.3 가정</w:t>
      </w:r>
    </w:p>
    <w:p>
      <w:pPr>
        <w:numPr>
          <w:ilvl w:val="0"/>
          <w:numId w:val="1006"/>
        </w:numPr>
        <w:pStyle w:val="Compact"/>
      </w:pPr>
      <w:r>
        <w:t xml:space="preserve">부동산#부동산(직접 보유): 기준 캡레이트 0.045 가정</w:t>
      </w:r>
    </w:p>
    <w:p>
      <w:pPr>
        <w:pStyle w:val="FirstParagraph"/>
      </w:pPr>
      <w:r>
        <w:rPr>
          <w:bCs/>
          <w:b/>
        </w:rPr>
        <w:t xml:space="preserve">익스포저 메모</w:t>
      </w:r>
      <w:r>
        <w:t xml:space="preserve">: 금액은 IR데이터 엑셀 (4) Investment(백만원÷1,000=십억원) 우선, 합계 45,594.0 = 엑셀 운용자산 계(관계·종속기업투자주식·출자금 포함). 대출(9,619.0)과 수익증권(5,675.2)은 PDF p.8 원그래프 비중(공시)으로 금액을 나눔 — 비중은 공시, 금액은 비율 역산(반올림 오차). 대출: 기업 56.2% / 개인 43.8%(부동산 96.9%→대출-부동산담보, 기타 3.1%→대출-신용/약관). 부동산PF 금액은 미공시 → 대출-부동산PF 미확인(임의 배분 안 함; 기업대출 안에 일부 포함 가능). 수익증권: 인프라 41.7%/부동산 28.0%/PE·인수 20.1%/기타 10.2%; region은 국내 수익증권으로 KR 처리(기초자산 해외 비중 미공시 — 미확인). 외화유가증권 7,496.3: 엑셀 채권 6,321.1→해외채, 채권 외 1,175.2→기타. PDF p.8 비중(채권 78.7/기타 15.4/구조화 5.9)은 엑셀 비율(채권 84.3%)과 분류 기준이 달라 금액에는 엑셀을 씀. 지역·통화 미공시 → region 혼합, currency USD는 추정. fx_hedge_ratio 미공시 → null(엔진 가정값 사용). 국내채권 신용등급 AAA 88.7/AA 11.1/A 0.2(p.8)는 국내채권 18.2조 전체 분포이며 회사채 항목의 rating_dist에 참고로 기재(회사채 자체 분포 아님). AA+A 합(11.3%≈2,054십억원)이 회사채(2,336)보다 작아 회사채 다수가 AA 이상으로 판단 → credit_grade AA(추정). 듀레이션: 공시 자산 Duration 10.7년(PAP, 채권·대출, p.10)은 회사 전체 값이라 class별로는 추정. 보험사 초장기 국고채 보유를 감안해 국공채 18.0/특수채 11.0/회사채 6.0/대출 4.0(신용·약관 0.0)으로 두어 국내채권+대출 MV가중평균 10.72년 ≈ 10.7. 해외채는 assumptions 기본값 8.0(추정); 해외채 포함 시 가중평균 10.22년. 참고: 공시 +50bp 자산 변화 −1.98조는 D×A≈396조·bp 수준으로, 국내채권+대출 27.8조 기준 내재 듀레이션 ≈14.2, 해외채 포함 34.1조 기준 ≈11.6 — PAP 평가액이 장부가와 다르거나 해외채 포함 기준일 가능성(미확인). 캘리브레이션 시 참고. 부채: 듀레이션 10.0(공시), pv 37,200 = 1,860/(10.0×0.005) 역산(추정). 듀레이션 갭(자산−부채) +0.7년(p.10). investment_yield 2.47은 1H26 누계 투자이익률(p.9); 2Q26 단일분기 2.94%.</w:t>
      </w:r>
    </w:p>
    <w:p>
      <w:pPr>
        <w:numPr>
          <w:ilvl w:val="0"/>
          <w:numId w:val="1007"/>
        </w:numPr>
        <w:pStyle w:val="Compact"/>
      </w:pPr>
      <w:r>
        <w:t xml:space="preserve">평가손익은 경제적 가치(공정가치) 기준이며, AC 분류 채권·원가모형 부동산 등은 회계상 손익과 다름.</w:t>
      </w:r>
    </w:p>
    <w:p>
      <w:pPr>
        <w:numPr>
          <w:ilvl w:val="0"/>
          <w:numId w:val="1007"/>
        </w:numPr>
        <w:pStyle w:val="Compact"/>
      </w:pPr>
      <w:r>
        <w:t xml:space="preserve">팩터 간 상관과 2차 효과(유가 → 물가 → 금리 등)는 시나리오 작성 단계에서만 반영되며 계산 엔진은 선형 합산.</w:t>
      </w:r>
    </w:p>
    <w:p>
      <w:pPr>
        <w:numPr>
          <w:ilvl w:val="0"/>
          <w:numId w:val="1007"/>
        </w:numPr>
        <w:pStyle w:val="Compact"/>
      </w:pPr>
      <w:r>
        <w:t xml:space="preserve">K-ICS 요구자본 영향은 위험계수 미입력(</w:t>
      </w:r>
      <w:r>
        <w:rPr>
          <w:rStyle w:val="VerbatimChar"/>
        </w:rPr>
        <w:t xml:space="preserve">assumptions.kics.verified: false</w:t>
      </w:r>
      <w:r>
        <w:t xml:space="preserve">)으로 정성 서술만 가능.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포트폴리오 수치는 회사 공시(IR·정기공시·사업보고서)를 기준으로 하되 일부는 공시 비중으로 나눈 값이거나 추정값(* 표시)이며, 영향 금액은 가정 기반 근사 계산입니다. 매크로 시나리오·확률은 하우스 뷰와 에이전트 판단에 기반한 추정으로 실제 결과와 다를 수 있습니다.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2026-10-25T07:32:22Z</dcterms:created>
  <dcterms:modified xsi:type="dcterms:W3CDTF">2026-10-25T07:32:22Z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