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현대해상-운용수익률-제고-전략-2026-10-25"/>
    <w:p>
      <w:pPr>
        <w:pStyle w:val="Heading1"/>
      </w:pPr>
      <w:r>
        <w:t xml:space="preserve">현대해상 운용수익률 제고 전략 — 2026-10-25</w:t>
      </w:r>
    </w:p>
    <w:p>
      <w:pPr>
        <w:pStyle w:val="BlockText"/>
      </w:pPr>
      <w:r>
        <w:t xml:space="preserve">익스포저 2026Q2 공시 기준 · 매크로 시나리오 2026-10-25 (</w:t>
      </w:r>
      <w:r>
        <w:rPr>
          <w:rStyle w:val="VerbatimChar"/>
        </w:rPr>
        <w:t xml:space="preserve">build_shocks.py</w:t>
      </w:r>
      <w:r>
        <w:t xml:space="preserve"> </w:t>
      </w:r>
      <w:r>
        <w:t xml:space="preserve">결합) · 신규 자금 기대수익은</w:t>
      </w:r>
      <w:r>
        <w:t xml:space="preserve"> </w:t>
      </w:r>
      <w:r>
        <w:rPr>
          <w:rStyle w:val="VerbatimChar"/>
        </w:rPr>
        <w:t xml:space="preserve">config/yield_assumptions.yaml</w:t>
      </w:r>
      <w:r>
        <w:t xml:space="preserve">(시장 수치는 수기·웹확인, 스프레드·기대손실·K-ICS 계수는 가정) · 금액 억원 · 투자 권유 아님</w:t>
      </w:r>
    </w:p>
    <w:bookmarkStart w:id="20" w:name="요약"/>
    <w:p>
      <w:pPr>
        <w:pStyle w:val="Heading2"/>
      </w:pPr>
      <w:r>
        <w:t xml:space="preserve">요약</w:t>
      </w:r>
    </w:p>
    <w:p>
      <w:pPr>
        <w:numPr>
          <w:ilvl w:val="0"/>
          <w:numId w:val="1001"/>
        </w:numPr>
        <w:pStyle w:val="Compact"/>
      </w:pPr>
      <w:r>
        <w:t xml:space="preserve">[사실] 1H26 투자손익 568.8십억원, 평균 운용자산 대비 연 2.46%(공시 투자이익률 2.47%, 평가처분 제외 3.04% — IR p.9). 이자·배당 캐리는 연 3.75%로 낮지 않다. 수익률을 깎는 것은</w:t>
      </w:r>
      <w:r>
        <w:t xml:space="preserve"> </w:t>
      </w:r>
      <w:r>
        <w:rPr>
          <w:bCs/>
          <w:b/>
        </w:rPr>
        <w:t xml:space="preserve">평가·처분 −0.25%p, 파생·외환 −0.31%p, 기타 −0.71%p</w:t>
      </w:r>
      <w:r>
        <w:t xml:space="preserve">로 합계 −1.29%p다.</w:t>
      </w:r>
    </w:p>
    <w:p>
      <w:pPr>
        <w:numPr>
          <w:ilvl w:val="0"/>
          <w:numId w:val="1001"/>
        </w:numPr>
        <w:pStyle w:val="Compact"/>
      </w:pPr>
      <w:r>
        <w:t xml:space="preserve">[판단] 따라서 해법은 두 갈래다. ①</w:t>
      </w:r>
      <w:r>
        <w:t xml:space="preserve"> </w:t>
      </w:r>
      <w:r>
        <w:rPr>
          <w:bCs/>
          <w:b/>
        </w:rPr>
        <w:t xml:space="preserve">캐리 밖 누수 축소</w:t>
      </w:r>
      <w:r>
        <w:t xml:space="preserve">(헤지 구조·FVPL 변동성·기타 비용)는 자본 소모 없이 수십 bp를 되찾을 수 있다. ②</w:t>
      </w:r>
      <w:r>
        <w:t xml:space="preserve"> </w:t>
      </w:r>
      <w:r>
        <w:rPr>
          <w:bCs/>
          <w:b/>
        </w:rPr>
        <w:t xml:space="preserve">배분 조정</w:t>
      </w:r>
      <w:r>
        <w:t xml:space="preserve">은 1년 +11~17bp, 3년 누적 +26~44bp로 제한적이다(LP 최적화, 가정 기반).</w:t>
      </w:r>
    </w:p>
    <w:p>
      <w:pPr>
        <w:numPr>
          <w:ilvl w:val="0"/>
          <w:numId w:val="1001"/>
        </w:numPr>
        <w:pStyle w:val="Compact"/>
      </w:pPr>
      <w:r>
        <w:t xml:space="preserve">[판단] 권고는</w:t>
      </w:r>
      <w:r>
        <w:t xml:space="preserve"> </w:t>
      </w:r>
      <w:r>
        <w:rPr>
          <w:bCs/>
          <w:b/>
        </w:rPr>
        <w:t xml:space="preserve">균형형</w:t>
      </w:r>
      <w:r>
        <w:t xml:space="preserve">이다. 1년에 사모대출(선순위 대출형) +2.0%p, 해외채(100% 헤지) +2.0%p, 인프라 +1.15%p, PE +1.0%p, 주식 +0.5%p를 늘린다. 재원은 국공채·특수채·담보대출·부동산 각 −1~−1.5%p와 현금을 하한 3%까지 줄여 마련한다. 결과는 기대 총수익 +16.1bp(+736억원/년), K-ICS 209% → 200.4~203.4%, 갭 0.7 → 0.63년, Bear 추가 손실 −1,026억원이다.</w:t>
      </w:r>
    </w:p>
    <w:p>
      <w:pPr>
        <w:numPr>
          <w:ilvl w:val="0"/>
          <w:numId w:val="1001"/>
        </w:numPr>
        <w:pStyle w:val="Compact"/>
      </w:pPr>
      <w:r>
        <w:t xml:space="preserve">[판단] 전에 제안한 ’국공채 → AA 회사채’는</w:t>
      </w:r>
      <w:r>
        <w:t xml:space="preserve"> </w:t>
      </w:r>
      <w:r>
        <w:rPr>
          <w:bCs/>
          <w:b/>
        </w:rPr>
        <w:t xml:space="preserve">보수형 해</w:t>
      </w:r>
      <w:r>
        <w:t xml:space="preserve">와 같다(회사채 +2.0%p, +11.5bp). 자본을 4~9%p 더 쓸 수 있으면 해외채와 사모대출의 자본 1단위당 초과수익이 더 크다(+0.54, +0.27 vs 회사채 +0.30). ’부동산 → 현금’은 부동산 축소는 유지하되, 재원을 현금 대신 대출형 대체·해외채로 돌리는 편이 낫다.</w:t>
      </w:r>
    </w:p>
    <w:p>
      <w:pPr>
        <w:numPr>
          <w:ilvl w:val="0"/>
          <w:numId w:val="1001"/>
        </w:numPr>
        <w:pStyle w:val="Compact"/>
      </w:pPr>
      <w:r>
        <w:t xml:space="preserve">[판단] 기사에 나온 자회사 활용 대체투자(대출형 사모펀드 258억원, 시니어하우징 510억원; 기사 수치, 미확인)는 방향은 맞다. 다만 규모가 운용자산의 약 0.17%p로, 목표 경로(연 1.5~2%p 이동)의 1/10 수준이다. 시니어하우징은 개발형이라 현 매크로(국내 기준금리 Base +50bp, PF 손실률 상승)에서 비중 상한을 두어야 한다.</w:t>
      </w:r>
    </w:p>
    <w:bookmarkEnd w:id="20"/>
    <w:bookmarkStart w:id="21" w:name="진단-운용수익률은-어디서-새는가"/>
    <w:p>
      <w:pPr>
        <w:pStyle w:val="Heading2"/>
      </w:pPr>
      <w:r>
        <w:t xml:space="preserve">1. 진단 — 운용수익률은 어디서 새는가</w:t>
      </w:r>
    </w:p>
    <w:p>
      <w:pPr>
        <w:pStyle w:val="FirstParagraph"/>
      </w:pPr>
      <w:r>
        <w:t xml:space="preserve">공시 투자손익(보험금융손익 제외) 분해 · 단위 십억원 · 연환산 수익률 = 1H × 2 ÷ 평균 운용자산 46,304.9십억원 ((2025-12말 47,015.8 + 2026-06말 45,594.0) / 2) · 출처</w:t>
      </w:r>
      <w:r>
        <w:t xml:space="preserve"> </w:t>
      </w:r>
      <w:r>
        <w:rPr>
          <w:rStyle w:val="VerbatimChar"/>
        </w:rPr>
        <w:t xml:space="preserve">processed/filings/현대해상_2026Q2_IR데이터 sheet:(4) Investment (백만원 ÷ 1,000)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1H26 연환산 기여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이자·배당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유가증권 평가·처분(순)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파생·외환(순)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기타(순)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재산관리비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투자손익 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2.46%</w:t>
            </w:r>
          </w:p>
        </w:tc>
      </w:tr>
    </w:tbl>
    <w:p>
      <w:pPr>
        <w:pStyle w:val="BodyText"/>
      </w:pPr>
      <w:r>
        <w:t xml:space="preserve">파생·외환 순손실을 평균 외화유가증권(7,213.1십억원)으로 나누면 연 1.98%. 기타포괄손익 -2,474.5십억원(sheet:(6) BS 기타포괄손익).</w:t>
      </w:r>
    </w:p>
    <w:p>
      <w:pPr>
        <w:numPr>
          <w:ilvl w:val="0"/>
          <w:numId w:val="1002"/>
        </w:numPr>
        <w:pStyle w:val="Compact"/>
      </w:pPr>
      <w:r>
        <w:t xml:space="preserve">[사실] 이자·배당 수익은 +38.6십억원 늘었지만 평가·처분 손익이 +21.2 → −57.6십억원으로 −78.8 바뀌었다. 투자손익 감소(−64.6)는 사실상 평가·처분 손익 하나로 설명된다.</w:t>
      </w:r>
    </w:p>
    <w:p>
      <w:pPr>
        <w:numPr>
          <w:ilvl w:val="0"/>
          <w:numId w:val="1002"/>
        </w:numPr>
        <w:pStyle w:val="Compact"/>
      </w:pPr>
      <w:r>
        <w:t xml:space="preserve">[판단] 파생·외환 순손실이 외화유가증권 평균의 연 1.98%다. 이는 위 헤지비용 추정치(0.915%)보다 약 1%p 크다. 헤지 만기 불일치(롤오버 시점 스왑포인트), 헤지 대상이 아닌 외화 FVPL의 환산손익, 파생 평가손이 섞였을 가능성이 있다(구성 미확인). 공시만으로는 원인을 나눌 수 없다.</w:t>
      </w:r>
      <w:r>
        <w:t xml:space="preserve"> </w:t>
      </w:r>
      <w:r>
        <w:rPr>
          <w:bCs/>
          <w:b/>
        </w:rPr>
        <w:t xml:space="preserve">회사 내부 헤지 손익 귀속 분석이 1순위 확인 사항</w:t>
      </w:r>
      <w:r>
        <w:t xml:space="preserve">이다.</w:t>
      </w:r>
    </w:p>
    <w:p>
      <w:pPr>
        <w:numPr>
          <w:ilvl w:val="0"/>
          <w:numId w:val="1002"/>
        </w:numPr>
        <w:pStyle w:val="Compact"/>
      </w:pPr>
      <w:r>
        <w:t xml:space="preserve">[판단] 기타(순) −0.71%p는 단일 항목으로 가장 크다. 구성(이자비용·외화환산·대손 등)이 IR에 공개되지 않아 미확인이다. 일부가 운용 외 항목이면</w:t>
      </w:r>
      <w:r>
        <w:t xml:space="preserve"> </w:t>
      </w:r>
      <w:r>
        <w:t xml:space="preserve">‘</w:t>
      </w:r>
      <w:r>
        <w:t xml:space="preserve">운용수익률</w:t>
      </w:r>
      <w:r>
        <w:t xml:space="preserve">’</w:t>
      </w:r>
      <w:r>
        <w:t xml:space="preserve"> </w:t>
      </w:r>
      <w:r>
        <w:t xml:space="preserve">비교에서 빼서 보아야 한다.</w:t>
      </w:r>
    </w:p>
    <w:p>
      <w:pPr>
        <w:numPr>
          <w:ilvl w:val="0"/>
          <w:numId w:val="1002"/>
        </w:numPr>
        <w:pStyle w:val="Compact"/>
      </w:pPr>
      <w:r>
        <w:t xml:space="preserve">[사실] 기타포괄손익 −2.47조원이다. FVOCI 채권은 장부가가 시가보다 높다. [판단] 국공채를 매도해 재배분하면 평가손이 실현돼 당기 투자이익률이 오히려 떨어진다. 그래서 배분 조정은</w:t>
      </w:r>
      <w:r>
        <w:t xml:space="preserve"> </w:t>
      </w:r>
      <w:r>
        <w:rPr>
          <w:bCs/>
          <w:b/>
        </w:rPr>
        <w:t xml:space="preserve">만기 도래·상환 현금흐름의 재투자 경로</w:t>
      </w:r>
      <w:r>
        <w:t xml:space="preserve">로 한정했다(국공채 연 −1%p 한도).</w:t>
      </w:r>
    </w:p>
    <w:p>
      <w:pPr>
        <w:numPr>
          <w:ilvl w:val="0"/>
          <w:numId w:val="1002"/>
        </w:numPr>
        <w:pStyle w:val="Compact"/>
      </w:pPr>
      <w:r>
        <w:t xml:space="preserve">[판단] 기사의 ’운용자산이익률 3.12%’는 IR의 투자이익률 2.47%(평가처분 제외 3.04%)와 산식·분모가 다른 지표로 보인다(미확인). 빅5 비교 시 같은 산식인지 확인해야 한다.</w:t>
      </w:r>
    </w:p>
    <w:bookmarkEnd w:id="21"/>
    <w:bookmarkStart w:id="22" w:name="신규-자금-기준-자산군별-기대수익과-자본-효율"/>
    <w:p>
      <w:pPr>
        <w:pStyle w:val="Heading2"/>
      </w:pPr>
      <w:r>
        <w:t xml:space="preserve">2. 신규 자금 기준 자산군별 기대수익과 자본 효율</w:t>
      </w:r>
    </w:p>
    <w:p>
      <w:pPr>
        <w:pStyle w:val="FirstParagraph"/>
      </w:pPr>
      <w:r>
        <w:t xml:space="preserve">헤지비용(연) 0.915% — FFR 중간값 3.875%(웹확인, 2026-09-16) − CD 3.26%(수기, 2026-10-23) + 베이시스 30bp(가정)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스프레드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평가변화/년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기대 총수익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국공채 대비 초과수익 ÷ 자본(중간값)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kr_cd_91d 3.26%(수기,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ktb_30y 4.189%(웹확인,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0%~2%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ktb_5y 3.948%(수기,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kr_corp_aa_3y 4.492%(수기,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kr_loan_rate 4.4%(수기, 2026-08-31)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kr_loan_rate 4.4%(수기, 2026-08-31)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5.551%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kr_cd_91d 3.26%(수기,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5.101%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ktb_10y 4.097%(웹확인, 2026-10-23)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25%~25%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가정 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9.454%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48%~48%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가정 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3%~6%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ust_10y 5.0%(웹확인, 2026-10-23) + us_ig_oas 0.89%(웹확인, 2026-10-22)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35%~35%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가정 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4.964%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가정 5.0%</w:t>
            </w:r>
          </w:p>
        </w:tc>
      </w:tr>
    </w:tbl>
    <w:p>
      <w:pPr>
        <w:pStyle w:val="BodyText"/>
      </w:pPr>
      <w:r>
        <w:t xml:space="preserve">평가변화/년 = 이번 주 장기 시나리오(Base/Bull/Bear 확률가중) 평가손익 ÷ 2년. 초과수익 ÷ 자본 = (기대 총수익 − 국공채) ÷ (K-ICS 계수 중간값 × 분산효과) — 자본 1단위당 추가 수익(%p). K-ICS 계수: 주식 35%·기타주식 48%·부동산 25%는 웹확인(2차 출처), 나머지는 가정 범위.</w:t>
      </w:r>
    </w:p>
    <w:p>
      <w:pPr>
        <w:numPr>
          <w:ilvl w:val="0"/>
          <w:numId w:val="1003"/>
        </w:numPr>
        <w:pStyle w:val="Compact"/>
      </w:pPr>
      <w:r>
        <w:t xml:space="preserve">[판단] 자본 1단위당 초과수익은</w:t>
      </w:r>
      <w:r>
        <w:t xml:space="preserve"> </w:t>
      </w:r>
      <w:r>
        <w:rPr>
          <w:bCs/>
          <w:b/>
        </w:rPr>
        <w:t xml:space="preserve">해외채(+0.54) &gt; 특수채(+0.47) &gt; 회사채(+0.30) &gt; 사모대출(+0.27)</w:t>
      </w:r>
      <w:r>
        <w:t xml:space="preserve"> </w:t>
      </w:r>
      <w:r>
        <w:t xml:space="preserve">순이다. 해외채는 100% 헤지 후에도 순캐리 4.875%다. Base 시나리오에서 국내 기준금리 +50bp·미국 동결로 한미 단기금리차가 좁아져 헤지비용이 낮아지고, 평가 이익(+0.43%p/년)도 기대된다.</w:t>
      </w:r>
    </w:p>
    <w:p>
      <w:pPr>
        <w:numPr>
          <w:ilvl w:val="0"/>
          <w:numId w:val="1003"/>
        </w:numPr>
        <w:pStyle w:val="Compact"/>
      </w:pPr>
      <w:r>
        <w:t xml:space="preserve">[판단] 부동산은 기대 총수익 3.23%로 국공채(3.60%)보다 낮고, 자본은 25%를 쓴다(효율 −0.02). Base에서도 캡레이트 +10bp로 평가손이 예상된다.</w:t>
      </w:r>
      <w:r>
        <w:t xml:space="preserve"> </w:t>
      </w:r>
      <w:r>
        <w:rPr>
          <w:bCs/>
          <w:b/>
        </w:rPr>
        <w:t xml:space="preserve">가장 먼저 줄일 자산</w:t>
      </w:r>
      <w:r>
        <w:t xml:space="preserve">이다.</w:t>
      </w:r>
    </w:p>
    <w:p>
      <w:pPr>
        <w:numPr>
          <w:ilvl w:val="0"/>
          <w:numId w:val="1003"/>
        </w:numPr>
        <w:pStyle w:val="Compact"/>
      </w:pPr>
      <w:r>
        <w:t xml:space="preserve">[판단] PE·주식은 절대 수익은 높지만 자본 계수 35~48% 때문에 효율이 +0.16~0.17에 그친다. 늘리면 Bear 손실이 커지므로 소폭(연 +0.5~1%p)만 늘린다.</w:t>
      </w:r>
    </w:p>
    <w:p>
      <w:pPr>
        <w:numPr>
          <w:ilvl w:val="0"/>
          <w:numId w:val="1003"/>
        </w:numPr>
        <w:pStyle w:val="Compact"/>
      </w:pPr>
      <w:r>
        <w:t xml:space="preserve">[판단] 국공채 기대 총수익(3.60%)이 30년 금리(4.19%)보다 낮은 것은 Base의 금리 상승에 따른 평가손(−0.59%p/년) 때문이다. 다만 국공채는 ALM 매칭 자산이라 수익률만으로 줄일 수 없다. 축소폭은 갭 제약과 만기 재투자 한도로 묶었다.</w:t>
      </w:r>
    </w:p>
    <w:bookmarkEnd w:id="22"/>
    <w:bookmarkStart w:id="23" w:name="최적-배분-1년-실행안"/>
    <w:p>
      <w:pPr>
        <w:pStyle w:val="Heading2"/>
      </w:pPr>
      <w:r>
        <w:t xml:space="preserve">3. 최적 배분 — 1년 실행안</w:t>
      </w:r>
    </w:p>
    <w:p>
      <w:pPr>
        <w:pStyle w:val="FirstParagraph"/>
      </w:pPr>
      <w:r>
        <w:t xml:space="preserve">목표: 기대 총수익 최대화. 제약: 자금 중립, 자산군별 연간 조정 한도(</w:t>
      </w:r>
      <w:r>
        <w:rPr>
          <w:rStyle w:val="VerbatimChar"/>
        </w:rPr>
        <w:t xml:space="preserve">class_bounds_pp</w:t>
      </w:r>
      <w:r>
        <w:t xml:space="preserve">), 현금 하한, 대체투자 상한, K-ICS 하한(위험계수 상단 기준), 공시 듀레이션 갭 범위, Bear 손실 추가 허용폭.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하한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추가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하한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갭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[-0.3, 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[-0.3, 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[-0.5, 1.0]</w:t>
            </w:r>
          </w:p>
        </w:tc>
      </w:tr>
    </w:tbl>
    <w:p>
      <w:pPr>
        <w:pStyle w:val="BodyText"/>
      </w:pPr>
      <w:r>
        <w:rPr>
          <w:bCs/>
          <w:b/>
        </w:rPr>
        <w:t xml:space="preserve">1년 — 자산군별 배분 변화 (%p, 운용자산 대비)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결과 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 총수익 개선 (bp/년)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 총수익 개선 (억원/년)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순캐리 개선 (bp/년)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이동 규모 (십억원, 매수 합계)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 (현재 → 후, 위험계수 범위)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205.0~205.3%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200.4~203.4%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199.7~203.2%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공시 기준 듀레이션 갭 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 손실 변화 (억원 / 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 / 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-1,026 / -22.5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-1,079 / -23.7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조정 후 장기-Base 평가손익 (억원, 엔진 / 공시보정)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-1,072 / -1,127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-728 / -718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-742 / -733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조정 후 장기-Bear 평가손익 (억원, 엔진 / 공시보정)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-29,106 / -32,022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-29,751 / -32,966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-29,832 / -33,026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[판단] 세 전략 모두 K-ICS보다</w:t>
      </w:r>
      <w:r>
        <w:t xml:space="preserve"> </w:t>
      </w:r>
      <w:r>
        <w:rPr>
          <w:bCs/>
          <w:b/>
        </w:rPr>
        <w:t xml:space="preserve">연간 조정 한도(딜 파이프라인·만기 재투자 속도)에 먼저 막힌다</w:t>
      </w:r>
      <w:r>
        <w:t xml:space="preserve">. 사모대출 +2.0, PE +1.0, 주식 +0.5, 국공채 −1.0, 특수채 −1.5, 부동산 −1.0이 모두 한도 값이다. 1년 안에 더 공격적으로 움직여도 늘어나는 수익은 적다(균형형 +16.1 vs 적극형 +16.9bp).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보수형</w:t>
      </w:r>
      <w:r>
        <w:t xml:space="preserve">(K-ICS 205% 유지, Bear 추가 손실 0)은 회사채 +2.0%p, 대출-기업 +1.6%p, 사모대출 +1.65%p로 신용 캐리를 쌓는다. 이전 제안(</w:t>
      </w:r>
      <w:r>
        <w:t xml:space="preserve">‘</w:t>
      </w:r>
      <w:r>
        <w:t xml:space="preserve">국공채 → AA 회사채</w:t>
      </w:r>
      <w:r>
        <w:t xml:space="preserve">’</w:t>
      </w:r>
      <w:r>
        <w:t xml:space="preserve">)을 일반화한 해다.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균형형(권고)</w:t>
      </w:r>
      <w:r>
        <w:t xml:space="preserve">은 회사채·기업대출 대신 해외채 +2.0%p와 인프라 +1.15%p를 쓴다. 해외채는 자본 효율이 가장 높고, 인프라는 장기 듀레이션(8년)이라 국공채 축소로 생기는 갭 축소를 일부 메운다(갭 0.63년 유지). K-ICS는 상단 계수 기준 200.4%로 하한에 걸린다. 위험계수가 가정 범위의 하단이면 203.4%다.</w:t>
      </w:r>
    </w:p>
    <w:p>
      <w:pPr>
        <w:numPr>
          <w:ilvl w:val="0"/>
          <w:numId w:val="1004"/>
        </w:numPr>
        <w:pStyle w:val="Compact"/>
      </w:pPr>
      <w:r>
        <w:t xml:space="preserve">[판단] 적극형은 1년 기준 균형형과 거의 같다(+0.8bp). K-ICS 하한을 190%로 낮추는 대가에 비해 얻는 것이 적어 1년 실행안으로는 권하지 않는다.</w:t>
      </w:r>
    </w:p>
    <w:p>
      <w:pPr>
        <w:numPr>
          <w:ilvl w:val="0"/>
          <w:numId w:val="1004"/>
        </w:numPr>
        <w:pStyle w:val="Compact"/>
      </w:pPr>
      <w:r>
        <w:t xml:space="preserve">[사실] 조정 후 장기-Bear 평가손익(엔진)은 현재 −29,110억원에서 균형형 −29,751억원으로 −641억원 늘어난다. Bear 지표의 −1,026억원은 최적화 내부의 선형 근사라 두 값이 다르다.</w:t>
      </w:r>
    </w:p>
    <w:bookmarkEnd w:id="23"/>
    <w:bookmarkStart w:id="24" w:name="년-누적-경로"/>
    <w:p>
      <w:pPr>
        <w:pStyle w:val="Heading2"/>
      </w:pPr>
      <w:r>
        <w:t xml:space="preserve">4. 3년 누적 경로</w:t>
      </w:r>
    </w:p>
    <w:p>
      <w:pPr>
        <w:pStyle w:val="BlockText"/>
      </w:pPr>
      <w:r>
        <w:t xml:space="preserve">3년 누적(연간 한도 ×3, 같은 시장 가정 — 단순화)</w:t>
      </w:r>
    </w:p>
    <w:p>
      <w:pPr>
        <w:pStyle w:val="FirstParagraph"/>
      </w:pPr>
      <w:r>
        <w:rPr>
          <w:bCs/>
          <w:b/>
        </w:rPr>
        <w:t xml:space="preserve">3년 누적 — 자산군별 배분 변화 (%p, 운용자산 대비)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+1.06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결과 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 총수익 개선 (bp/년)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 총수익 개선 (억원/년)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순캐리 개선 (bp/년)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이동 규모 (십억원, 매수 합계)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 (현재 → 후, 위험계수 범위)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204.4~205.0%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200.0~200.2%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209.0% → 190.0~194.4%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공시 기준 듀레이션 갭 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→ 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 손실 변화 (억원 / 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+0.0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-1,368 / -30.0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-2,736 / -60.0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조정 후 장기-Base 평가손익 (억원, 엔진 / 공시보정)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-363 / -311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 / 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 / 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조정 후 장기-Bear 평가손익 (억원, 엔진 / 공시보정)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-29,624 / -32,440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-30,254 / -33,806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-30,909 / -35,261</w:t>
            </w:r>
          </w:p>
        </w:tc>
      </w:tr>
    </w:tbl>
    <w:p>
      <w:pPr>
        <w:pStyle w:val="BodyText"/>
      </w:pPr>
      <w:r>
        <w:t xml:space="preserve">대체투자 비중(3년 후): 보수형 15.0%, 균형형 17.0%, 적극형 20.0%</w:t>
      </w:r>
    </w:p>
    <w:p>
      <w:pPr>
        <w:numPr>
          <w:ilvl w:val="0"/>
          <w:numId w:val="1005"/>
        </w:numPr>
        <w:pStyle w:val="Compact"/>
      </w:pPr>
      <w:r>
        <w:t xml:space="preserve">[판단] 3년에 걸쳐 한도를 쓰면 균형형 +35.4bp(+1,616억원/년)다. 대체투자 비중은 상한 17%(현재 약 13.9%), K-ICS는 하한 200%, Bear 추가 허용 30bp가</w:t>
      </w:r>
      <w:r>
        <w:t xml:space="preserve"> </w:t>
      </w:r>
      <w:r>
        <w:rPr>
          <w:bCs/>
          <w:b/>
        </w:rPr>
        <w:t xml:space="preserve">모두 걸린다</w:t>
      </w:r>
      <w:r>
        <w:t xml:space="preserve">. 3년차부터는 자본과 위험한도가 수익의 상한이다.</w:t>
      </w:r>
    </w:p>
    <w:p>
      <w:pPr>
        <w:numPr>
          <w:ilvl w:val="0"/>
          <w:numId w:val="1005"/>
        </w:numPr>
        <w:pStyle w:val="Compact"/>
      </w:pPr>
      <w:r>
        <w:t xml:space="preserve">[판단] 3년 해에서는 인프라가 −1.5%p로 바뀌고 회사채가 +6.9%p로 커진다. 대체 상한에 걸린 상태에서 사모대출(5.55%)과 PE가 인프라(5.10%)보다 유리해 상한 안의 자리를 가져가고, 갭은 0.21년까지 줄어든다. 1년 해와 3년 해가 서로 이어지지 않는 것은 정적 LP의 한계다. 실제 경로는</w:t>
      </w:r>
      <w:r>
        <w:t xml:space="preserve"> </w:t>
      </w:r>
      <w:r>
        <w:rPr>
          <w:bCs/>
          <w:b/>
        </w:rPr>
        <w:t xml:space="preserve">1년차 균형형 → 매년 재최적화</w:t>
      </w:r>
      <w:r>
        <w:t xml:space="preserve">로 운영한다.</w:t>
      </w:r>
    </w:p>
    <w:p>
      <w:pPr>
        <w:numPr>
          <w:ilvl w:val="0"/>
          <w:numId w:val="1005"/>
        </w:numPr>
        <w:pStyle w:val="Compact"/>
      </w:pPr>
      <w:r>
        <w:t xml:space="preserve">[판단] 적극형 3년(+43.9bp)은 K-ICS 190~194%, Bear 추가 −60bp(−2,736억원)를 감수한다. 규제 최소(100%)·감독 권고 수준보다는 높지만 현재 209% 대비 하락폭이 커서 신용등급·배당 정책과 함께 판단할 사안이다.</w:t>
      </w:r>
    </w:p>
    <w:bookmarkEnd w:id="24"/>
    <w:bookmarkStart w:id="25" w:name="가정-민감도"/>
    <w:p>
      <w:pPr>
        <w:pStyle w:val="Heading2"/>
      </w:pPr>
      <w:r>
        <w:t xml:space="preserve">5. 가정 민감도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가정 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총수익 +bp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캐리 +bp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Δbp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증가 자산군 (%p)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+2.0, 대체-사모대출 +1.6, 대출-기업 +1.6,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200.4~203.4%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+1.1,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199.7~203.2%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기대수익 9→7%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+2.0, 대체-사모대출 +1.6, 대출-기업 +1.6,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기대수익 9→7%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200.4~203.4%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+1.1,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기대수익 9→7%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199.7~203.2%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 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+2.0, 대체-사모대출 +1.6, 대출-기업 +1.6,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 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200.4~203.4%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+1.1,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 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199.7~203.2%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사모대출 기대손실 0.6→1.2%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+2.0, 대체-사모대출 +1.6, 대출-기업 +1.6,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사모대출 기대손실 0.6→1.2%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200.2~203.4%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+2.0, 대체-사모대출 +1.6,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사모대출 기대손실 0.6→1.2%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199.7~203.2%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분산효과 없음(div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+2.0, 대체-사모대출 +1.6, 대출-기업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분산효과 없음(div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200.0~202.7%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+1.1,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분산효과 없음(div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196.0~200.8%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기대수익 7→5%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205.0~206.7%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+1.9, 대체-사모대출 +1.6, 해외채 +1.5,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기대수익 7→5%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200.4~203.4%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+1.1, 대체-PE 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기대수익 7→5%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199.7~203.2%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대체-사모대출 +2.0, 해외채 +2.0, 대체-인프라 +1.5, 대체-PE +1.0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[판단] 가정을 바꿔도 개선폭은 1년 +9.5~16.9bp이고,</w:t>
      </w:r>
      <w:r>
        <w:t xml:space="preserve"> </w:t>
      </w:r>
      <w:r>
        <w:rPr>
          <w:bCs/>
          <w:b/>
        </w:rPr>
        <w:t xml:space="preserve">핵심 이동(사모대출·해외채·PE 증가, 국공채·특수채·부동산·담보대출 축소)은 바뀌지 않는다</w:t>
      </w:r>
      <w:r>
        <w:t xml:space="preserve">. 결론은 개별 가정보다 한도 구조에 좌우된다.</w:t>
      </w:r>
    </w:p>
    <w:p>
      <w:pPr>
        <w:numPr>
          <w:ilvl w:val="0"/>
          <w:numId w:val="1006"/>
        </w:numPr>
        <w:pStyle w:val="Compact"/>
      </w:pPr>
      <w:r>
        <w:t xml:space="preserve">[판단] 헤지비용이 +50bp 올라도 해외채 +2.0%p는 유지된다(−1bp). 해외채 결론은 헤지비용 변화에 강건하다. 사모대출 기대손실을 두 배(1.2%)로 잡으면 균형형의 사모대출이 1.6%p로 줄고 인프라가 1.5%p로 늘어난다. 사모대출의 손실 가정이 가장 민감한 변수다.</w:t>
      </w:r>
    </w:p>
    <w:p>
      <w:pPr>
        <w:numPr>
          <w:ilvl w:val="0"/>
          <w:numId w:val="1006"/>
        </w:numPr>
        <w:pStyle w:val="Compact"/>
      </w:pPr>
      <w:r>
        <w:t xml:space="preserve">[판단] 분산효과를 빼면(div 1.0) 적극형의 K-ICS가 196~201%까지 떨어진다. K-ICS 계수가 가정 범위 상단이고 분산효과가 작으면 적극형은 하한을 넘을 수 있다.</w:t>
      </w:r>
    </w:p>
    <w:bookmarkEnd w:id="25"/>
    <w:bookmarkStart w:id="26" w:name="배분-외-레버"/>
    <w:p>
      <w:pPr>
        <w:pStyle w:val="Heading2"/>
      </w:pPr>
      <w:r>
        <w:t xml:space="preserve">6. 배분 외 레버</w:t>
      </w:r>
    </w:p>
    <w:p>
      <w:pPr>
        <w:pStyle w:val="FirstParagraph"/>
      </w:pPr>
      <w:r>
        <w:t xml:space="preserve">배분 조정보다 먼저, 또는 함께 쓸 수 있는 레버다. 효과는 모두 [판단]·추정이고, 회사 내부 자료로 확인해야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효과(추정)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FX스왑 롤오버를 CRS(만기 매칭)로 일부 바꾼다. Base(한미 금리차 축소) 경로에서 헤지 비용이 내릴 때 장기 고정을 늘린다. 파생·외환 drag 1.98%를 헤지비용 추정치 0.9%대로 낮추는 것이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외화유가증권 대비 −0.5%p만 줄여도 7.2조 × 0.5% ≈ 360억원/년, 운용자산 대비 약 +8bp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없음(외환위험 계수 유지)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 손익 구성, 헤지 회계 적용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FVPL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대체투자를 지분형 펀드(FVPL 평가) 대신 이자 수취형 대출(상각후원가)·대출형 펀드 위주로 담는다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평가·처분 −0.25%p 변동폭 축소 (수준 개선은 시장 의존)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대출형은 계수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회계 분류 정책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기타(순) −163.4십억원(1H) 중 운용 관련 비용·이자비용·대손 구성 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10%만 줄여도 약 +7bp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현금예금 3.94% → 3.0% (보험금 지급 유동성 테스트 전제)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0.94%p를 대출형으로 옮기면 약 +2bp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 스트레스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갭 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갭(PAP) 0.7년이 하한 −0.3년까지 여유. 국공채 만기분 재투자를 단기 고수익 자산으로 돌리는 ’투자여력’의 원천(기사의 ALM 방향과 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 최적화에 이미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금리위험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부채 듀레이션 변화(신계약 CSM)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 레버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공동재보험·후순위채·신종자본증권으로 요구자본을 줄이거나 가용자본을 늘려 K-ICS 하한 제약을 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적극형 3년(+43.9bp) 경로를 K-ICS 200% 이상에서 실행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자본비율 +수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비용(쿠폰·재보험 수수료) 대비 수익</w:t>
            </w:r>
          </w:p>
        </w:tc>
      </w:tr>
    </w:tbl>
    <w:bookmarkEnd w:id="26"/>
    <w:bookmarkStart w:id="27" w:name="기사에-나온-전략-평가"/>
    <w:p>
      <w:pPr>
        <w:pStyle w:val="Heading2"/>
      </w:pPr>
      <w:r>
        <w:t xml:space="preserve">7. 기사에 나온 전략 평가</w:t>
      </w:r>
    </w:p>
    <w:p>
      <w:pPr>
        <w:pStyle w:val="FirstParagraph"/>
      </w:pPr>
      <w:r>
        <w:t xml:space="preserve">기사 수치(사용자 제공, 공시 미대조 → 미확인): 현대인베스트먼트자산운용 부동산 대출형 사모펀드 150억원 신규 + 108억원 추가, 현대하임자산운용 목동 시니어하우징(380세대) 관련 펀드 약 510억원.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규모(운용자산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매크로 적합성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K-ICS·건전성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대출형 사모펀드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258억원 ≈ 0.06%p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변동금리 선순위 대출은 Base(국내 금리 +50bp)에서 캐리가 오른다. Bear(PF 손실률 +1.0%p)에서는 담보 품질이 관건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대출형은 지분형 부동산(25%)보다 계수가 낮을 가능성(가정 6~15%)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방향 적합, 규모 확대 여지.</w:t>
            </w:r>
            <w:r>
              <w:t xml:space="preserve"> </w:t>
            </w:r>
            <w:r>
              <w:t xml:space="preserve">균형형 1년 경로는 사모대출 +2.0%p(약 9,100억원). 선순위·LTV ≤ 60%·준공 후 담보 위주로 한정하고, 브릿지론·중후순위는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시니어하우징(목동, 380세대)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510억원 ≈ 0.11%p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고령화 수요는 구조적이지만 개발형(인허가·분양·운영 위험)이다. 현 매크로에서 PF 손실률·캡레이트 상승 압력과 같은 방향의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 출자면 부동산 25% 또는 그 이상(미확인)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전략적 옵션으로 소액 유지.</w:t>
            </w:r>
            <w:r>
              <w:t xml:space="preserve"> </w:t>
            </w:r>
            <w:r>
              <w:t xml:space="preserve">요양·실버 사업(보험 본업)과의 시너지가 수익률보다 큰 근거. 대체 비중 계산에 포함하고, 단일 개발 프로젝트 한도(예: 운용자산 0.3%)를 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계열 운용사 활용 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정보 비대칭이 줄어드는 장점이 있다. 반면 보수 수준·이해상충·성과 측정이 독립 운용사와 같은 기준인지 점검해야 한다. 같은 펀드에 외부 운용사 비교 견적을 받는 절차를 권한다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[판단] 기사의 세 방향(ALM 갭 관리로 투자여력 확보, 대체 다변화, 기업대출·대출형 펀드·회사채)은 위 최적화 결과와 같은 쪽이다. 차이는 두 가지다. ① 최적화는</w:t>
      </w:r>
      <w:r>
        <w:t xml:space="preserve"> </w:t>
      </w:r>
      <w:r>
        <w:rPr>
          <w:bCs/>
          <w:b/>
        </w:rPr>
        <w:t xml:space="preserve">지분형 부동산을 줄이고 대출형을 늘리는 쪽</w:t>
      </w:r>
      <w:r>
        <w:t xml:space="preserve">이다. ② 해외채(100% 헤지)를 자본 효율 1순위로 본다.</w:t>
      </w:r>
    </w:p>
    <w:bookmarkEnd w:id="27"/>
    <w:bookmarkStart w:id="28" w:name="매크로-연계-실행-순서와-점검-트리거"/>
    <w:p>
      <w:pPr>
        <w:pStyle w:val="Heading2"/>
      </w:pPr>
      <w:r>
        <w:t xml:space="preserve">8. 매크로 연계 실행 순서와 점검 트리거</w:t>
      </w:r>
    </w:p>
    <w:p>
      <w:pPr>
        <w:pStyle w:val="FirstParagraph"/>
      </w:pPr>
      <w:r>
        <w:rPr>
          <w:bCs/>
          <w:b/>
        </w:rPr>
        <w:t xml:space="preserve">실행 순서 (균형형 1년차, 분기별 분할)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+0.5%p, 사모대출 +0.5%p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국공채·특수채 만기분, 현금 −0.5%p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 효율 상위, 헤지 비용 하락 전 분할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사모대출 +0.5%p, 인프라 +0.5%p, PE 약정 +1.0%p(집행은 수년)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담보대출 자연 상환, 부동산 매각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갭 유지(인프라 장기 듀레이션)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+0.75%p, 사모대출 +0.5%p, 주식 +0.5%p, 수익증권 +0.5%p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특수채 만기분, 부동산 매각 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주식은 소폭, Bear 한도 확인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+0.75%p, 사모대출 +0.5%p, 인프라 +0.65%p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국공채 만기분, 현금 −0.44%p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연말 K-ICS 점검 후 잔여 집행</w:t>
            </w:r>
          </w:p>
        </w:tc>
      </w:tr>
    </w:tbl>
    <w:p>
      <w:pPr>
        <w:pStyle w:val="BodyText"/>
      </w:pPr>
      <w:r>
        <w:rPr>
          <w:bCs/>
          <w:b/>
        </w:rPr>
        <w:t xml:space="preserve">점검 트리거 (매주 브리프와 연동)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헤지비용(FFR 중간 − CD 91일 + 베이시스)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집행 가속, CRS 장기 고정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1.4% (현재 + 50bp)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신규 중단, 국내 회사채로 대체(보수형 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AA- 3년 스프레드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+30bp (Bear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매수 확대(가격 매력), 사모대출 신규 심사 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 연체율·부동산 대출 손실률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 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사모대출 LTV 상한 낮추기, 시니어하우징 추가 출자 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K-ICS(분기 공시·내부)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대체·주식 약정 중단, 자본 레버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 30년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+50bp 이상 급등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국공채 재투자 비중 확대(ALM 듀레이션 확보, 저가 매수)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IG 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해외채 신규 매수 확대 검토(가격 매력), Bear 한도 확인</w:t>
            </w:r>
          </w:p>
        </w:tc>
      </w:tr>
    </w:tbl>
    <w:bookmarkEnd w:id="28"/>
    <w:bookmarkStart w:id="29" w:name="한계와-가정"/>
    <w:p>
      <w:pPr>
        <w:pStyle w:val="Heading2"/>
      </w:pPr>
      <w:r>
        <w:t xml:space="preserve">9. 한계와 가정</w:t>
      </w:r>
    </w:p>
    <w:p>
      <w:pPr>
        <w:numPr>
          <w:ilvl w:val="0"/>
          <w:numId w:val="1008"/>
        </w:numPr>
        <w:pStyle w:val="Compact"/>
      </w:pPr>
      <w:r>
        <w:t xml:space="preserve">신규 자금 기대수익의 스프레드·기대손실·K-ICS 계수는 대부분</w:t>
      </w:r>
      <w:r>
        <w:t xml:space="preserve"> </w:t>
      </w:r>
      <w:r>
        <w:rPr>
          <w:bCs/>
          <w:b/>
        </w:rPr>
        <w:t xml:space="preserve">가정</w:t>
      </w:r>
      <w:r>
        <w:t xml:space="preserve">이다(</w:t>
      </w:r>
      <w:r>
        <w:rPr>
          <w:rStyle w:val="VerbatimChar"/>
        </w:rPr>
        <w:t xml:space="preserve">config/yield_assumptions.yaml</w:t>
      </w:r>
      <w:r>
        <w:t xml:space="preserve">). K-ICS 계수 중 주식 35%·48%·부동산 25%만 웹확인(2차 출처)이고, 감독규정 원문과는 대조하지 않았다. 신용·대체 계수는 범위로 두었다.</w:t>
      </w:r>
    </w:p>
    <w:p>
      <w:pPr>
        <w:numPr>
          <w:ilvl w:val="0"/>
          <w:numId w:val="1008"/>
        </w:numPr>
        <w:pStyle w:val="Compact"/>
      </w:pPr>
      <w:r>
        <w:t xml:space="preserve">K-ICS 영향은 ’증가 익스포저 × 계수 × 분산효과 0.7’의 선형 근사다. 실제 K-ICS의 상관행렬·금리위험(부채 연동)·해약위험 등은 반영하지 않았다. 요구자본 기준액은 공시 가용자본 ÷ 209.0%로 역산한 값이다.</w:t>
      </w:r>
    </w:p>
    <w:p>
      <w:pPr>
        <w:numPr>
          <w:ilvl w:val="0"/>
          <w:numId w:val="1008"/>
        </w:numPr>
        <w:pStyle w:val="Compact"/>
      </w:pPr>
      <w:r>
        <w:t xml:space="preserve">해외채 헤지비율 100%는</w:t>
      </w:r>
      <w:r>
        <w:t xml:space="preserve"> </w:t>
      </w:r>
      <w:r>
        <w:rPr>
          <w:bCs/>
          <w:b/>
        </w:rPr>
        <w:t xml:space="preserve">사용자 지정 가정</w:t>
      </w:r>
      <w:r>
        <w:t xml:space="preserve">이다(공시 미확인). 헤지비용은 단기금리차 + 베이시스 30bp(가정)이며, 실제 스왑포인트와 다를 수 있다.</w:t>
      </w:r>
    </w:p>
    <w:p>
      <w:pPr>
        <w:numPr>
          <w:ilvl w:val="0"/>
          <w:numId w:val="1008"/>
        </w:numPr>
        <w:pStyle w:val="Compact"/>
      </w:pPr>
      <w:r>
        <w:t xml:space="preserve">평가변화는 이번 주 매크로 시나리오(결합 확률 Base 0.49 / Bull 0.25 / Bear 0.26)에 의존한다. 시나리오가 바뀌면 배분 결과도 바뀐다. 시장 수치는 수기·웹확인값이며, 국내 대출금리는 8월 기준(월별)이다.</w:t>
      </w:r>
    </w:p>
    <w:p>
      <w:pPr>
        <w:numPr>
          <w:ilvl w:val="0"/>
          <w:numId w:val="1008"/>
        </w:numPr>
        <w:pStyle w:val="Compact"/>
      </w:pPr>
      <w:r>
        <w:t xml:space="preserve">정적 LP라 거래비용·회계 분류(FVOCI 매도손 실현)·개별 딜 가용성을 직접 모델링하지 않았다. 연간 조정 한도로만 대리했다. 3년 경로는 같은 시장 가정을 쓴 단순화다.</w:t>
      </w:r>
    </w:p>
    <w:p>
      <w:pPr>
        <w:numPr>
          <w:ilvl w:val="0"/>
          <w:numId w:val="1008"/>
        </w:numPr>
        <w:pStyle w:val="Compact"/>
      </w:pPr>
      <w:r>
        <w:t xml:space="preserve">기사 수치(3.12%, 258억원, 510억원)는 공시와 대조하지 못했다(미확인).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포트폴리오 수치는 회사 공시(IR·정기공시·사업보고서)를 기준으로 하되 일부는 공시 비중으로 나눈 값이거나 추정값(* 표시)이며, 영향 금액은 가정 기반 근사 계산입니다. 매크로 시나리오·확률은 하우스 뷰와 에이전트 판단에 기반한 추정으로 실제 결과와 다를 수 있습니다.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2026-10-25T07:56:34Z</dcterms:created>
  <dcterms:modified xsi:type="dcterms:W3CDTF">2026-10-25T07:56:34Z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