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5" w:name="X0fcbba0be79fe8cf8380f0eb80ed7d5e4e9515d"/>
    <w:p>
      <w:pPr>
        <w:pStyle w:val="Heading1"/>
      </w:pPr>
      <w:r>
        <w:t xml:space="preserve">매크로 업데이트 — 신한투자증권 2027년 연간 전망 반영 (2026-10-26)</w:t>
      </w:r>
    </w:p>
    <w:p>
      <w:pPr>
        <w:pStyle w:val="BlockText"/>
      </w:pPr>
      <w:r>
        <w:t xml:space="preserve">입력: 신한투자증권 「2027년 경제 및 금융시장 전망: Time of Tempering」(2026-10-26 발간) Part I~V, 5개 파일 → view_card 5개</w:t>
      </w:r>
      <w:r>
        <w:t xml:space="preserve"> </w:t>
      </w:r>
      <w:r>
        <w:t xml:space="preserve">미입수: Part VI(원자재), Part VII(결론 및 경제지표 표) — 분기별 금리·유가 전망 표는 반영하지 못함</w:t>
      </w:r>
      <w:r>
        <w:t xml:space="preserve"> </w:t>
      </w:r>
      <w:r>
        <w:t xml:space="preserve">결과:</w:t>
      </w:r>
      <w:r>
        <w:t xml:space="preserve"> </w:t>
      </w:r>
      <w:r>
        <w:rPr>
          <w:rStyle w:val="VerbatimChar"/>
        </w:rPr>
        <w:t xml:space="preserve">knowledge/macro_topics/2026-10-26/</w:t>
      </w:r>
      <w:r>
        <w:t xml:space="preserve">(16개, 검증 오류 0),</w:t>
      </w:r>
      <w:r>
        <w:t xml:space="preserve"> </w:t>
      </w:r>
      <w:r>
        <w:rPr>
          <w:rStyle w:val="VerbatimChar"/>
        </w:rPr>
        <w:t xml:space="preserve">reports/tmp/2026-10-26_factor_shocks.json</w:t>
      </w:r>
      <w:r>
        <w:t xml:space="preserve"> </w:t>
      </w:r>
      <w:r>
        <w:t xml:space="preserve">현황 수치는 바꾸지 않음(2026-10-23~24 수기·웹확인값 그대로, 이번 입력은 전망 리포트)</w:t>
      </w:r>
    </w:p>
    <w:bookmarkStart w:id="20" w:name="리포트-핵심-메시지"/>
    <w:p>
      <w:pPr>
        <w:pStyle w:val="Heading2"/>
      </w:pPr>
      <w:r>
        <w:t xml:space="preserve">1. 리포트 핵심 메시지</w:t>
      </w:r>
    </w:p>
    <w:p>
      <w:pPr>
        <w:numPr>
          <w:ilvl w:val="0"/>
          <w:numId w:val="1001"/>
        </w:numPr>
      </w:pPr>
      <w:r>
        <w:t xml:space="preserve">[하우스]</w:t>
      </w:r>
      <w:r>
        <w:t xml:space="preserve"> </w:t>
      </w:r>
      <w:r>
        <w:rPr>
          <w:bCs/>
          <w:b/>
        </w:rPr>
        <w:t xml:space="preserve">AI 사이클은 중반부</w:t>
      </w:r>
      <w:r>
        <w:t xml:space="preserve">에 있습니다. 투자 증분은 정점을 지났고, 2027년은 생산성·소득 확산 여부를 가늠하는 분기점입니다. 확산은 2028년 이후 조건부입니다 (20261026_신한_2027전망P1_AI사이클 p.7-8, p.19).</w:t>
      </w:r>
    </w:p>
    <w:p>
      <w:pPr>
        <w:numPr>
          <w:ilvl w:val="0"/>
          <w:numId w:val="1001"/>
        </w:numPr>
      </w:pPr>
      <w:r>
        <w:t xml:space="preserve">[하우스]</w:t>
      </w:r>
      <w:r>
        <w:t xml:space="preserve"> </w:t>
      </w:r>
      <w:r>
        <w:rPr>
          <w:bCs/>
          <w:b/>
        </w:rPr>
        <w:t xml:space="preserve">물가는 공급 충격이 점진적으로 되돌려집니다.</w:t>
      </w:r>
      <w:r>
        <w:t xml:space="preserve"> </w:t>
      </w:r>
      <w:r>
        <w:t xml:space="preserve">미·이란 대규모 충돌이 재개되지 않으면 2027년부터 WTI 80달러대로 봅니다 (20261026_신한_2027전망P2_물가 p.6).</w:t>
      </w:r>
    </w:p>
    <w:p>
      <w:pPr>
        <w:numPr>
          <w:ilvl w:val="0"/>
          <w:numId w:val="1001"/>
        </w:numPr>
      </w:pPr>
      <w:r>
        <w:t xml:space="preserve">[하우스]</w:t>
      </w:r>
      <w:r>
        <w:t xml:space="preserve"> </w:t>
      </w:r>
      <w:r>
        <w:rPr>
          <w:bCs/>
          <w:b/>
        </w:rPr>
        <w:t xml:space="preserve">긴축은 후반부</w:t>
      </w:r>
      <w:r>
        <w:t xml:space="preserve">입니다. 미국·한국은 인상 마무리 구간에 들어섰고, 2027년 상반기는 동결이 기본이며 높아진 장기금리가 긴축을 대신합니다. 하반기에는 과잉 긴축 경계 속에 완만한 인하 여지가 있습니다. 한은은 상반기 소폭 인상 후 동결로 봅니다 (20261026_신한_2027전망P3_정책금융취약성 p.2, p.4, p.6).</w:t>
      </w:r>
    </w:p>
    <w:p>
      <w:pPr>
        <w:numPr>
          <w:ilvl w:val="0"/>
          <w:numId w:val="1001"/>
        </w:numPr>
      </w:pPr>
      <w:r>
        <w:t xml:space="preserve">[하우스]</w:t>
      </w:r>
      <w:r>
        <w:t xml:space="preserve"> </w:t>
      </w:r>
      <w:r>
        <w:rPr>
          <w:bCs/>
          <w:b/>
        </w:rPr>
        <w:t xml:space="preserve">금융 취약성은 AI 인프라와 사모대출 쪽</w:t>
      </w:r>
      <w:r>
        <w:t xml:space="preserve">에 있습니다.</w:t>
      </w:r>
    </w:p>
    <w:p>
      <w:pPr>
        <w:numPr>
          <w:ilvl w:val="1"/>
          <w:numId w:val="1002"/>
        </w:numPr>
        <w:pStyle w:val="Compact"/>
      </w:pPr>
      <w:r>
        <w:t xml:space="preserve">하이퍼스케일러 스프레드가 오르고 BDC 환매 요청이 한도의 2배입니다.</w:t>
      </w:r>
    </w:p>
    <w:p>
      <w:pPr>
        <w:numPr>
          <w:ilvl w:val="1"/>
          <w:numId w:val="1002"/>
        </w:numPr>
        <w:pStyle w:val="Compact"/>
      </w:pPr>
      <w:r>
        <w:t xml:space="preserve">그래도 HY 스프레드가 3%대라 전면적인 신용 위험 확산 가능성은 낮다고 봅니다 (P3 p.13-15).</w:t>
      </w:r>
    </w:p>
    <w:p>
      <w:pPr>
        <w:numPr>
          <w:ilvl w:val="0"/>
          <w:numId w:val="1001"/>
        </w:numPr>
      </w:pPr>
      <w:r>
        <w:t xml:space="preserve">[하우스]</w:t>
      </w:r>
      <w:r>
        <w:t xml:space="preserve"> </w:t>
      </w:r>
      <w:r>
        <w:rPr>
          <w:bCs/>
          <w:b/>
        </w:rPr>
        <w:t xml:space="preserve">원/달러는 상저하고</w:t>
      </w:r>
      <w:r>
        <w:t xml:space="preserve">로 봅니다.</w:t>
      </w:r>
    </w:p>
    <w:p>
      <w:pPr>
        <w:numPr>
          <w:ilvl w:val="1"/>
          <w:numId w:val="1003"/>
        </w:numPr>
        <w:pStyle w:val="Compact"/>
      </w:pPr>
      <w:r>
        <w:t xml:space="preserve">2026년 4분기~2027년 1분기에는 기업 환전이 몰려 1,300원까지 내려갑니다.</w:t>
      </w:r>
    </w:p>
    <w:p>
      <w:pPr>
        <w:numPr>
          <w:ilvl w:val="1"/>
          <w:numId w:val="1003"/>
        </w:numPr>
        <w:pStyle w:val="Compact"/>
      </w:pPr>
      <w:r>
        <w:t xml:space="preserve">하반기에는 한국 이익 모멘텀이 둔화하고 미국으로 주식자금이 빠져 2027년 말 1,390원으로 반등합니다.</w:t>
      </w:r>
    </w:p>
    <w:p>
      <w:pPr>
        <w:numPr>
          <w:ilvl w:val="1"/>
          <w:numId w:val="1003"/>
        </w:numPr>
        <w:pStyle w:val="Compact"/>
      </w:pPr>
      <w:r>
        <w:t xml:space="preserve">중장기 균형환율은 1,400원 초반으로 오르는 추세입니다 (20261026_신한_2027전망P5_외환 p.8, p.10-11).</w:t>
      </w:r>
    </w:p>
    <w:p>
      <w:pPr>
        <w:numPr>
          <w:ilvl w:val="0"/>
          <w:numId w:val="1001"/>
        </w:numPr>
      </w:pPr>
      <w:r>
        <w:t xml:space="preserve">[하우스] 2027년 성장·물가 전망 (P4 p.5, p.9, p.13, p.24, p.26):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  <w:tblInd w:w="720" w:type="dxa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지역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GDP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CPI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미국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2.1%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3.0%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유로존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1.3%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2.9%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중국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4.1%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1.2%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한국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2.9%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2% 중반</w:t>
            </w:r>
          </w:p>
        </w:tc>
      </w:tr>
    </w:tbl>
    <w:bookmarkEnd w:id="20"/>
    <w:bookmarkStart w:id="21" w:name="개-항목-반영-결과"/>
    <w:p>
      <w:pPr>
        <w:pStyle w:val="Heading2"/>
      </w:pPr>
      <w:r>
        <w:t xml:space="preserve">2. 16개 항목 반영 결과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항목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신규 하우스 뷰 (카드 p.N)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반영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장기 충격값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원/달러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단기 1,300원(1Q27 저점), 2027년 말 1,390원, 위험 시나리오 1,450원 이상 (P5 p.11)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충격값 수정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Base −3% →</w:t>
            </w:r>
            <w:r>
              <w:t xml:space="preserve"> </w:t>
            </w:r>
            <w:r>
              <w:rPr>
                <w:bCs/>
                <w:b/>
              </w:rPr>
              <w:t xml:space="preserve">+5%</w:t>
            </w:r>
            <w:r>
              <w:t xml:space="preserve">, Bull −7% →</w:t>
            </w:r>
            <w:r>
              <w:t xml:space="preserve"> </w:t>
            </w:r>
            <w:r>
              <w:rPr>
                <w:bCs/>
                <w:b/>
              </w:rPr>
              <w:t xml:space="preserve">−2%</w:t>
            </w:r>
            <w:r>
              <w:t xml:space="preserve">, Bear +6% →</w:t>
            </w:r>
            <w:r>
              <w:t xml:space="preserve"> </w:t>
            </w:r>
            <w:r>
              <w:rPr>
                <w:bCs/>
                <w:b/>
              </w:rPr>
              <w:t xml:space="preserve">+10%</w:t>
            </w:r>
            <w:r>
              <w:t xml:space="preserve">; DXY Base −2% → 0%, Bull −5% → −3%; 단기 −1.5% → −2.0%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유가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2027년부터 WTI 80달러대 (P2 p.6)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하우스 뷰 추가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유지 — WTI 103.27달러(10/23, 웹확인) → 80달러대 중반 ≈ −18%로 Base(Brent −20%)와 맞음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한국 기준금리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상반기 소폭 인상 후 동결 (P3 p.4)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하우스 뷰 추가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유지 (Base 3.50% 정점과 일치)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미국 기준금리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1H27 동결, 2H27 완만한 인하 여지, 2026년 12월 마지막 인상 가정 (P3 p.6, P5 p.7)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하우스 뷰 추가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유지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미국채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기간 프리미엄 0.75%가 장기금리 하단 지지, 2년물은 1분기부터 축소 (P3 p.3, p.5)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하우스 뷰 추가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유지 (스티프닝 Base와 맞음)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국고채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세수 호조로 적자 축소, 국채발행 축소 재원 12.5조원 (P3 p.11, P4 p.16)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하우스 뷰 추가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유지 (장기물 상대 강세의 수급 근거 보강)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국내 회사채·사모대출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한계기업 비중 20% 근접, 취약 부문 연체 상승 (P4 p.18)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하우스 뷰 추가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유지 (BBB 소폭 확대·부도율 소폭 상승과 일치)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국내 부동산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PF 익스포저 231조원 → 169조원, 정상화 단계, 2027년 건설투자 반등 (P4 p.20)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하우스 뷰 추가 +</w:t>
            </w:r>
            <w:r>
              <w:t xml:space="preserve"> </w:t>
            </w:r>
            <w:r>
              <w:rPr>
                <w:bCs/>
                <w:b/>
              </w:rPr>
              <w:t xml:space="preserve">이견 기록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유지 — 아래 3절 참고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미국 회사채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AI 인프라 신용 재평가, IG 확대, HY 안정 (P3 p.5, p.13-14)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하우스 뷰 추가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유지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미국 사모대출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BDC 유동성 미스매치, 차주 레버리지 상승 (P3 p.14-15)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하우스 뷰 추가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유지 (Bear 서술과 일치)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미국 인프라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데이터센터 신규 착공 둔화(지역 반대 42%→75%), 장비 수요는 4Q27 정점 (P1 p.10-12)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하우스 뷰 추가, Bear 서술 보강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유지 (할인율이 아니라 개발 물량 위험)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미국 부동산·PE, 국내 인프라·PE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해당 내용 없음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변경 없음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유지</w:t>
            </w:r>
          </w:p>
        </w:tc>
      </w:tr>
    </w:tbl>
    <w:p>
      <w:pPr>
        <w:pStyle w:val="BodyText"/>
      </w:pPr>
      <w:r>
        <w:t xml:space="preserve">결합 확률은 그대로입니다: 장기 Base 0.4938 / Bull 0.25 / Bear 0.2562. 바뀐 팩터는</w:t>
      </w:r>
      <w:r>
        <w:t xml:space="preserve"> </w:t>
      </w:r>
      <w:r>
        <w:rPr>
          <w:rStyle w:val="VerbatimChar"/>
        </w:rPr>
        <w:t xml:space="preserve">krw_usd_pct</w:t>
      </w:r>
      <w:r>
        <w:t xml:space="preserve">와</w:t>
      </w:r>
      <w:r>
        <w:t xml:space="preserve"> </w:t>
      </w:r>
      <w:r>
        <w:rPr>
          <w:rStyle w:val="VerbatimChar"/>
        </w:rPr>
        <w:t xml:space="preserve">dxy_pct</w:t>
      </w:r>
      <w:r>
        <w:t xml:space="preserve"> </w:t>
      </w:r>
      <w:r>
        <w:t xml:space="preserve">둘뿐입니다(기대충격 원/달러 −1.75% → +4.5%).</w:t>
      </w:r>
    </w:p>
    <w:bookmarkEnd w:id="21"/>
    <w:bookmarkStart w:id="22" w:name="판단과-이견"/>
    <w:p>
      <w:pPr>
        <w:pStyle w:val="Heading2"/>
      </w:pPr>
      <w:r>
        <w:t xml:space="preserve">3. 판단과 이견</w:t>
      </w:r>
    </w:p>
    <w:p>
      <w:pPr>
        <w:numPr>
          <w:ilvl w:val="0"/>
          <w:numId w:val="1004"/>
        </w:numPr>
        <w:pStyle w:val="Compact"/>
      </w:pPr>
      <w:r>
        <w:t xml:space="preserve">[판단]</w:t>
      </w:r>
      <w:r>
        <w:t xml:space="preserve"> </w:t>
      </w:r>
      <w:r>
        <w:rPr>
          <w:bCs/>
          <w:b/>
        </w:rPr>
        <w:t xml:space="preserve">원/달러 Base를 원화 강세에서 원화 약세로 바꿨습니다.</w:t>
      </w:r>
    </w:p>
    <w:p>
      <w:pPr>
        <w:numPr>
          <w:ilvl w:val="1"/>
          <w:numId w:val="1005"/>
        </w:numPr>
        <w:pStyle w:val="Compact"/>
      </w:pPr>
      <w:r>
        <w:t xml:space="preserve">이전 Base(−3%, 약 1,285원)는</w:t>
      </w:r>
      <w:r>
        <w:t xml:space="preserve"> </w:t>
      </w:r>
      <w:r>
        <w:t xml:space="preserve">‘</w:t>
      </w:r>
      <w:r>
        <w:t xml:space="preserve">한미 금리차 축소 → 원화 강세</w:t>
      </w:r>
      <w:r>
        <w:t xml:space="preserve">’</w:t>
      </w:r>
      <w:r>
        <w:t xml:space="preserve"> </w:t>
      </w:r>
      <w:r>
        <w:t xml:space="preserve">논리에만 기댄 판단이었고, 하우스 근거가 없었습니다.</w:t>
      </w:r>
    </w:p>
    <w:p>
      <w:pPr>
        <w:numPr>
          <w:ilvl w:val="1"/>
          <w:numId w:val="1005"/>
        </w:numPr>
        <w:pStyle w:val="Compact"/>
      </w:pPr>
      <w:r>
        <w:t xml:space="preserve">이번 연간 전망은 환율 결정 기준이 금리차에서 AI 밸류체인 자금 흐름(교역대금 환전·주식자금)으로 옮겨갔다고 보고, 연말 경로를 수치로 제시했습니다 (P5 p.3, p.11).</w:t>
      </w:r>
    </w:p>
    <w:p>
      <w:pPr>
        <w:numPr>
          <w:ilvl w:val="1"/>
          <w:numId w:val="1005"/>
        </w:numPr>
        <w:pStyle w:val="Compact"/>
      </w:pPr>
      <w:r>
        <w:t xml:space="preserve">그래서 하우스의 명시 경로를 따랐습니다.</w:t>
      </w:r>
    </w:p>
    <w:p>
      <w:pPr>
        <w:numPr>
          <w:ilvl w:val="0"/>
          <w:numId w:val="1004"/>
        </w:numPr>
        <w:pStyle w:val="Compact"/>
      </w:pPr>
      <w:r>
        <w:t xml:space="preserve">[판단]</w:t>
      </w:r>
      <w:r>
        <w:t xml:space="preserve"> </w:t>
      </w:r>
      <w:r>
        <w:rPr>
          <w:bCs/>
          <w:b/>
        </w:rPr>
        <w:t xml:space="preserve">헤지비용 경로는 바꾸지 않았습니다.</w:t>
      </w:r>
      <w:r>
        <w:t xml:space="preserve"> </w:t>
      </w:r>
      <w:r>
        <w:t xml:space="preserve">금리차가 줄어 헤지비용이 내려가는 것(Base −50bp)과 원화 약세는 동시에 일어날 수 있습니다. 이번 갱신의 핵심이 바로 이 조합입니다.</w:t>
      </w:r>
    </w:p>
    <w:p>
      <w:pPr>
        <w:numPr>
          <w:ilvl w:val="0"/>
          <w:numId w:val="1004"/>
        </w:numPr>
        <w:pStyle w:val="Compact"/>
      </w:pPr>
      <w:r>
        <w:t xml:space="preserve">[판단]</w:t>
      </w:r>
      <w:r>
        <w:t xml:space="preserve"> </w:t>
      </w:r>
      <w:r>
        <w:rPr>
          <w:bCs/>
          <w:b/>
        </w:rPr>
        <w:t xml:space="preserve">국내 PF 손실률 Base(+0.2%p)는 유지했습니다.</w:t>
      </w:r>
    </w:p>
    <w:p>
      <w:pPr>
        <w:numPr>
          <w:ilvl w:val="1"/>
          <w:numId w:val="1006"/>
        </w:numPr>
        <w:pStyle w:val="Compact"/>
      </w:pPr>
      <w:r>
        <w:t xml:space="preserve">신한(주간·연간 2개 카드)은 PF 정상화를 봅니다.</w:t>
      </w:r>
    </w:p>
    <w:p>
      <w:pPr>
        <w:numPr>
          <w:ilvl w:val="1"/>
          <w:numId w:val="1006"/>
        </w:numPr>
        <w:pStyle w:val="Compact"/>
      </w:pPr>
      <w:r>
        <w:t xml:space="preserve">하지만 익스포저 축소는 대형사 중심이고, 중소금융사 토지담보대출 연체율(3월 말 31.88%, 웹확인)이 높습니다.</w:t>
      </w:r>
    </w:p>
    <w:p>
      <w:pPr>
        <w:numPr>
          <w:ilvl w:val="1"/>
          <w:numId w:val="1006"/>
        </w:numPr>
        <w:pStyle w:val="Compact"/>
      </w:pPr>
      <w:r>
        <w:t xml:space="preserve">하우스 뷰가 맞다면 Bull 쪽으로 옮길 여지가 있습니다. 다음 PF 연체율 공시 때 다시 점검합니다.</w:t>
      </w:r>
    </w:p>
    <w:p>
      <w:pPr>
        <w:numPr>
          <w:ilvl w:val="0"/>
          <w:numId w:val="1004"/>
        </w:numPr>
        <w:pStyle w:val="Compact"/>
      </w:pPr>
      <w:r>
        <w:t xml:space="preserve">[판단] 이번 입력도</w:t>
      </w:r>
      <w:r>
        <w:t xml:space="preserve"> </w:t>
      </w:r>
      <w:r>
        <w:rPr>
          <w:bCs/>
          <w:b/>
        </w:rPr>
        <w:t xml:space="preserve">단일 하우스(신한)</w:t>
      </w:r>
      <w:r>
        <w:t xml:space="preserve">입니다. 원/달러 장기 경로처럼 비중이 큰 판단은 다른 하우스의 2027년 전망이 들어오면 교차 확인이 필요합니다.</w:t>
      </w:r>
    </w:p>
    <w:bookmarkEnd w:id="22"/>
    <w:bookmarkStart w:id="23" w:name="포트폴리오-시사점-현대해상-예시"/>
    <w:p>
      <w:pPr>
        <w:pStyle w:val="Heading2"/>
      </w:pPr>
      <w:r>
        <w:t xml:space="preserve">4. 포트폴리오 시사점 (현대해상 예시)</w:t>
      </w:r>
    </w:p>
    <w:p>
      <w:pPr>
        <w:numPr>
          <w:ilvl w:val="0"/>
          <w:numId w:val="1007"/>
        </w:numPr>
      </w:pPr>
      <w:r>
        <w:t xml:space="preserve">[사실] 바뀐 충격으로 calc_impact를 다시 돌렸지만 현대해상 영향은 같습니다. 장기 시나리오는 아래와 같습니다 (</w:t>
      </w:r>
      <w:r>
        <w:rPr>
          <w:rStyle w:val="VerbatimChar"/>
        </w:rPr>
        <w:t xml:space="preserve">reports/tmp/2026-10-26_현대해상_impact.json</w:t>
      </w:r>
      <w:r>
        <w:t xml:space="preserve">).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  <w:tblInd w:w="720" w:type="dxa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시나리오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영향 (억원, 엔진 기준)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장기-Base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−1,459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장기-Bull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+22,993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장기-Bear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−29,110</w:t>
            </w:r>
          </w:p>
        </w:tc>
      </w:tr>
    </w:tbl>
    <w:p>
      <w:pPr>
        <w:numPr>
          <w:ilvl w:val="0"/>
          <w:numId w:val="1000"/>
        </w:numPr>
      </w:pPr>
      <w:r>
        <w:t xml:space="preserve">해외채 헤지비율을 100%로 가정해 환율 수준 변화가 손익에 들어가지 않기 때문입니다. 그래서 2026-10-25 운용수익률 제고 전략의 배분 결론도 그대로입니다.</w:t>
      </w:r>
    </w:p>
    <w:p>
      <w:pPr>
        <w:numPr>
          <w:ilvl w:val="0"/>
          <w:numId w:val="1007"/>
        </w:numPr>
      </w:pPr>
      <w:r>
        <w:t xml:space="preserve">[판단] 헤지비율이 100%보다 낮거나 헤지하지 않은 해외 대체투자가 있다면 결과가 달라집니다. 새 Base에서는 원화 약세(+5%)가 평가이익이 되고, Bear(+10%)에서는 그 완충 효과가 더 커집니다.</w:t>
      </w:r>
    </w:p>
    <w:p>
      <w:pPr>
        <w:numPr>
          <w:ilvl w:val="0"/>
          <w:numId w:val="1007"/>
        </w:numPr>
      </w:pPr>
      <w:r>
        <w:t xml:space="preserve">[판단]</w:t>
      </w:r>
      <w:r>
        <w:t xml:space="preserve"> </w:t>
      </w:r>
      <w:r>
        <w:rPr>
          <w:bCs/>
          <w:b/>
        </w:rPr>
        <w:t xml:space="preserve">실행 타이밍:</w:t>
      </w:r>
      <w:r>
        <w:t xml:space="preserve"> </w:t>
      </w:r>
      <w:r>
        <w:t xml:space="preserve">하우스는 2027년 1분기를 원화 강세 정점(1,300원)으로 봅니다. 해외채 신규 매수와 통화스왑 체결을 그 구간에 몰면 달러를 싸게 확보하고, 금리차가 줄어드는 국면에서 헤지 조건도 유리해질 수 있습니다. 앞서 권한</w:t>
      </w:r>
      <w:r>
        <w:t xml:space="preserve"> </w:t>
      </w:r>
      <w:r>
        <w:t xml:space="preserve">‘</w:t>
      </w:r>
      <w:r>
        <w:t xml:space="preserve">헤지비용이 내려오면 장기 통화스왑으로 단계적 고정</w:t>
      </w:r>
      <w:r>
        <w:t xml:space="preserve">’</w:t>
      </w:r>
      <w:r>
        <w:t xml:space="preserve"> </w:t>
      </w:r>
      <w:r>
        <w:t xml:space="preserve">방향과 같습니다.</w:t>
      </w:r>
    </w:p>
    <w:bookmarkEnd w:id="23"/>
    <w:bookmarkStart w:id="24" w:name="데이터-공백"/>
    <w:p>
      <w:pPr>
        <w:pStyle w:val="Heading2"/>
      </w:pPr>
      <w:r>
        <w:t xml:space="preserve">5. 데이터 공백</w:t>
      </w:r>
    </w:p>
    <w:p>
      <w:pPr>
        <w:numPr>
          <w:ilvl w:val="0"/>
          <w:numId w:val="1008"/>
        </w:numPr>
        <w:pStyle w:val="Compact"/>
      </w:pPr>
      <w:r>
        <w:t xml:space="preserve">Part VI(원자재)·VII(결론·경제지표) 미입수로 하우스의 분기별 국고채·미국채·유가 수치 전망이 없습니다.</w:t>
      </w:r>
    </w:p>
    <w:p>
      <w:pPr>
        <w:numPr>
          <w:ilvl w:val="0"/>
          <w:numId w:val="1008"/>
        </w:numPr>
        <w:pStyle w:val="Compact"/>
      </w:pPr>
      <w:r>
        <w:t xml:space="preserve">원/달러 장기 경로가 단일 하우스에 의존합니다.</w:t>
      </w:r>
    </w:p>
    <w:p>
      <w:pPr>
        <w:numPr>
          <w:ilvl w:val="0"/>
          <w:numId w:val="1008"/>
        </w:numPr>
        <w:pStyle w:val="Compact"/>
      </w:pPr>
      <w:r>
        <w:t xml:space="preserve">API 미수집 상태가 계속됩니다(FRED·ECOS 일별 시계열). 현황 수치는 2026-10-23~24 기준입니다.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Cs/>
          <w:b/>
        </w:rPr>
        <w:t xml:space="preserve">면책</w:t>
      </w:r>
      <w:r>
        <w:t xml:space="preserve">: 본 자료는 개인의 의사결정 보조를 위한 분석 자료이며 투자 권유가 아닙니다. 매크로 시나리오·확률은 하우스 뷰와 에이전트 판단에 기반한 추정으로 실제 결과와 다를 수 있습니다.</w:t>
      </w:r>
    </w:p>
    <w:bookmarkEnd w:id="24"/>
    <w:bookmarkEnd w:id="25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2026-10-26T13:32:59Z</dcterms:created>
  <dcterms:modified xsi:type="dcterms:W3CDTF">2026-10-26T13:32:59Z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