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국내-채권-투자-전략-국고채회사채-2026-10-27"/>
    <w:p>
      <w:pPr>
        <w:pStyle w:val="Heading1"/>
      </w:pPr>
      <w:r>
        <w:t xml:space="preserve">국내 채권 투자 전략 — 국고채·회사채 (2026-10-27)</w:t>
      </w:r>
    </w:p>
    <w:p>
      <w:pPr>
        <w:pStyle w:val="BlockText"/>
      </w:pPr>
      <w:r>
        <w:t xml:space="preserve">입력 자료와 계산 근거:</w:t>
      </w:r>
      <w:r>
        <w:t xml:space="preserve"> </w:t>
      </w:r>
      <w:r>
        <w:t xml:space="preserve">- 리포트: 신한투자증권</w:t>
      </w:r>
      <w:r>
        <w:t xml:space="preserve"> </w:t>
      </w:r>
      <w:r>
        <w:rPr>
          <w:rStyle w:val="VerbatimChar"/>
        </w:rPr>
        <w:t xml:space="preserve">20261027_신한_WeeklyCreditMonitor</w:t>
      </w:r>
      <w:r>
        <w:t xml:space="preserve">(신규),</w:t>
      </w:r>
      <w:r>
        <w:t xml:space="preserve"> </w:t>
      </w:r>
      <w:r>
        <w:rPr>
          <w:rStyle w:val="VerbatimChar"/>
        </w:rPr>
        <w:t xml:space="preserve">20261022_신한_10월금통위</w:t>
      </w:r>
      <w:r>
        <w:t xml:space="preserve">(이미 반영된 파일과 내용 동일, md5 일치).</w:t>
      </w:r>
      <w:r>
        <w:t xml:space="preserve"> </w:t>
      </w:r>
      <w:r>
        <w:t xml:space="preserve">- 시장 수치: 금리·스프레드는 위 크레딧 리포트 p.2 표(2026-10-23, 인포맥스). 국고 30년 4.189%는 2026-10-23 웹확인값이다.</w:t>
      </w:r>
      <w:r>
        <w:t xml:space="preserve"> </w:t>
      </w:r>
      <w:r>
        <w:t xml:space="preserve">- 시나리오:</w:t>
      </w:r>
      <w:r>
        <w:t xml:space="preserve"> </w:t>
      </w:r>
      <w:r>
        <w:rPr>
          <w:rStyle w:val="VerbatimChar"/>
        </w:rPr>
        <w:t xml:space="preserve">knowledge/macro_topics/2026-10-26/</w:t>
      </w:r>
      <w:r>
        <w:t xml:space="preserve">의 kr_govt_bond·kr_corp_bond(장기 Base/Bull/Bear 확률 0.45/0.30/0.25, 단기 충격).</w:t>
      </w:r>
      <w:r>
        <w:t xml:space="preserve"> </w:t>
      </w:r>
      <w:r>
        <w:t xml:space="preserve">- 계산:</w:t>
      </w:r>
      <w:r>
        <w:t xml:space="preserve"> </w:t>
      </w:r>
      <w:r>
        <w:rPr>
          <w:rStyle w:val="VerbatimChar"/>
        </w:rPr>
        <w:t xml:space="preserve">scripts/bond_strategy_calc.py</w:t>
      </w:r>
      <w:r>
        <w:t xml:space="preserve"> </w:t>
      </w:r>
      <w:r>
        <w:t xml:space="preserve">→</w:t>
      </w:r>
      <w:r>
        <w:t xml:space="preserve"> </w:t>
      </w:r>
      <w:r>
        <w:rPr>
          <w:rStyle w:val="VerbatimChar"/>
        </w:rPr>
        <w:t xml:space="preserve">reports/tmp/2026-10-27_kr_bond_strategy_calc.json</w:t>
      </w:r>
      <w:r>
        <w:t xml:space="preserve">. 조달금리(3개월 3.20%, 1년 3.40%)와 듀레이션, 5년물 충격(3·10년 선형 보간)은 추정이다.</w:t>
      </w:r>
      <w:r>
        <w:t xml:space="preserve"> </w:t>
      </w:r>
      <w:r>
        <w:t xml:space="preserve">- 표기: 금액·수익은 bp(1년 또는 3개월 보유 기준),</w:t>
      </w:r>
      <w:r>
        <w:t xml:space="preserve"> </w:t>
      </w:r>
      <w:r>
        <w:rPr>
          <w:rStyle w:val="VerbatimChar"/>
        </w:rPr>
        <w:t xml:space="preserve">*</w:t>
      </w:r>
      <w:r>
        <w:t xml:space="preserve"> </w:t>
      </w:r>
      <w:r>
        <w:t xml:space="preserve">= 가정 포함.</w:t>
      </w:r>
    </w:p>
    <w:bookmarkStart w:id="20" w:name="결론-요약"/>
    <w:p>
      <w:pPr>
        <w:pStyle w:val="Heading2"/>
      </w:pPr>
      <w:r>
        <w:t xml:space="preserve">결론 요약</w:t>
      </w:r>
    </w:p>
    <w:p>
      <w:pPr>
        <w:numPr>
          <w:ilvl w:val="0"/>
          <w:numId w:val="1001"/>
        </w:numPr>
        <w:pStyle w:val="Compact"/>
      </w:pPr>
      <w:r>
        <w:t xml:space="preserve">[판단]</w:t>
      </w:r>
      <w:r>
        <w:t xml:space="preserve"> </w:t>
      </w:r>
      <w:r>
        <w:rPr>
          <w:bCs/>
          <w:b/>
        </w:rPr>
        <w:t xml:space="preserve">국고채 듀레이션은 벤치마크 중립으로 둔다.</w:t>
      </w:r>
      <w:r>
        <w:t xml:space="preserve"> </w:t>
      </w:r>
      <w:r>
        <w:t xml:space="preserve">통안 1년(3.57%)이 기준금리보다 57bp 높아, 신한 경로(최종 3.50%)의 1년 평균 정책금리(약 3.35%, 추정)보다도 22bp 높다. 두 차례 인상은 이미 가격에 있다. 그래서 ’인상 전망’만으로는 매도 근거가 약하고, 장기물 공격 매수도 위험 대비 보상이 가장 낮다(10년 기대/변동성 0.17).</w:t>
      </w:r>
    </w:p>
    <w:p>
      <w:pPr>
        <w:numPr>
          <w:ilvl w:val="0"/>
          <w:numId w:val="1001"/>
        </w:numPr>
        <w:pStyle w:val="Compact"/>
      </w:pPr>
      <w:r>
        <w:t xml:space="preserve">[판단]</w:t>
      </w:r>
      <w:r>
        <w:t xml:space="preserve"> </w:t>
      </w:r>
      <w:r>
        <w:rPr>
          <w:bCs/>
          <w:b/>
        </w:rPr>
        <w:t xml:space="preserve">커브는 3년–10년 플래트너가 아니라 ’벨리(2~5년) 비중 확대, 10년 축소’를 기본으로 한다.</w:t>
      </w:r>
      <w:r>
        <w:t xml:space="preserve"> </w:t>
      </w:r>
      <w:r>
        <w:t xml:space="preserve">DV01 중립 3s10s 플래트너는 캐리·롤다운이 3개월 −3.1bp</w:t>
      </w:r>
      <w:r>
        <w:rPr>
          <w:iCs/>
          <w:i/>
        </w:rPr>
        <w:t xml:space="preserve">, 1년 −6.6bp</w:t>
      </w:r>
      <w:r>
        <w:t xml:space="preserve">다. 단기 전망(+5bp 플래트닝)을 맞혀도 순이익이 2bp 안팎이고, 1~3년 시나리오 기대값은 −8.4bp</w:t>
      </w:r>
      <w:r>
        <w:rPr>
          <w:iCs/>
          <w:i/>
        </w:rPr>
        <w:t xml:space="preserve">다. 반대로 5s10s 스티프너(벨리 매수·10년 매도)는 캐리·롤다운 +7.2bp/년</w:t>
      </w:r>
      <w:r>
        <w:t xml:space="preserve">에 기대값 +8.5bp/년*이다. 전문가가 걱정한</w:t>
      </w:r>
      <w:r>
        <w:t xml:space="preserve"> </w:t>
      </w:r>
      <w:r>
        <w:t xml:space="preserve">‘</w:t>
      </w:r>
      <w:r>
        <w:t xml:space="preserve">해외 장기금리 상승</w:t>
      </w:r>
      <w:r>
        <w:t xml:space="preserve">’</w:t>
      </w:r>
      <w:r>
        <w:t xml:space="preserve">(우리 Bear)에서 이익이 난다.</w:t>
      </w:r>
    </w:p>
    <w:p>
      <w:pPr>
        <w:numPr>
          <w:ilvl w:val="0"/>
          <w:numId w:val="1001"/>
        </w:numPr>
        <w:pStyle w:val="Compact"/>
      </w:pPr>
      <w:r>
        <w:t xml:space="preserve">[판단]</w:t>
      </w:r>
      <w:r>
        <w:t xml:space="preserve"> </w:t>
      </w:r>
      <w:r>
        <w:rPr>
          <w:bCs/>
          <w:b/>
        </w:rPr>
        <w:t xml:space="preserve">회사채는 ’AA0~AA+ 2~3년 코어 + 초우량물(은행채·공사채) 유동성 구간 + AA− 긍정적 전망 선별’로 간다.</w:t>
      </w:r>
      <w:r>
        <w:t xml:space="preserve"> </w:t>
      </w:r>
      <w:r>
        <w:t xml:space="preserve">전문가의 ’AA 이상 2~3년’은 맞다. 근거는 더 강하게 쓸 수 있다. 3년에서 5년으로 늘리면 신용스프레드가 오히려 줄어든다(AA− 68.0 → 63.7bp, AA+ 59.0 → 47.1bp). 그래서 5년 회사채는 신용 보상 없이 금리 듀레이션만 사는 셈이다.</w:t>
      </w:r>
      <w:r>
        <w:t xml:space="preserve"> </w:t>
      </w:r>
      <w:r>
        <w:rPr>
          <w:bCs/>
          <w:b/>
        </w:rPr>
        <w:t xml:space="preserve">크레딧은 짧게, 금리 듀레이션은 국고 벨리로</w:t>
      </w:r>
      <w:r>
        <w:t xml:space="preserve"> </w:t>
      </w:r>
      <w:r>
        <w:t xml:space="preserve">가져간다.</w:t>
      </w:r>
    </w:p>
    <w:p>
      <w:pPr>
        <w:numPr>
          <w:ilvl w:val="0"/>
          <w:numId w:val="1001"/>
        </w:numPr>
        <w:pStyle w:val="Compact"/>
      </w:pPr>
      <w:r>
        <w:t xml:space="preserve">[판단]</w:t>
      </w:r>
      <w:r>
        <w:t xml:space="preserve"> </w:t>
      </w:r>
      <w:r>
        <w:rPr>
          <w:bCs/>
          <w:b/>
        </w:rPr>
        <w:t xml:space="preserve">AA 크레딧 캐리는 견고하다.</w:t>
      </w:r>
      <w:r>
        <w:t xml:space="preserve"> </w:t>
      </w:r>
      <w:r>
        <w:t xml:space="preserve">AA− 3년의 1년 손익분기 스프레드 확대폭은 35.8bp</w:t>
      </w:r>
      <w:r>
        <w:rPr>
          <w:iCs/>
          <w:i/>
        </w:rPr>
        <w:t xml:space="preserve">로, 우리 Bear(+30bp)에서도 국고 대비 +13bp</w:t>
      </w:r>
      <w:r>
        <w:t xml:space="preserve">다. 판단의 핵심은 ’크레딧을 살지’가 아니라 ’만기·섹터·종목’이다. 연체율 상승(중소기업 1.00%)과 부정적 전망이 몰린 석유화학은 피한다.</w:t>
      </w:r>
    </w:p>
    <w:p>
      <w:pPr>
        <w:numPr>
          <w:ilvl w:val="0"/>
          <w:numId w:val="1001"/>
        </w:numPr>
        <w:pStyle w:val="Compact"/>
      </w:pPr>
      <w:r>
        <w:t xml:space="preserve">[판단]</w:t>
      </w:r>
      <w:r>
        <w:t xml:space="preserve"> </w:t>
      </w:r>
      <w:r>
        <w:rPr>
          <w:bCs/>
          <w:b/>
        </w:rPr>
        <w:t xml:space="preserve">운용 주체에 따라 답이 다르다.</w:t>
      </w:r>
      <w:r>
        <w:t xml:space="preserve"> </w:t>
      </w:r>
      <w:r>
        <w:t xml:space="preserve">총수익 펀드는 위 전술을 쓴다. 금리 하락에 약한 생보(예: 삼성생명 −100bp 시 K-ICS −3.4%p)는 전술 커브와 무관하게 초장기 국고 매수를 이어 가야 한다.</w:t>
      </w:r>
    </w:p>
    <w:bookmarkEnd w:id="20"/>
    <w:bookmarkStart w:id="21" w:name="시장이-이미-가격에-반영한-것"/>
    <w:p>
      <w:pPr>
        <w:pStyle w:val="Heading2"/>
      </w:pPr>
      <w:r>
        <w:t xml:space="preserve">1. 시장이 이미 가격에 반영한 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지표 (2026-10-23)</w:t>
            </w:r>
          </w:p>
        </w:tc>
        <w:tc>
          <w:tcPr/>
          <w:p>
            <w:pPr>
              <w:pStyle w:val="Compact"/>
              <w:jc w:val="left"/>
            </w:pPr>
            <w:r>
              <w:t xml:space="preserve">값</w:t>
            </w:r>
          </w:p>
        </w:tc>
        <w:tc>
          <w:tcPr/>
          <w:p>
            <w:pPr>
              <w:pStyle w:val="Compact"/>
              <w:jc w:val="left"/>
            </w:pPr>
            <w:r>
              <w:t xml:space="preserve">비고</w:t>
            </w:r>
          </w:p>
        </w:tc>
      </w:tr>
      <w:tr>
        <w:tc>
          <w:tcPr/>
          <w:p>
            <w:pPr>
              <w:pStyle w:val="Compact"/>
              <w:jc w:val="left"/>
            </w:pPr>
            <w:r>
              <w:t xml:space="preserve">기준금리</w:t>
            </w:r>
          </w:p>
        </w:tc>
        <w:tc>
          <w:tcPr/>
          <w:p>
            <w:pPr>
              <w:pStyle w:val="Compact"/>
              <w:jc w:val="left"/>
            </w:pPr>
            <w:r>
              <w:t xml:space="preserve">3.00%</w:t>
            </w:r>
          </w:p>
        </w:tc>
        <w:tc>
          <w:tcPr/>
          <w:p>
            <w:pPr>
              <w:pStyle w:val="Compact"/>
              <w:jc w:val="left"/>
            </w:pPr>
            <w:r>
              <w:t xml:space="preserve">10/22 만장일치 동결</w:t>
            </w:r>
          </w:p>
        </w:tc>
      </w:tr>
      <w:tr>
        <w:tc>
          <w:tcPr/>
          <w:p>
            <w:pPr>
              <w:pStyle w:val="Compact"/>
              <w:jc w:val="left"/>
            </w:pPr>
            <w:r>
              <w:t xml:space="preserve">통안 1년 / 국고 2·3·5·10년</w:t>
            </w:r>
          </w:p>
        </w:tc>
        <w:tc>
          <w:tcPr/>
          <w:p>
            <w:pPr>
              <w:pStyle w:val="Compact"/>
              <w:jc w:val="left"/>
            </w:pPr>
            <w:r>
              <w:t xml:space="preserve">3.57 / 3.76 / 3.809 / 3.96 / 4.110%</w:t>
            </w:r>
          </w:p>
        </w:tc>
        <w:tc>
          <w:tcPr/>
          <w:p>
            <w:pPr>
              <w:pStyle w:val="Compact"/>
              <w:jc w:val="left"/>
            </w:pPr>
            <w:r>
              <w:t xml:space="preserve">리포트 p.2. 국고 5년은 ECOS 수기 3.948%와 출처 차이 약 1bp</w:t>
            </w:r>
          </w:p>
        </w:tc>
      </w:tr>
      <w:tr>
        <w:tc>
          <w:tcPr/>
          <w:p>
            <w:pPr>
              <w:pStyle w:val="Compact"/>
              <w:jc w:val="left"/>
            </w:pPr>
            <w:r>
              <w:t xml:space="preserve">국고 30년</w:t>
            </w:r>
          </w:p>
        </w:tc>
        <w:tc>
          <w:tcPr/>
          <w:p>
            <w:pPr>
              <w:pStyle w:val="Compact"/>
              <w:jc w:val="left"/>
            </w:pPr>
            <w:r>
              <w:t xml:space="preserve">4.189%</w:t>
            </w:r>
          </w:p>
        </w:tc>
        <w:tc>
          <w:tcPr/>
          <w:p>
            <w:pPr>
              <w:pStyle w:val="Compact"/>
              <w:jc w:val="left"/>
            </w:pPr>
            <w:r>
              <w:t xml:space="preserve">웹확인</w:t>
            </w:r>
          </w:p>
        </w:tc>
      </w:tr>
      <w:tr>
        <w:tc>
          <w:tcPr/>
          <w:p>
            <w:pPr>
              <w:pStyle w:val="Compact"/>
              <w:jc w:val="left"/>
            </w:pPr>
            <w:r>
              <w:t xml:space="preserve">3s10s / 3s5s10s 플라이</w:t>
            </w:r>
          </w:p>
        </w:tc>
        <w:tc>
          <w:tcPr/>
          <w:p>
            <w:pPr>
              <w:pStyle w:val="Compact"/>
              <w:jc w:val="left"/>
            </w:pPr>
            <w:r>
              <w:t xml:space="preserve">30.1bp / 0.1bp</w:t>
            </w:r>
          </w:p>
        </w:tc>
        <w:tc>
          <w:tcPr/>
          <w:p>
            <w:pPr>
              <w:pStyle w:val="Compact"/>
              <w:jc w:val="left"/>
            </w:pPr>
            <w:r>
              <w:t xml:space="preserve">플라이 = 2×5년 − 3년 − 10년</w:t>
            </w:r>
          </w:p>
        </w:tc>
      </w:tr>
      <w:tr>
        <w:tc>
          <w:tcPr/>
          <w:p>
            <w:pPr>
              <w:pStyle w:val="Compact"/>
              <w:jc w:val="left"/>
            </w:pPr>
            <w:r>
              <w:t xml:space="preserve">구간 기울기 (bp/년)</w:t>
            </w:r>
          </w:p>
        </w:tc>
        <w:tc>
          <w:tcPr/>
          <w:p>
            <w:pPr>
              <w:pStyle w:val="Compact"/>
              <w:jc w:val="left"/>
            </w:pPr>
            <w:r>
              <w:t xml:space="preserve">2–3년 4.9,</w:t>
            </w:r>
            <w:r>
              <w:t xml:space="preserve"> </w:t>
            </w:r>
            <w:r>
              <w:rPr>
                <w:bCs/>
                <w:b/>
              </w:rPr>
              <w:t xml:space="preserve">3–5년 7.5</w:t>
            </w:r>
            <w:r>
              <w:t xml:space="preserve">, 5–10년 3.0</w:t>
            </w:r>
          </w:p>
        </w:tc>
        <w:tc>
          <w:tcPr/>
          <w:p>
            <w:pPr>
              <w:pStyle w:val="Compact"/>
              <w:jc w:val="left"/>
            </w:pPr>
            <w:r>
              <w:t xml:space="preserve">3–5년 구간이 가장 가팔라 롤다운이 가장 크다</w:t>
            </w:r>
          </w:p>
        </w:tc>
      </w:tr>
      <w:tr>
        <w:tc>
          <w:tcPr/>
          <w:p>
            <w:pPr>
              <w:pStyle w:val="Compact"/>
              <w:jc w:val="left"/>
            </w:pPr>
            <w:r>
              <w:t xml:space="preserve">월간 변동</w:t>
            </w:r>
          </w:p>
        </w:tc>
        <w:tc>
          <w:tcPr/>
          <w:p>
            <w:pPr>
              <w:pStyle w:val="Compact"/>
              <w:jc w:val="left"/>
            </w:pPr>
            <w:r>
              <w:t xml:space="preserve">3년 −22.1bp, 10년 −33.7bp</w:t>
            </w:r>
          </w:p>
        </w:tc>
        <w:tc>
          <w:tcPr/>
          <w:p>
            <w:pPr>
              <w:pStyle w:val="Compact"/>
              <w:jc w:val="left"/>
            </w:pPr>
            <w:r>
              <w:t xml:space="preserve">장기물 강세로 3s10s가 한 달 새 11.6bp 축소</w:t>
            </w:r>
          </w:p>
        </w:tc>
      </w:tr>
      <w:tr>
        <w:tc>
          <w:tcPr/>
          <w:p>
            <w:pPr>
              <w:pStyle w:val="Compact"/>
              <w:jc w:val="left"/>
            </w:pPr>
            <w:r>
              <w:t xml:space="preserve">회사채 AA− 2·3·5년</w:t>
            </w:r>
          </w:p>
        </w:tc>
        <w:tc>
          <w:tcPr/>
          <w:p>
            <w:pPr>
              <w:pStyle w:val="Compact"/>
              <w:jc w:val="left"/>
            </w:pPr>
            <w:r>
              <w:t xml:space="preserve">4.43 / 4.49 / 4.60%</w:t>
            </w:r>
          </w:p>
        </w:tc>
        <w:tc>
          <w:tcPr/>
          <w:p>
            <w:pPr>
              <w:pStyle w:val="Compact"/>
              <w:jc w:val="left"/>
            </w:pPr>
            <w:r>
              <w:t xml:space="preserve">3년 스프레드 68.0bp</w:t>
            </w:r>
          </w:p>
        </w:tc>
      </w:tr>
      <w:tr>
        <w:tc>
          <w:tcPr/>
          <w:p>
            <w:pPr>
              <w:pStyle w:val="Compact"/>
              <w:jc w:val="left"/>
            </w:pPr>
            <w:r>
              <w:t xml:space="preserve">회사채 AA+ 2·3·5년</w:t>
            </w:r>
          </w:p>
        </w:tc>
        <w:tc>
          <w:tcPr/>
          <w:p>
            <w:pPr>
              <w:pStyle w:val="Compact"/>
              <w:jc w:val="left"/>
            </w:pPr>
            <w:r>
              <w:t xml:space="preserve">4.35 / 4.40 / 4.43%</w:t>
            </w:r>
          </w:p>
        </w:tc>
        <w:tc>
          <w:tcPr/>
          <w:p>
            <w:pPr>
              <w:pStyle w:val="Compact"/>
              <w:jc w:val="left"/>
            </w:pPr>
            <w:r>
              <w:t xml:space="preserve">3년 스프레드 59.0bp</w:t>
            </w:r>
          </w:p>
        </w:tc>
      </w:tr>
      <w:tr>
        <w:tc>
          <w:tcPr/>
          <w:p>
            <w:pPr>
              <w:pStyle w:val="Compact"/>
              <w:jc w:val="left"/>
            </w:pPr>
            <w:r>
              <w:t xml:space="preserve">은행채 AAA / 특수채 AAA 3년</w:t>
            </w:r>
          </w:p>
        </w:tc>
        <w:tc>
          <w:tcPr/>
          <w:p>
            <w:pPr>
              <w:pStyle w:val="Compact"/>
              <w:jc w:val="left"/>
            </w:pPr>
            <w:r>
              <w:t xml:space="preserve">4.20 / 4.17%</w:t>
            </w:r>
          </w:p>
        </w:tc>
        <w:tc>
          <w:tcPr/>
          <w:p>
            <w:pPr>
              <w:pStyle w:val="Compact"/>
              <w:jc w:val="left"/>
            </w:pPr>
            <w:r>
              <w:t xml:space="preserve">스프레드 39.1 / 36.4bp</w:t>
            </w:r>
          </w:p>
        </w:tc>
      </w:tr>
      <w:tr>
        <w:tc>
          <w:tcPr/>
          <w:p>
            <w:pPr>
              <w:pStyle w:val="Compact"/>
              <w:jc w:val="left"/>
            </w:pPr>
            <w:r>
              <w:t xml:space="preserve">여전채 AA− 3년</w:t>
            </w:r>
          </w:p>
        </w:tc>
        <w:tc>
          <w:tcPr/>
          <w:p>
            <w:pPr>
              <w:pStyle w:val="Compact"/>
              <w:jc w:val="left"/>
            </w:pPr>
            <w:r>
              <w:t xml:space="preserve">4.55%</w:t>
            </w:r>
          </w:p>
        </w:tc>
        <w:tc>
          <w:tcPr/>
          <w:p>
            <w:pPr>
              <w:pStyle w:val="Compact"/>
              <w:jc w:val="left"/>
            </w:pPr>
            <w:r>
              <w:t xml:space="preserve">스프레드 74.4bp</w:t>
            </w:r>
          </w:p>
        </w:tc>
      </w:tr>
    </w:tbl>
    <w:p>
      <w:pPr>
        <w:numPr>
          <w:ilvl w:val="0"/>
          <w:numId w:val="1002"/>
        </w:numPr>
        <w:pStyle w:val="Compact"/>
      </w:pPr>
      <w:r>
        <w:t xml:space="preserve">[하우스] 신한은 내년 상반기까지 두 차례 추가 인상(최종 3.50%)을 유지한다. 최근 강세의 원인(수급 개선 기대·안전자산 선호·대외 금리 하락)은</w:t>
      </w:r>
      <w:r>
        <w:t xml:space="preserve"> </w:t>
      </w:r>
      <w:r>
        <w:t xml:space="preserve">“</w:t>
      </w:r>
      <w:r>
        <w:t xml:space="preserve">상당 부분 가격에 반영</w:t>
      </w:r>
      <w:r>
        <w:t xml:space="preserve">”</w:t>
      </w:r>
      <w:r>
        <w:t xml:space="preserve">됐다고 본다(</w:t>
      </w:r>
      <w:r>
        <w:rPr>
          <w:rStyle w:val="VerbatimChar"/>
        </w:rPr>
        <w:t xml:space="preserve">20261022_신한_10월금통위</w:t>
      </w:r>
      <w:r>
        <w:t xml:space="preserve"> </w:t>
      </w:r>
      <w:r>
        <w:t xml:space="preserve">p.1). 3분기 GDP·10월 CPI가 긴축 경계를 다시 자극할 수 있다고도 본다(</w:t>
      </w:r>
      <w:r>
        <w:rPr>
          <w:rStyle w:val="VerbatimChar"/>
        </w:rPr>
        <w:t xml:space="preserve">20261027_신한_WeeklyCreditMonitor</w:t>
      </w:r>
      <w:r>
        <w:t xml:space="preserve"> </w:t>
      </w:r>
      <w:r>
        <w:t xml:space="preserve">p.1).</w:t>
      </w:r>
    </w:p>
    <w:p>
      <w:pPr>
        <w:numPr>
          <w:ilvl w:val="0"/>
          <w:numId w:val="1002"/>
        </w:numPr>
        <w:pStyle w:val="Compact"/>
      </w:pPr>
      <w:r>
        <w:t xml:space="preserve">[판단] 신한 경로(11월 3.25%, 내년 상반기 3.50%)대로 가면 향후 1년 평균 정책금리는 약 3.35%다(추정). 통안 1년 3.57%는 이보다 22bp 높다. 즉 시장은 신한 경로에 프리미엄을 얹어 둔 상태다. 앞쪽 금리가 더 오르려면</w:t>
      </w:r>
      <w:r>
        <w:t xml:space="preserve"> </w:t>
      </w:r>
      <w:r>
        <w:rPr>
          <w:bCs/>
          <w:b/>
        </w:rPr>
        <w:t xml:space="preserve">최종금리 3.50% 초과</w:t>
      </w:r>
      <w:r>
        <w:t xml:space="preserve">(우리 Bear, 확률 0.25)가 필요하다.</w:t>
      </w:r>
    </w:p>
    <w:bookmarkEnd w:id="21"/>
    <w:bookmarkStart w:id="22" w:name="전문가-의견-검토"/>
    <w:p>
      <w:pPr>
        <w:pStyle w:val="Heading2"/>
      </w:pPr>
      <w:r>
        <w:t xml:space="preserve">2. 전문가 의견 검토</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전문가 주장</w:t>
            </w:r>
          </w:p>
        </w:tc>
        <w:tc>
          <w:tcPr/>
          <w:p>
            <w:pPr>
              <w:pStyle w:val="Compact"/>
              <w:jc w:val="left"/>
            </w:pPr>
            <w:r>
              <w:t xml:space="preserve">판정</w:t>
            </w:r>
          </w:p>
        </w:tc>
        <w:tc>
          <w:tcPr/>
          <w:p>
            <w:pPr>
              <w:pStyle w:val="Compact"/>
              <w:jc w:val="left"/>
            </w:pPr>
            <w:r>
              <w:t xml:space="preserve">근거</w:t>
            </w:r>
          </w:p>
        </w:tc>
      </w:tr>
      <w:tr>
        <w:tc>
          <w:tcPr/>
          <w:p>
            <w:pPr>
              <w:pStyle w:val="Compact"/>
              <w:jc w:val="left"/>
            </w:pPr>
            <w:r>
              <w:t xml:space="preserve">1</w:t>
            </w:r>
          </w:p>
        </w:tc>
        <w:tc>
          <w:tcPr/>
          <w:p>
            <w:pPr>
              <w:pStyle w:val="Compact"/>
              <w:jc w:val="left"/>
            </w:pPr>
            <w:r>
              <w:t xml:space="preserve">시장 구도 = 긴축적 펀더멘털 vs 우호적 수급</w:t>
            </w:r>
          </w:p>
        </w:tc>
        <w:tc>
          <w:tcPr/>
          <w:p>
            <w:pPr>
              <w:pStyle w:val="Compact"/>
              <w:jc w:val="left"/>
            </w:pPr>
            <w:r>
              <w:rPr>
                <w:bCs/>
                <w:b/>
              </w:rPr>
              <w:t xml:space="preserve">맞음</w:t>
            </w:r>
          </w:p>
        </w:tc>
        <w:tc>
          <w:tcPr/>
          <w:p>
            <w:pPr>
              <w:pStyle w:val="Compact"/>
              <w:jc w:val="left"/>
            </w:pPr>
            <w:r>
              <w:t xml:space="preserve">두 리포트의 핵심을 정확히 요약(금통위 p.1, 크레딧 p.1·p.3)</w:t>
            </w:r>
          </w:p>
        </w:tc>
      </w:tr>
      <w:tr>
        <w:tc>
          <w:tcPr/>
          <w:p>
            <w:pPr>
              <w:pStyle w:val="Compact"/>
              <w:jc w:val="left"/>
            </w:pPr>
            <w:r>
              <w:t xml:space="preserve">2</w:t>
            </w:r>
          </w:p>
        </w:tc>
        <w:tc>
          <w:tcPr/>
          <w:p>
            <w:pPr>
              <w:pStyle w:val="Compact"/>
              <w:jc w:val="left"/>
            </w:pPr>
            <w:r>
              <w:t xml:space="preserve">10월 국고 −5조원, 4분기 공적채권 59조원(−6조원), 은행 선제 조달, 2~3년물 수요 &gt; 5년물</w:t>
            </w:r>
          </w:p>
        </w:tc>
        <w:tc>
          <w:tcPr/>
          <w:p>
            <w:pPr>
              <w:pStyle w:val="Compact"/>
              <w:jc w:val="left"/>
            </w:pPr>
            <w:r>
              <w:rPr>
                <w:bCs/>
                <w:b/>
              </w:rPr>
              <w:t xml:space="preserve">맞음</w:t>
            </w:r>
          </w:p>
        </w:tc>
        <w:tc>
          <w:tcPr/>
          <w:p>
            <w:pPr>
              <w:pStyle w:val="Compact"/>
              <w:jc w:val="left"/>
            </w:pPr>
            <w:r>
              <w:t xml:space="preserve">크레딧 p.1, p.3, p.9. 리포트는 10월 추가 축소 검토까지 언급</w:t>
            </w:r>
          </w:p>
        </w:tc>
      </w:tr>
      <w:tr>
        <w:tc>
          <w:tcPr/>
          <w:p>
            <w:pPr>
              <w:pStyle w:val="Compact"/>
              <w:jc w:val="left"/>
            </w:pPr>
            <w:r>
              <w:t xml:space="preserve">3</w:t>
            </w:r>
          </w:p>
        </w:tc>
        <w:tc>
          <w:tcPr/>
          <w:p>
            <w:pPr>
              <w:pStyle w:val="Compact"/>
              <w:jc w:val="left"/>
            </w:pPr>
            <w:r>
              <w:t xml:space="preserve">가격표(3년 3.809, 10년 4.110, 30.1bp, AA− 4.49%·68bp)</w:t>
            </w:r>
          </w:p>
        </w:tc>
        <w:tc>
          <w:tcPr/>
          <w:p>
            <w:pPr>
              <w:pStyle w:val="Compact"/>
              <w:jc w:val="left"/>
            </w:pPr>
            <w:r>
              <w:rPr>
                <w:bCs/>
                <w:b/>
              </w:rPr>
              <w:t xml:space="preserve">맞음</w:t>
            </w:r>
          </w:p>
        </w:tc>
        <w:tc>
          <w:tcPr/>
          <w:p>
            <w:pPr>
              <w:pStyle w:val="Compact"/>
              <w:jc w:val="left"/>
            </w:pPr>
            <w:r>
              <w:t xml:space="preserve">p.2·p.3과 일치. 5년 3.959%는 리포트 표 3.96%와 같고, ECOS 수기 3.948%와 1bp 차이(출처 차이)</w:t>
            </w:r>
          </w:p>
        </w:tc>
      </w:tr>
      <w:tr>
        <w:tc>
          <w:tcPr/>
          <w:p>
            <w:pPr>
              <w:pStyle w:val="Compact"/>
              <w:jc w:val="left"/>
            </w:pPr>
            <w:r>
              <w:t xml:space="preserve">4</w:t>
            </w:r>
          </w:p>
        </w:tc>
        <w:tc>
          <w:tcPr/>
          <w:p>
            <w:pPr>
              <w:pStyle w:val="Compact"/>
              <w:jc w:val="left"/>
            </w:pPr>
            <w:r>
              <w:t xml:space="preserve">“</w:t>
            </w:r>
            <w:r>
              <w:t xml:space="preserve">인상 전망만으로 매도하면 안 되고, 반영된 기대 대비로 판단해야</w:t>
            </w:r>
            <w:r>
              <w:t xml:space="preserve">”</w:t>
            </w:r>
          </w:p>
        </w:tc>
        <w:tc>
          <w:tcPr/>
          <w:p>
            <w:pPr>
              <w:pStyle w:val="Compact"/>
              <w:jc w:val="left"/>
            </w:pPr>
            <w:r>
              <w:rPr>
                <w:bCs/>
                <w:b/>
              </w:rPr>
              <w:t xml:space="preserve">맞음 — 가장 중요한 지적</w:t>
            </w:r>
          </w:p>
        </w:tc>
        <w:tc>
          <w:tcPr/>
          <w:p>
            <w:pPr>
              <w:pStyle w:val="Compact"/>
              <w:jc w:val="left"/>
            </w:pPr>
            <w:r>
              <w:t xml:space="preserve">정량화하면 통안 1년이 신한 경로 평균보다 22bp 높음(1절)</w:t>
            </w:r>
          </w:p>
        </w:tc>
      </w:tr>
      <w:tr>
        <w:tc>
          <w:tcPr/>
          <w:p>
            <w:pPr>
              <w:pStyle w:val="Compact"/>
              <w:jc w:val="left"/>
            </w:pPr>
            <w:r>
              <w:t xml:space="preserve">5</w:t>
            </w:r>
          </w:p>
        </w:tc>
        <w:tc>
          <w:tcPr/>
          <w:p>
            <w:pPr>
              <w:pStyle w:val="Compact"/>
              <w:jc w:val="left"/>
            </w:pPr>
            <w:r>
              <w:t xml:space="preserve">한은 결정문이 추가 인상의 ’시기와 속도’를 결정하겠다는 입장 유지</w:t>
            </w:r>
          </w:p>
        </w:tc>
        <w:tc>
          <w:tcPr/>
          <w:p>
            <w:pPr>
              <w:pStyle w:val="Compact"/>
              <w:jc w:val="left"/>
            </w:pPr>
            <w:r>
              <w:rPr>
                <w:bCs/>
                <w:b/>
              </w:rPr>
              <w:t xml:space="preserve">맞음(2차 출처)</w:t>
            </w:r>
          </w:p>
        </w:tc>
        <w:tc>
          <w:tcPr/>
          <w:p>
            <w:pPr>
              <w:pStyle w:val="Compact"/>
              <w:jc w:val="left"/>
            </w:pPr>
            <w:r>
              <w:t xml:space="preserve">결정문 문구를 인용한 보도와 일치. 원문 대조는 못 함</w:t>
            </w:r>
          </w:p>
        </w:tc>
      </w:tr>
      <w:tr>
        <w:tc>
          <w:tcPr/>
          <w:p>
            <w:pPr>
              <w:pStyle w:val="Compact"/>
              <w:jc w:val="left"/>
            </w:pPr>
            <w:r>
              <w:t xml:space="preserve">6</w:t>
            </w:r>
          </w:p>
        </w:tc>
        <w:tc>
          <w:tcPr/>
          <w:p>
            <w:pPr>
              <w:pStyle w:val="Compact"/>
              <w:jc w:val="left"/>
            </w:pPr>
            <w:r>
              <w:t xml:space="preserve">3분기 GDP가 오늘 전기 대비 1.0%, 전년 대비 3.4%로 발표</w:t>
            </w:r>
          </w:p>
        </w:tc>
        <w:tc>
          <w:tcPr/>
          <w:p>
            <w:pPr>
              <w:pStyle w:val="Compact"/>
              <w:jc w:val="left"/>
            </w:pPr>
            <w:r>
              <w:rPr>
                <w:bCs/>
                <w:b/>
              </w:rPr>
              <w:t xml:space="preserve">미확인</w:t>
            </w:r>
          </w:p>
        </w:tc>
        <w:tc>
          <w:tcPr/>
          <w:p>
            <w:pPr>
              <w:pStyle w:val="Compact"/>
              <w:jc w:val="left"/>
            </w:pPr>
            <w:r>
              <w:t xml:space="preserve">검색으로 확인하지 못함(2분기는 0.6%, 3.7%). 사실이면 매파 재료라 앞쪽 금리에 부담. 자기소개서 관련 조언은 투자 판단과 별개</w:t>
            </w:r>
          </w:p>
        </w:tc>
      </w:tr>
      <w:tr>
        <w:tc>
          <w:tcPr/>
          <w:p>
            <w:pPr>
              <w:pStyle w:val="Compact"/>
              <w:jc w:val="left"/>
            </w:pPr>
            <w:r>
              <w:t xml:space="preserve">7</w:t>
            </w:r>
          </w:p>
        </w:tc>
        <w:tc>
          <w:tcPr/>
          <w:p>
            <w:pPr>
              <w:pStyle w:val="Compact"/>
              <w:jc w:val="left"/>
            </w:pPr>
            <w:r>
              <w:t xml:space="preserve">1~3개월 3년 매도·10년 매수 플래트너를 우선 검토</w:t>
            </w:r>
          </w:p>
        </w:tc>
        <w:tc>
          <w:tcPr/>
          <w:p>
            <w:pPr>
              <w:pStyle w:val="Compact"/>
              <w:jc w:val="left"/>
            </w:pPr>
            <w:r>
              <w:rPr>
                <w:bCs/>
                <w:b/>
              </w:rPr>
              <w:t xml:space="preserve">부분적으로 틀림</w:t>
            </w:r>
          </w:p>
        </w:tc>
        <w:tc>
          <w:tcPr/>
          <w:p>
            <w:pPr>
              <w:pStyle w:val="Compact"/>
              <w:jc w:val="left"/>
            </w:pPr>
            <w:r>
              <w:t xml:space="preserve">①</w:t>
            </w:r>
            <w:r>
              <w:t xml:space="preserve"> </w:t>
            </w:r>
            <w:r>
              <w:rPr>
                <w:bCs/>
                <w:b/>
              </w:rPr>
              <w:t xml:space="preserve">마이너스 캐리 누락</w:t>
            </w:r>
            <w:r>
              <w:t xml:space="preserve">: DV01 중립 기준 3개월 −3.1bp</w:t>
            </w:r>
            <w:r>
              <w:rPr>
                <w:iCs/>
                <w:i/>
              </w:rPr>
              <w:t xml:space="preserve">, 1년 −6.6bp</w:t>
            </w:r>
            <w:r>
              <w:t xml:space="preserve">. 기대 플래트닝 +5bp(우리 단기 전망)를 맞혀도 순이익이 약 +2bp. ② 1~3년 시나리오 기대값 −1.8bp(캐리 포함 −8.4bp*). Bear(글로벌 기간 프리미엄 상승, 3년 +45/10년 +55bp)의 스티프닝 확률이 25%. ③ 플래트닝 경로 중 ’위험회피 → 장기물 강세(불 플래트닝)’는 빠짐. 최근 강세의 실제 동인이 이것이었음(p.3)</w:t>
            </w:r>
          </w:p>
        </w:tc>
      </w:tr>
      <w:tr>
        <w:tc>
          <w:tcPr/>
          <w:p>
            <w:pPr>
              <w:pStyle w:val="Compact"/>
              <w:jc w:val="left"/>
            </w:pPr>
            <w:r>
              <w:t xml:space="preserve">8</w:t>
            </w:r>
          </w:p>
        </w:tc>
        <w:tc>
          <w:tcPr/>
          <w:p>
            <w:pPr>
              <w:pStyle w:val="Compact"/>
              <w:jc w:val="left"/>
            </w:pPr>
            <w:r>
              <w:t xml:space="preserve">국고 공급 축소가 10년물을 지지</w:t>
            </w:r>
          </w:p>
        </w:tc>
        <w:tc>
          <w:tcPr/>
          <w:p>
            <w:pPr>
              <w:pStyle w:val="Compact"/>
              <w:jc w:val="left"/>
            </w:pPr>
            <w:r>
              <w:rPr>
                <w:bCs/>
                <w:b/>
              </w:rPr>
              <w:t xml:space="preserve">근거 약함</w:t>
            </w:r>
          </w:p>
        </w:tc>
        <w:tc>
          <w:tcPr/>
          <w:p>
            <w:pPr>
              <w:pStyle w:val="Compact"/>
              <w:jc w:val="left"/>
            </w:pPr>
            <w:r>
              <w:t xml:space="preserve">리포트는 공급 축소를 ’</w:t>
            </w:r>
            <w:r>
              <w:rPr>
                <w:bCs/>
                <w:b/>
              </w:rPr>
              <w:t xml:space="preserve">초우량물(공사채·은행채) 약세 압력 둔화</w:t>
            </w:r>
            <w:r>
              <w:t xml:space="preserve">’로 연결함(p.1). 금통위 리포트는 수급 기대가 ’상당 부분 반영’됐다고 봄. 만기별 축소 내역은 공개되지 않음. 주간 국채 순매수의 주체는 외국인(3.66조원)이었고, 보험사는 국고채를 1,904억원 순매도함. 보험사의 20년 이상 순매수 3,200억원은 국고채가 아니라 크레딧채임(p.7). 외국인 수요는 환율에 따라 되돌려질 수 있음</w:t>
            </w:r>
          </w:p>
        </w:tc>
      </w:tr>
      <w:tr>
        <w:tc>
          <w:tcPr/>
          <w:p>
            <w:pPr>
              <w:pStyle w:val="Compact"/>
              <w:jc w:val="left"/>
            </w:pPr>
            <w:r>
              <w:t xml:space="preserve">9</w:t>
            </w:r>
          </w:p>
        </w:tc>
        <w:tc>
          <w:tcPr/>
          <w:p>
            <w:pPr>
              <w:pStyle w:val="Compact"/>
              <w:jc w:val="left"/>
            </w:pPr>
            <w:r>
              <w:t xml:space="preserve">장기채 공격적 순매수 보류</w:t>
            </w:r>
          </w:p>
        </w:tc>
        <w:tc>
          <w:tcPr/>
          <w:p>
            <w:pPr>
              <w:pStyle w:val="Compact"/>
              <w:jc w:val="left"/>
            </w:pPr>
            <w:r>
              <w:rPr>
                <w:bCs/>
                <w:b/>
              </w:rPr>
              <w:t xml:space="preserve">맞음(총수익 펀드 기준)</w:t>
            </w:r>
          </w:p>
        </w:tc>
        <w:tc>
          <w:tcPr/>
          <w:p>
            <w:pPr>
              <w:pStyle w:val="Compact"/>
              <w:jc w:val="left"/>
            </w:pPr>
            <w:r>
              <w:t xml:space="preserve">10년 기대/변동성 0.17로 만기 중 최저(3절). 단, 금리 하락에 약한 생보 ALM에는 해당하지 않음(5절)</w:t>
            </w:r>
          </w:p>
        </w:tc>
      </w:tr>
      <w:tr>
        <w:tc>
          <w:tcPr/>
          <w:p>
            <w:pPr>
              <w:pStyle w:val="Compact"/>
              <w:jc w:val="left"/>
            </w:pPr>
            <w:r>
              <w:t xml:space="preserve">10</w:t>
            </w:r>
          </w:p>
        </w:tc>
        <w:tc>
          <w:tcPr/>
          <w:p>
            <w:pPr>
              <w:pStyle w:val="Compact"/>
              <w:jc w:val="left"/>
            </w:pPr>
            <w:r>
              <w:t xml:space="preserve">3–5–10 플라이는 근거 부족</w:t>
            </w:r>
          </w:p>
        </w:tc>
        <w:tc>
          <w:tcPr/>
          <w:p>
            <w:pPr>
              <w:pStyle w:val="Compact"/>
              <w:jc w:val="left"/>
            </w:pPr>
            <w:r>
              <w:rPr>
                <w:bCs/>
                <w:b/>
              </w:rPr>
              <w:t xml:space="preserve">맞음</w:t>
            </w:r>
          </w:p>
        </w:tc>
        <w:tc>
          <w:tcPr/>
          <w:p>
            <w:pPr>
              <w:pStyle w:val="Compact"/>
              <w:jc w:val="left"/>
            </w:pPr>
            <w:r>
              <w:t xml:space="preserve">플라이 0.1bp로 과거 분포 없이는 판단 불가. 다만 3–5년 기울기(7.5bp/년)가 가장 가팔라, 플라이가 아닌 ’</w:t>
            </w:r>
            <w:r>
              <w:rPr>
                <w:bCs/>
                <w:b/>
              </w:rPr>
              <w:t xml:space="preserve">벨리 비중</w:t>
            </w:r>
            <w:r>
              <w:t xml:space="preserve">’으로는 근거가 있음</w:t>
            </w:r>
          </w:p>
        </w:tc>
      </w:tr>
      <w:tr>
        <w:tc>
          <w:tcPr/>
          <w:p>
            <w:pPr>
              <w:pStyle w:val="Compact"/>
              <w:jc w:val="left"/>
            </w:pPr>
            <w:r>
              <w:t xml:space="preserve">11</w:t>
            </w:r>
          </w:p>
        </w:tc>
        <w:tc>
          <w:tcPr/>
          <w:p>
            <w:pPr>
              <w:pStyle w:val="Compact"/>
              <w:jc w:val="left"/>
            </w:pPr>
            <w:r>
              <w:t xml:space="preserve">회사채 AA 이상, 2년 중심·3년 선별</w:t>
            </w:r>
          </w:p>
        </w:tc>
        <w:tc>
          <w:tcPr/>
          <w:p>
            <w:pPr>
              <w:pStyle w:val="Compact"/>
              <w:jc w:val="left"/>
            </w:pPr>
            <w:r>
              <w:rPr>
                <w:bCs/>
                <w:b/>
              </w:rPr>
              <w:t xml:space="preserve">맞음, 근거 보강 필요</w:t>
            </w:r>
          </w:p>
        </w:tc>
        <w:tc>
          <w:tcPr/>
          <w:p>
            <w:pPr>
              <w:pStyle w:val="Compact"/>
              <w:jc w:val="left"/>
            </w:pPr>
            <w:r>
              <w:t xml:space="preserve">3→5년 연장 수익 11bp는 국고 3→5년 15.1bp보다 작음 → 신용스프레드 자체가 −4.3bp(AA−), −11.9bp(AA+) 축소. 5년 회사채는 신용 보상이 음(−). 2년 스프레드는 통안 대비라 3년과 기준이 다름</w:t>
            </w:r>
          </w:p>
        </w:tc>
      </w:tr>
      <w:tr>
        <w:tc>
          <w:tcPr/>
          <w:p>
            <w:pPr>
              <w:pStyle w:val="Compact"/>
              <w:jc w:val="left"/>
            </w:pPr>
            <w:r>
              <w:t xml:space="preserve">12</w:t>
            </w:r>
          </w:p>
        </w:tc>
        <w:tc>
          <w:tcPr/>
          <w:p>
            <w:pPr>
              <w:pStyle w:val="Compact"/>
              <w:jc w:val="left"/>
            </w:pPr>
            <w:r>
              <w:t xml:space="preserve">후보: KCC·LG유플러스·LS일렉트릭</w:t>
            </w:r>
          </w:p>
        </w:tc>
        <w:tc>
          <w:tcPr/>
          <w:p>
            <w:pPr>
              <w:pStyle w:val="Compact"/>
              <w:jc w:val="left"/>
            </w:pPr>
            <w:r>
              <w:rPr>
                <w:bCs/>
                <w:b/>
              </w:rPr>
              <w:t xml:space="preserve">부분적으로 맞음</w:t>
            </w:r>
          </w:p>
        </w:tc>
        <w:tc>
          <w:tcPr/>
          <w:p>
            <w:pPr>
              <w:pStyle w:val="Compact"/>
              <w:jc w:val="left"/>
            </w:pPr>
            <w:r>
              <w:t xml:space="preserve">LG유플러스 AA+(p.6), LS일렉트릭 AA−·긍정적(3사 모두, p.12) 확인. KCC의 재무융통성 근거인 상장지분 약 10조원(p.10)은 주가에 연동돼 경기 하강기에 같이 약해짐(우리 Bear KOSPI −20%). EBITDA/이자비용 3.7배 → 2.1배는 미확인</w:t>
            </w:r>
          </w:p>
        </w:tc>
      </w:tr>
      <w:tr>
        <w:tc>
          <w:tcPr/>
          <w:p>
            <w:pPr>
              <w:pStyle w:val="Compact"/>
              <w:jc w:val="left"/>
            </w:pPr>
            <w:r>
              <w:t xml:space="preserve">13</w:t>
            </w:r>
          </w:p>
        </w:tc>
        <w:tc>
          <w:tcPr/>
          <w:p>
            <w:pPr>
              <w:pStyle w:val="Compact"/>
              <w:jc w:val="left"/>
            </w:pPr>
            <w:r>
              <w:t xml:space="preserve">“</w:t>
            </w:r>
            <w:r>
              <w:t xml:space="preserve">오늘 KCC 수요예측 2,000억원에 1조3,800억원, 2·3년 민평 −9bp</w:t>
            </w:r>
            <w:r>
              <w:t xml:space="preserve">”</w:t>
            </w:r>
          </w:p>
        </w:tc>
        <w:tc>
          <w:tcPr/>
          <w:p>
            <w:pPr>
              <w:pStyle w:val="Compact"/>
              <w:jc w:val="left"/>
            </w:pPr>
            <w:r>
              <w:rPr>
                <w:bCs/>
                <w:b/>
              </w:rPr>
              <w:t xml:space="preserve">미확인 — 혼동 가능성</w:t>
            </w:r>
          </w:p>
        </w:tc>
        <w:tc>
          <w:tcPr/>
          <w:p>
            <w:pPr>
              <w:pStyle w:val="Compact"/>
              <w:jc w:val="left"/>
            </w:pPr>
            <w:r>
              <w:t xml:space="preserve">10/27 결과는 확인하지 못함. 같은 구조(2년 800·3년 1,200억원)의 2026년 7월 KCC 수요예측 주문이 1조3,850억원으로 보도됨 → 7월 결과와 섞였을 가능성. 인용 전 확인 필요</w:t>
            </w:r>
          </w:p>
        </w:tc>
      </w:tr>
      <w:tr>
        <w:tc>
          <w:tcPr/>
          <w:p>
            <w:pPr>
              <w:pStyle w:val="Compact"/>
              <w:jc w:val="left"/>
            </w:pPr>
            <w:r>
              <w:t xml:space="preserve">14</w:t>
            </w:r>
          </w:p>
        </w:tc>
        <w:tc>
          <w:tcPr/>
          <w:p>
            <w:pPr>
              <w:pStyle w:val="Compact"/>
              <w:jc w:val="left"/>
            </w:pPr>
            <w:r>
              <w:t xml:space="preserve">SK렌터카 배당 부담, 신종자본증권 구분</w:t>
            </w:r>
          </w:p>
        </w:tc>
        <w:tc>
          <w:tcPr/>
          <w:p>
            <w:pPr>
              <w:pStyle w:val="Compact"/>
              <w:jc w:val="left"/>
            </w:pPr>
            <w:r>
              <w:rPr>
                <w:bCs/>
                <w:b/>
              </w:rPr>
              <w:t xml:space="preserve">맞음</w:t>
            </w:r>
          </w:p>
        </w:tc>
        <w:tc>
          <w:tcPr/>
          <w:p>
            <w:pPr>
              <w:pStyle w:val="Compact"/>
              <w:jc w:val="left"/>
            </w:pPr>
            <w:r>
              <w:t xml:space="preserve">p.10. 하나금융 신종 4.730%(99NC5)는 AA− 5년 선순위 4.60%보다 13bp 높을 뿐 → 후순위·콜 연장 위험 대비 보상 부족</w:t>
            </w:r>
          </w:p>
        </w:tc>
      </w:tr>
      <w:tr>
        <w:tc>
          <w:tcPr/>
          <w:p>
            <w:pPr>
              <w:pStyle w:val="Compact"/>
              <w:jc w:val="left"/>
            </w:pPr>
            <w:r>
              <w:t xml:space="preserve">15</w:t>
            </w:r>
          </w:p>
        </w:tc>
        <w:tc>
          <w:tcPr/>
          <w:p>
            <w:pPr>
              <w:pStyle w:val="Compact"/>
              <w:jc w:val="left"/>
            </w:pPr>
            <w:r>
              <w:t xml:space="preserve">국고 +20bp·스프레드 −5bp → 회사채 +15bp, 국채선물 헤지</w:t>
            </w:r>
          </w:p>
        </w:tc>
        <w:tc>
          <w:tcPr/>
          <w:p>
            <w:pPr>
              <w:pStyle w:val="Compact"/>
              <w:jc w:val="left"/>
            </w:pPr>
            <w:r>
              <w:rPr>
                <w:bCs/>
                <w:b/>
              </w:rPr>
              <w:t xml:space="preserve">맞음</w:t>
            </w:r>
          </w:p>
        </w:tc>
        <w:tc>
          <w:tcPr/>
          <w:p>
            <w:pPr>
              <w:pStyle w:val="Compact"/>
              <w:jc w:val="left"/>
            </w:pPr>
            <w:r>
              <w:t xml:space="preserve">산술·실무 모두 타당</w:t>
            </w:r>
          </w:p>
        </w:tc>
      </w:tr>
      <w:tr>
        <w:tc>
          <w:tcPr/>
          <w:p>
            <w:pPr>
              <w:pStyle w:val="Compact"/>
              <w:jc w:val="left"/>
            </w:pPr>
            <w:r>
              <w:t xml:space="preserve">—</w:t>
            </w:r>
          </w:p>
        </w:tc>
        <w:tc>
          <w:tcPr/>
          <w:p>
            <w:pPr>
              <w:pStyle w:val="Compact"/>
              <w:jc w:val="left"/>
            </w:pPr>
            <w:r>
              <w:t xml:space="preserve">(누락) 섹터 배분</w:t>
            </w:r>
          </w:p>
        </w:tc>
        <w:tc>
          <w:tcPr/>
          <w:p>
            <w:pPr>
              <w:pStyle w:val="Compact"/>
              <w:jc w:val="left"/>
            </w:pPr>
            <w:r>
              <w:rPr>
                <w:bCs/>
                <w:b/>
              </w:rPr>
              <w:t xml:space="preserve">보완</w:t>
            </w:r>
          </w:p>
        </w:tc>
        <w:tc>
          <w:tcPr/>
          <w:p>
            <w:pPr>
              <w:pStyle w:val="Compact"/>
              <w:jc w:val="left"/>
            </w:pPr>
            <w:r>
              <w:t xml:space="preserve">은행채·공사채·여전채 비교가 없음. 공급 축소의 직접 수혜는 초우량물</w:t>
            </w:r>
          </w:p>
        </w:tc>
      </w:tr>
      <w:tr>
        <w:tc>
          <w:tcPr/>
          <w:p>
            <w:pPr>
              <w:pStyle w:val="Compact"/>
              <w:jc w:val="left"/>
            </w:pPr>
            <w:r>
              <w:t xml:space="preserve">—</w:t>
            </w:r>
          </w:p>
        </w:tc>
        <w:tc>
          <w:tcPr/>
          <w:p>
            <w:pPr>
              <w:pStyle w:val="Compact"/>
              <w:jc w:val="left"/>
            </w:pPr>
            <w:r>
              <w:t xml:space="preserve">(누락) 연체율</w:t>
            </w:r>
          </w:p>
        </w:tc>
        <w:tc>
          <w:tcPr/>
          <w:p>
            <w:pPr>
              <w:pStyle w:val="Compact"/>
              <w:jc w:val="left"/>
            </w:pPr>
            <w:r>
              <w:rPr>
                <w:bCs/>
                <w:b/>
              </w:rPr>
              <w:t xml:space="preserve">보완</w:t>
            </w:r>
          </w:p>
        </w:tc>
        <w:tc>
          <w:tcPr/>
          <w:p>
            <w:pPr>
              <w:pStyle w:val="Compact"/>
              <w:jc w:val="left"/>
            </w:pPr>
            <w:r>
              <w:t xml:space="preserve">8월 은행 연체율 0.69%(+0.06%p), 중소기업 1.00%, 신용대출 등 0.91%(p.1) → A급 이하·하위 캐피탈 회피 근거</w:t>
            </w:r>
          </w:p>
        </w:tc>
      </w:tr>
      <w:tr>
        <w:tc>
          <w:tcPr/>
          <w:p>
            <w:pPr>
              <w:pStyle w:val="Compact"/>
              <w:jc w:val="left"/>
            </w:pPr>
            <w:r>
              <w:t xml:space="preserve">—</w:t>
            </w:r>
          </w:p>
        </w:tc>
        <w:tc>
          <w:tcPr/>
          <w:p>
            <w:pPr>
              <w:pStyle w:val="Compact"/>
              <w:jc w:val="left"/>
            </w:pPr>
            <w:r>
              <w:t xml:space="preserve">(누락) 스프레드 손익분기</w:t>
            </w:r>
          </w:p>
        </w:tc>
        <w:tc>
          <w:tcPr/>
          <w:p>
            <w:pPr>
              <w:pStyle w:val="Compact"/>
              <w:jc w:val="left"/>
            </w:pPr>
            <w:r>
              <w:rPr>
                <w:bCs/>
                <w:b/>
              </w:rPr>
              <w:t xml:space="preserve">보완</w:t>
            </w:r>
          </w:p>
        </w:tc>
        <w:tc>
          <w:tcPr/>
          <w:p>
            <w:pPr>
              <w:pStyle w:val="Compact"/>
              <w:jc w:val="left"/>
            </w:pPr>
            <w:r>
              <w:t xml:space="preserve">AA− 3년 35.8bp</w:t>
            </w:r>
            <w:r>
              <w:rPr>
                <w:iCs/>
                <w:i/>
              </w:rPr>
              <w:t xml:space="preserve">, AA+ 31.1bp</w:t>
            </w:r>
            <w:r>
              <w:t xml:space="preserve">. 우리 Bear(+30bp)에서도 국고 대비 플러스</w:t>
            </w:r>
          </w:p>
        </w:tc>
      </w:tr>
    </w:tbl>
    <w:bookmarkEnd w:id="22"/>
    <w:bookmarkStart w:id="26" w:name="국고채-전략"/>
    <w:p>
      <w:pPr>
        <w:pStyle w:val="Heading2"/>
      </w:pPr>
      <w:r>
        <w:t xml:space="preserve">3. 국고채 전략</w:t>
      </w:r>
    </w:p>
    <w:bookmarkStart w:id="23" w:name="만기별-1년-보유-초과수익-조달-3.40-대비-bp"/>
    <w:p>
      <w:pPr>
        <w:pStyle w:val="Heading3"/>
      </w:pPr>
      <w:r>
        <w:t xml:space="preserve">3-1. 만기별 1년 보유 초과수익 (조달 3.40% 대비, bp*)</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만기</w:t>
            </w:r>
          </w:p>
        </w:tc>
        <w:tc>
          <w:tcPr/>
          <w:p>
            <w:pPr>
              <w:pStyle w:val="Compact"/>
              <w:jc w:val="left"/>
            </w:pPr>
            <w:r>
              <w:t xml:space="preserve">캐리+롤다운</w:t>
            </w:r>
          </w:p>
        </w:tc>
        <w:tc>
          <w:tcPr/>
          <w:p>
            <w:pPr>
              <w:pStyle w:val="Compact"/>
              <w:jc w:val="left"/>
            </w:pPr>
            <w:r>
              <w:t xml:space="preserve">Base (0.45)</w:t>
            </w:r>
          </w:p>
        </w:tc>
        <w:tc>
          <w:tcPr/>
          <w:p>
            <w:pPr>
              <w:pStyle w:val="Compact"/>
              <w:jc w:val="left"/>
            </w:pPr>
            <w:r>
              <w:t xml:space="preserve">Bull (0.30)</w:t>
            </w:r>
          </w:p>
        </w:tc>
        <w:tc>
          <w:tcPr/>
          <w:p>
            <w:pPr>
              <w:pStyle w:val="Compact"/>
              <w:jc w:val="left"/>
            </w:pPr>
            <w:r>
              <w:t xml:space="preserve">Bear (0.25)</w:t>
            </w:r>
          </w:p>
        </w:tc>
        <w:tc>
          <w:tcPr/>
          <w:p>
            <w:pPr>
              <w:pStyle w:val="Compact"/>
              <w:jc w:val="left"/>
            </w:pPr>
            <w:r>
              <w:t xml:space="preserve">기대값</w:t>
            </w:r>
          </w:p>
        </w:tc>
        <w:tc>
          <w:tcPr/>
          <w:p>
            <w:pPr>
              <w:pStyle w:val="Compact"/>
              <w:jc w:val="left"/>
            </w:pPr>
            <w:r>
              <w:t xml:space="preserve">변동성</w:t>
            </w:r>
          </w:p>
        </w:tc>
        <w:tc>
          <w:tcPr/>
          <w:p>
            <w:pPr>
              <w:pStyle w:val="Compact"/>
              <w:jc w:val="left"/>
            </w:pPr>
            <w:r>
              <w:t xml:space="preserve">기대/변동성</w:t>
            </w:r>
          </w:p>
        </w:tc>
      </w:tr>
      <w:tr>
        <w:tc>
          <w:tcPr/>
          <w:p>
            <w:pPr>
              <w:pStyle w:val="Compact"/>
              <w:jc w:val="left"/>
            </w:pPr>
            <w:r>
              <w:t xml:space="preserve">2년</w:t>
            </w:r>
          </w:p>
        </w:tc>
        <w:tc>
          <w:tcPr/>
          <w:p>
            <w:pPr>
              <w:pStyle w:val="Compact"/>
              <w:jc w:val="left"/>
            </w:pPr>
            <w:r>
              <w:t xml:space="preserve">54.0</w:t>
            </w:r>
          </w:p>
        </w:tc>
        <w:tc>
          <w:tcPr/>
          <w:p>
            <w:pPr>
              <w:pStyle w:val="Compact"/>
              <w:jc w:val="left"/>
            </w:pPr>
            <w:r>
              <w:t xml:space="preserve">25.5</w:t>
            </w:r>
          </w:p>
        </w:tc>
        <w:tc>
          <w:tcPr/>
          <w:p>
            <w:pPr>
              <w:pStyle w:val="Compact"/>
              <w:jc w:val="left"/>
            </w:pPr>
            <w:r>
              <w:t xml:space="preserve">149.0</w:t>
            </w:r>
          </w:p>
        </w:tc>
        <w:tc>
          <w:tcPr/>
          <w:p>
            <w:pPr>
              <w:pStyle w:val="Compact"/>
              <w:jc w:val="left"/>
            </w:pPr>
            <w:r>
              <w:t xml:space="preserve">−31.5</w:t>
            </w:r>
          </w:p>
        </w:tc>
        <w:tc>
          <w:tcPr/>
          <w:p>
            <w:pPr>
              <w:pStyle w:val="Compact"/>
              <w:jc w:val="left"/>
            </w:pPr>
            <w:r>
              <w:t xml:space="preserve">48.3</w:t>
            </w:r>
          </w:p>
        </w:tc>
        <w:tc>
          <w:tcPr/>
          <w:p>
            <w:pPr>
              <w:pStyle w:val="Compact"/>
              <w:jc w:val="left"/>
            </w:pPr>
            <w:r>
              <w:t xml:space="preserve">69.8</w:t>
            </w:r>
          </w:p>
        </w:tc>
        <w:tc>
          <w:tcPr/>
          <w:p>
            <w:pPr>
              <w:pStyle w:val="Compact"/>
              <w:jc w:val="left"/>
            </w:pPr>
            <w:r>
              <w:rPr>
                <w:bCs/>
                <w:b/>
              </w:rPr>
              <w:t xml:space="preserve">0.69</w:t>
            </w:r>
          </w:p>
        </w:tc>
      </w:tr>
      <w:tr>
        <w:tc>
          <w:tcPr/>
          <w:p>
            <w:pPr>
              <w:pStyle w:val="Compact"/>
              <w:jc w:val="left"/>
            </w:pPr>
            <w:r>
              <w:t xml:space="preserve">3년</w:t>
            </w:r>
          </w:p>
        </w:tc>
        <w:tc>
          <w:tcPr/>
          <w:p>
            <w:pPr>
              <w:pStyle w:val="Compact"/>
              <w:jc w:val="left"/>
            </w:pPr>
            <w:r>
              <w:t xml:space="preserve">50.0</w:t>
            </w:r>
          </w:p>
        </w:tc>
        <w:tc>
          <w:tcPr/>
          <w:p>
            <w:pPr>
              <w:pStyle w:val="Compact"/>
              <w:jc w:val="left"/>
            </w:pPr>
            <w:r>
              <w:t xml:space="preserve">8.0</w:t>
            </w:r>
          </w:p>
        </w:tc>
        <w:tc>
          <w:tcPr/>
          <w:p>
            <w:pPr>
              <w:pStyle w:val="Compact"/>
              <w:jc w:val="left"/>
            </w:pPr>
            <w:r>
              <w:t xml:space="preserve">190.0</w:t>
            </w:r>
          </w:p>
        </w:tc>
        <w:tc>
          <w:tcPr/>
          <w:p>
            <w:pPr>
              <w:pStyle w:val="Compact"/>
              <w:jc w:val="left"/>
            </w:pPr>
            <w:r>
              <w:t xml:space="preserve">−76.0</w:t>
            </w:r>
          </w:p>
        </w:tc>
        <w:tc>
          <w:tcPr/>
          <w:p>
            <w:pPr>
              <w:pStyle w:val="Compact"/>
              <w:jc w:val="left"/>
            </w:pPr>
            <w:r>
              <w:t xml:space="preserve">41.6</w:t>
            </w:r>
          </w:p>
        </w:tc>
        <w:tc>
          <w:tcPr/>
          <w:p>
            <w:pPr>
              <w:pStyle w:val="Compact"/>
              <w:jc w:val="left"/>
            </w:pPr>
            <w:r>
              <w:t xml:space="preserve">102.8</w:t>
            </w:r>
          </w:p>
        </w:tc>
        <w:tc>
          <w:tcPr/>
          <w:p>
            <w:pPr>
              <w:pStyle w:val="Compact"/>
              <w:jc w:val="left"/>
            </w:pPr>
            <w:r>
              <w:t xml:space="preserve">0.40</w:t>
            </w:r>
          </w:p>
        </w:tc>
      </w:tr>
      <w:tr>
        <w:tc>
          <w:tcPr/>
          <w:p>
            <w:pPr>
              <w:pStyle w:val="Compact"/>
              <w:jc w:val="left"/>
            </w:pPr>
            <w:r>
              <w:t xml:space="preserve">5년</w:t>
            </w:r>
          </w:p>
        </w:tc>
        <w:tc>
          <w:tcPr/>
          <w:p>
            <w:pPr>
              <w:pStyle w:val="Compact"/>
              <w:jc w:val="left"/>
            </w:pPr>
            <w:r>
              <w:t xml:space="preserve">83.2</w:t>
            </w:r>
          </w:p>
        </w:tc>
        <w:tc>
          <w:tcPr/>
          <w:p>
            <w:pPr>
              <w:pStyle w:val="Compact"/>
              <w:jc w:val="left"/>
            </w:pPr>
            <w:r>
              <w:t xml:space="preserve">22.1</w:t>
            </w:r>
          </w:p>
        </w:tc>
        <w:tc>
          <w:tcPr/>
          <w:p>
            <w:pPr>
              <w:pStyle w:val="Compact"/>
              <w:jc w:val="left"/>
            </w:pPr>
            <w:r>
              <w:t xml:space="preserve">301.8</w:t>
            </w:r>
          </w:p>
        </w:tc>
        <w:tc>
          <w:tcPr/>
          <w:p>
            <w:pPr>
              <w:pStyle w:val="Compact"/>
              <w:jc w:val="left"/>
            </w:pPr>
            <w:r>
              <w:t xml:space="preserve">−132.2</w:t>
            </w:r>
          </w:p>
        </w:tc>
        <w:tc>
          <w:tcPr/>
          <w:p>
            <w:pPr>
              <w:pStyle w:val="Compact"/>
              <w:jc w:val="left"/>
            </w:pPr>
            <w:r>
              <w:t xml:space="preserve">67.4</w:t>
            </w:r>
          </w:p>
        </w:tc>
        <w:tc>
          <w:tcPr/>
          <w:p>
            <w:pPr>
              <w:pStyle w:val="Compact"/>
              <w:jc w:val="left"/>
            </w:pPr>
            <w:r>
              <w:t xml:space="preserve">165.4</w:t>
            </w:r>
          </w:p>
        </w:tc>
        <w:tc>
          <w:tcPr/>
          <w:p>
            <w:pPr>
              <w:pStyle w:val="Compact"/>
              <w:jc w:val="left"/>
            </w:pPr>
            <w:r>
              <w:t xml:space="preserve">0.41</w:t>
            </w:r>
          </w:p>
        </w:tc>
      </w:tr>
      <w:tr>
        <w:tc>
          <w:tcPr/>
          <w:p>
            <w:pPr>
              <w:pStyle w:val="Compact"/>
              <w:jc w:val="left"/>
            </w:pPr>
            <w:r>
              <w:t xml:space="preserve">10년</w:t>
            </w:r>
          </w:p>
        </w:tc>
        <w:tc>
          <w:tcPr/>
          <w:p>
            <w:pPr>
              <w:pStyle w:val="Compact"/>
              <w:jc w:val="left"/>
            </w:pPr>
            <w:r>
              <w:t xml:space="preserve">93.4</w:t>
            </w:r>
          </w:p>
        </w:tc>
        <w:tc>
          <w:tcPr/>
          <w:p>
            <w:pPr>
              <w:pStyle w:val="Compact"/>
              <w:jc w:val="left"/>
            </w:pPr>
            <w:r>
              <w:t xml:space="preserve">10.4</w:t>
            </w:r>
          </w:p>
        </w:tc>
        <w:tc>
          <w:tcPr/>
          <w:p>
            <w:pPr>
              <w:pStyle w:val="Compact"/>
              <w:jc w:val="left"/>
            </w:pPr>
            <w:r>
              <w:t xml:space="preserve">466.9</w:t>
            </w:r>
          </w:p>
        </w:tc>
        <w:tc>
          <w:tcPr/>
          <w:p>
            <w:pPr>
              <w:pStyle w:val="Compact"/>
              <w:jc w:val="left"/>
            </w:pPr>
            <w:r>
              <w:t xml:space="preserve">−363.1</w:t>
            </w:r>
          </w:p>
        </w:tc>
        <w:tc>
          <w:tcPr/>
          <w:p>
            <w:pPr>
              <w:pStyle w:val="Compact"/>
              <w:jc w:val="left"/>
            </w:pPr>
            <w:r>
              <w:t xml:space="preserve">54.0</w:t>
            </w:r>
          </w:p>
        </w:tc>
        <w:tc>
          <w:tcPr/>
          <w:p>
            <w:pPr>
              <w:pStyle w:val="Compact"/>
              <w:jc w:val="left"/>
            </w:pPr>
            <w:r>
              <w:t xml:space="preserve">309.0</w:t>
            </w:r>
          </w:p>
        </w:tc>
        <w:tc>
          <w:tcPr/>
          <w:p>
            <w:pPr>
              <w:pStyle w:val="Compact"/>
              <w:jc w:val="left"/>
            </w:pPr>
            <w:r>
              <w:t xml:space="preserve">0.17</w:t>
            </w:r>
          </w:p>
        </w:tc>
      </w:tr>
    </w:tbl>
    <w:p>
      <w:pPr>
        <w:numPr>
          <w:ilvl w:val="0"/>
          <w:numId w:val="1003"/>
        </w:numPr>
        <w:pStyle w:val="Compact"/>
      </w:pPr>
      <w:r>
        <w:t xml:space="preserve">[판단] 모든 만기의 기대 초과수익은 플러스다. 그래서 금리 레벨 자체가</w:t>
      </w:r>
      <w:r>
        <w:t xml:space="preserve"> </w:t>
      </w:r>
      <w:r>
        <w:t xml:space="preserve">‘</w:t>
      </w:r>
      <w:r>
        <w:t xml:space="preserve">매도</w:t>
      </w:r>
      <w:r>
        <w:t xml:space="preserve">’</w:t>
      </w:r>
      <w:r>
        <w:t xml:space="preserve"> </w:t>
      </w:r>
      <w:r>
        <w:t xml:space="preserve">구간은 아니다. 다만 위험 단위당 보상은 2~5년이 10년의 2~4배다. 장기물은 Bull(인하 전환) 아니면 손해가 큰 비대칭이다.</w:t>
      </w:r>
    </w:p>
    <w:bookmarkEnd w:id="23"/>
    <w:bookmarkStart w:id="24" w:name="커브-포지션-비교-dv01-중립-커브-bp"/>
    <w:p>
      <w:pPr>
        <w:pStyle w:val="Heading3"/>
      </w:pPr>
      <w:r>
        <w:t xml:space="preserve">3-2. 커브 포지션 비교 (DV01 중립, 커브 bp*)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포지션</w:t>
            </w:r>
          </w:p>
        </w:tc>
        <w:tc>
          <w:tcPr/>
          <w:p>
            <w:pPr>
              <w:pStyle w:val="Compact"/>
              <w:jc w:val="left"/>
            </w:pPr>
            <w:r>
              <w:t xml:space="preserve">캐리+롤 3개월</w:t>
            </w:r>
          </w:p>
        </w:tc>
        <w:tc>
          <w:tcPr/>
          <w:p>
            <w:pPr>
              <w:pStyle w:val="Compact"/>
              <w:jc w:val="left"/>
            </w:pPr>
            <w:r>
              <w:t xml:space="preserve">캐리+롤 1년</w:t>
            </w:r>
          </w:p>
        </w:tc>
        <w:tc>
          <w:tcPr/>
          <w:p>
            <w:pPr>
              <w:pStyle w:val="Compact"/>
              <w:jc w:val="left"/>
            </w:pPr>
            <w:r>
              <w:t xml:space="preserve">단기 전망(3~6개월)</w:t>
            </w:r>
          </w:p>
        </w:tc>
        <w:tc>
          <w:tcPr/>
          <w:p>
            <w:pPr>
              <w:pStyle w:val="Compact"/>
              <w:jc w:val="left"/>
            </w:pPr>
            <w:r>
              <w:t xml:space="preserve">1~3년 시나리오 (Base / Bull / Bear)</w:t>
            </w:r>
          </w:p>
        </w:tc>
        <w:tc>
          <w:tcPr/>
          <w:p>
            <w:pPr>
              <w:pStyle w:val="Compact"/>
              <w:jc w:val="left"/>
            </w:pPr>
            <w:r>
              <w:t xml:space="preserve">1년 기대 합계</w:t>
            </w:r>
          </w:p>
        </w:tc>
      </w:tr>
      <w:tr>
        <w:tc>
          <w:tcPr/>
          <w:p>
            <w:pPr>
              <w:pStyle w:val="Compact"/>
              <w:jc w:val="left"/>
            </w:pPr>
            <w:r>
              <w:t xml:space="preserve">3s10s 플래트너 (전문가)</w:t>
            </w:r>
          </w:p>
        </w:tc>
        <w:tc>
          <w:tcPr/>
          <w:p>
            <w:pPr>
              <w:pStyle w:val="Compact"/>
              <w:jc w:val="left"/>
            </w:pPr>
            <w:r>
              <w:t xml:space="preserve">−3.1</w:t>
            </w:r>
          </w:p>
        </w:tc>
        <w:tc>
          <w:tcPr/>
          <w:p>
            <w:pPr>
              <w:pStyle w:val="Compact"/>
              <w:jc w:val="left"/>
            </w:pPr>
            <w:r>
              <w:t xml:space="preserve">−6.6</w:t>
            </w:r>
          </w:p>
        </w:tc>
        <w:tc>
          <w:tcPr/>
          <w:p>
            <w:pPr>
              <w:pStyle w:val="Compact"/>
              <w:jc w:val="left"/>
            </w:pPr>
            <w:r>
              <w:t xml:space="preserve">+5.0</w:t>
            </w:r>
          </w:p>
        </w:tc>
        <w:tc>
          <w:tcPr/>
          <w:p>
            <w:pPr>
              <w:pStyle w:val="Compact"/>
              <w:jc w:val="left"/>
            </w:pPr>
            <w:r>
              <w:t xml:space="preserve">+5.0 / −5.0 / −10.0</w:t>
            </w:r>
          </w:p>
        </w:tc>
        <w:tc>
          <w:tcPr/>
          <w:p>
            <w:pPr>
              <w:pStyle w:val="Compact"/>
              <w:jc w:val="left"/>
            </w:pPr>
            <w:r>
              <w:rPr>
                <w:bCs/>
                <w:b/>
              </w:rPr>
              <w:t xml:space="preserve">−8.4</w:t>
            </w:r>
          </w:p>
        </w:tc>
      </w:tr>
      <w:tr>
        <w:tc>
          <w:tcPr/>
          <w:p>
            <w:pPr>
              <w:pStyle w:val="Compact"/>
              <w:jc w:val="left"/>
            </w:pPr>
            <w:r>
              <w:t xml:space="preserve">5s10s 스티프너 (대안)</w:t>
            </w:r>
          </w:p>
        </w:tc>
        <w:tc>
          <w:tcPr/>
          <w:p>
            <w:pPr>
              <w:pStyle w:val="Compact"/>
              <w:jc w:val="left"/>
            </w:pPr>
            <w:r>
              <w:t xml:space="preserve">+2.5</w:t>
            </w:r>
          </w:p>
        </w:tc>
        <w:tc>
          <w:tcPr/>
          <w:p>
            <w:pPr>
              <w:pStyle w:val="Compact"/>
              <w:jc w:val="left"/>
            </w:pPr>
            <w:r>
              <w:t xml:space="preserve">+7.2</w:t>
            </w:r>
          </w:p>
        </w:tc>
        <w:tc>
          <w:tcPr/>
          <w:p>
            <w:pPr>
              <w:pStyle w:val="Compact"/>
              <w:jc w:val="left"/>
            </w:pPr>
            <w:r>
              <w:t xml:space="preserve">−3.6</w:t>
            </w:r>
          </w:p>
        </w:tc>
        <w:tc>
          <w:tcPr/>
          <w:p>
            <w:pPr>
              <w:pStyle w:val="Compact"/>
              <w:jc w:val="left"/>
            </w:pPr>
            <w:r>
              <w:t xml:space="preserve">−3.6 / +3.6 / +7.1</w:t>
            </w:r>
          </w:p>
        </w:tc>
        <w:tc>
          <w:tcPr/>
          <w:p>
            <w:pPr>
              <w:pStyle w:val="Compact"/>
              <w:jc w:val="left"/>
            </w:pPr>
            <w:r>
              <w:rPr>
                <w:bCs/>
                <w:b/>
              </w:rPr>
              <w:t xml:space="preserve">+8.5</w:t>
            </w:r>
          </w:p>
        </w:tc>
      </w:tr>
    </w:tbl>
    <w:p>
      <w:pPr>
        <w:numPr>
          <w:ilvl w:val="0"/>
          <w:numId w:val="1004"/>
        </w:numPr>
        <w:pStyle w:val="Compact"/>
      </w:pPr>
      <w:r>
        <w:t xml:space="preserve">[판단] 플래트너는 앞쪽 금리가 조달금리보다 훨씬 높은(인상 선반영) 커브에서</w:t>
      </w:r>
      <w:r>
        <w:t xml:space="preserve"> </w:t>
      </w:r>
      <w:r>
        <w:rPr>
          <w:bCs/>
          <w:b/>
        </w:rPr>
        <w:t xml:space="preserve">들고 있는 것만으로 비용</w:t>
      </w:r>
      <w:r>
        <w:t xml:space="preserve">이 든다. 스티프너(5년 매수·10년 매도)는 반대로 캐리가 플러스이고, 해외 장기금리 급등(Bear)에서 이익이 난다. 단기(3~6개월)에는 우리 판단도 베어 플래트닝이다(3년 +10, 10년 +5bp). 그래서 스티프너는 첫 분기에 −3.6bp 손실 위험이 있지만, 3개월 캐리 +2.5bp가 대부분을 메운다.</w:t>
      </w:r>
    </w:p>
    <w:bookmarkEnd w:id="24"/>
    <w:bookmarkStart w:id="25" w:name="권고"/>
    <w:p>
      <w:pPr>
        <w:pStyle w:val="Heading3"/>
      </w:pPr>
      <w:r>
        <w:t xml:space="preserve">3-3. 권고</w:t>
      </w:r>
    </w:p>
    <w:p>
      <w:pPr>
        <w:numPr>
          <w:ilvl w:val="0"/>
          <w:numId w:val="1005"/>
        </w:numPr>
        <w:pStyle w:val="Compact"/>
      </w:pPr>
      <w:r>
        <w:rPr>
          <w:bCs/>
          <w:b/>
        </w:rPr>
        <w:t xml:space="preserve">듀레이션 중립(벤치마크 ±0.25년).</w:t>
      </w:r>
      <w:r>
        <w:t xml:space="preserve"> </w:t>
      </w:r>
      <w:r>
        <w:t xml:space="preserve">10월 CPI·11월 금통위 전에는 듀레이션을 늘리지 않는다. 지표 확인 뒤 3년이 3.95% 이상으로 재조정되면, 2~3년 구간부터 듀레이션을 늘린다. 이때 캐리가 커져 위험 대비 보상이 좋아진다.</w:t>
      </w:r>
    </w:p>
    <w:p>
      <w:pPr>
        <w:numPr>
          <w:ilvl w:val="0"/>
          <w:numId w:val="1005"/>
        </w:numPr>
        <w:pStyle w:val="Compact"/>
      </w:pPr>
      <w:r>
        <w:rPr>
          <w:bCs/>
          <w:b/>
        </w:rPr>
        <w:t xml:space="preserve">벨리(2~5년) 비중 확대 + 10년 비중 축소</w:t>
      </w:r>
      <w:r>
        <w:t xml:space="preserve">를 DV01 중립으로 짠다(5s10s 스티프너 성격). 근거는 세 가지다. ① 3–5년 구간 기울기 7.5bp/년으로 롤다운 최대. ② 기대/변동성 우위. ③ 글로벌 장기금리 위험(UST 10년 5.0% 부근, 신한 기간 프리미엄 0.75%)의 헤지.</w:t>
      </w:r>
    </w:p>
    <w:p>
      <w:pPr>
        <w:numPr>
          <w:ilvl w:val="0"/>
          <w:numId w:val="1005"/>
        </w:numPr>
        <w:pStyle w:val="Compact"/>
      </w:pPr>
      <w:r>
        <w:rPr>
          <w:bCs/>
          <w:b/>
        </w:rPr>
        <w:t xml:space="preserve">3s10s 플래트너는 이벤트 한정 소규모 전술로만</w:t>
      </w:r>
      <w:r>
        <w:t xml:space="preserve"> </w:t>
      </w:r>
      <w:r>
        <w:t xml:space="preserve">쓴다. 조건은 지표 발표 전 3s10s가 35bp 이상으로 다시 벌어질 때다. 손절은 40bp, 보유는 금통위 직후까지로 정한다. 기본 포지션으로는 권하지 않는다.</w:t>
      </w:r>
    </w:p>
    <w:p>
      <w:pPr>
        <w:numPr>
          <w:ilvl w:val="0"/>
          <w:numId w:val="1005"/>
        </w:numPr>
        <w:pStyle w:val="Compact"/>
      </w:pPr>
      <w:r>
        <w:rPr>
          <w:bCs/>
          <w:b/>
        </w:rPr>
        <w:t xml:space="preserve">플라이는 보류</w:t>
      </w:r>
      <w:r>
        <w:t xml:space="preserve">한다(전문가와 동일).</w:t>
      </w:r>
    </w:p>
    <w:bookmarkEnd w:id="25"/>
    <w:bookmarkEnd w:id="26"/>
    <w:bookmarkStart w:id="30" w:name="회사채-전략"/>
    <w:p>
      <w:pPr>
        <w:pStyle w:val="Heading2"/>
      </w:pPr>
      <w:r>
        <w:t xml:space="preserve">4. 회사채 전략</w:t>
      </w:r>
    </w:p>
    <w:bookmarkStart w:id="27" w:name="만기-연장-보상-분해-bp"/>
    <w:p>
      <w:pPr>
        <w:pStyle w:val="Heading3"/>
      </w:pPr>
      <w:r>
        <w:t xml:space="preserve">4-1. 만기 연장 보상 분해 (bp)</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섹터</w:t>
            </w:r>
          </w:p>
        </w:tc>
        <w:tc>
          <w:tcPr/>
          <w:p>
            <w:pPr>
              <w:pStyle w:val="Compact"/>
              <w:jc w:val="left"/>
            </w:pPr>
            <w:r>
              <w:t xml:space="preserve">2→3년 금리</w:t>
            </w:r>
          </w:p>
        </w:tc>
        <w:tc>
          <w:tcPr/>
          <w:p>
            <w:pPr>
              <w:pStyle w:val="Compact"/>
              <w:jc w:val="left"/>
            </w:pPr>
            <w:r>
              <w:t xml:space="preserve">3→5년 금리</w:t>
            </w:r>
          </w:p>
        </w:tc>
        <w:tc>
          <w:tcPr/>
          <w:p>
            <w:pPr>
              <w:pStyle w:val="Compact"/>
              <w:jc w:val="left"/>
            </w:pPr>
            <w:r>
              <w:t xml:space="preserve">(국고 3→5년)</w:t>
            </w:r>
          </w:p>
        </w:tc>
        <w:tc>
          <w:tcPr/>
          <w:p>
            <w:pPr>
              <w:pStyle w:val="Compact"/>
              <w:jc w:val="left"/>
            </w:pPr>
            <w:r>
              <w:t xml:space="preserve">3→5년 신용스프레드 변화</w:t>
            </w:r>
          </w:p>
        </w:tc>
        <w:tc>
          <w:tcPr/>
          <w:p>
            <w:pPr>
              <w:pStyle w:val="Compact"/>
              <w:jc w:val="left"/>
            </w:pPr>
            <w:r>
              <w:t xml:space="preserve">3년 스프레드</w:t>
            </w:r>
          </w:p>
        </w:tc>
        <w:tc>
          <w:tcPr/>
          <w:p>
            <w:pPr>
              <w:pStyle w:val="Compact"/>
              <w:jc w:val="left"/>
            </w:pPr>
            <w:r>
              <w:t xml:space="preserve">1년 손익분기 확대폭*</w:t>
            </w:r>
          </w:p>
        </w:tc>
      </w:tr>
      <w:tr>
        <w:tc>
          <w:tcPr/>
          <w:p>
            <w:pPr>
              <w:pStyle w:val="Compact"/>
              <w:jc w:val="left"/>
            </w:pPr>
            <w:r>
              <w:t xml:space="preserve">회사채 AA+</w:t>
            </w:r>
          </w:p>
        </w:tc>
        <w:tc>
          <w:tcPr/>
          <w:p>
            <w:pPr>
              <w:pStyle w:val="Compact"/>
              <w:jc w:val="left"/>
            </w:pPr>
            <w:r>
              <w:t xml:space="preserve">5.0</w:t>
            </w:r>
          </w:p>
        </w:tc>
        <w:tc>
          <w:tcPr/>
          <w:p>
            <w:pPr>
              <w:pStyle w:val="Compact"/>
              <w:jc w:val="left"/>
            </w:pPr>
            <w:r>
              <w:t xml:space="preserve">3.0</w:t>
            </w:r>
          </w:p>
        </w:tc>
        <w:tc>
          <w:tcPr/>
          <w:p>
            <w:pPr>
              <w:pStyle w:val="Compact"/>
              <w:jc w:val="left"/>
            </w:pPr>
            <w:r>
              <w:t xml:space="preserve">15.1</w:t>
            </w:r>
          </w:p>
        </w:tc>
        <w:tc>
          <w:tcPr/>
          <w:p>
            <w:pPr>
              <w:pStyle w:val="Compact"/>
              <w:jc w:val="left"/>
            </w:pPr>
            <w:r>
              <w:rPr>
                <w:bCs/>
                <w:b/>
              </w:rPr>
              <w:t xml:space="preserve">−11.9</w:t>
            </w:r>
          </w:p>
        </w:tc>
        <w:tc>
          <w:tcPr/>
          <w:p>
            <w:pPr>
              <w:pStyle w:val="Compact"/>
              <w:jc w:val="left"/>
            </w:pPr>
            <w:r>
              <w:t xml:space="preserve">59.0</w:t>
            </w:r>
          </w:p>
        </w:tc>
        <w:tc>
          <w:tcPr/>
          <w:p>
            <w:pPr>
              <w:pStyle w:val="Compact"/>
              <w:jc w:val="left"/>
            </w:pPr>
            <w:r>
              <w:t xml:space="preserve">31.1</w:t>
            </w:r>
          </w:p>
        </w:tc>
      </w:tr>
      <w:tr>
        <w:tc>
          <w:tcPr/>
          <w:p>
            <w:pPr>
              <w:pStyle w:val="Compact"/>
              <w:jc w:val="left"/>
            </w:pPr>
            <w:r>
              <w:t xml:space="preserve">회사채 AA0</w:t>
            </w:r>
          </w:p>
        </w:tc>
        <w:tc>
          <w:tcPr/>
          <w:p>
            <w:pPr>
              <w:pStyle w:val="Compact"/>
              <w:jc w:val="left"/>
            </w:pPr>
            <w:r>
              <w:t xml:space="preserve">6.0</w:t>
            </w:r>
          </w:p>
        </w:tc>
        <w:tc>
          <w:tcPr/>
          <w:p>
            <w:pPr>
              <w:pStyle w:val="Compact"/>
              <w:jc w:val="left"/>
            </w:pPr>
            <w:r>
              <w:t xml:space="preserve">6.0</w:t>
            </w:r>
          </w:p>
        </w:tc>
        <w:tc>
          <w:tcPr/>
          <w:p>
            <w:pPr>
              <w:pStyle w:val="Compact"/>
              <w:jc w:val="left"/>
            </w:pPr>
            <w:r>
              <w:t xml:space="preserve">15.1</w:t>
            </w:r>
          </w:p>
        </w:tc>
        <w:tc>
          <w:tcPr/>
          <w:p>
            <w:pPr>
              <w:pStyle w:val="Compact"/>
              <w:jc w:val="left"/>
            </w:pPr>
            <w:r>
              <w:t xml:space="preserve">−9.3</w:t>
            </w:r>
          </w:p>
        </w:tc>
        <w:tc>
          <w:tcPr/>
          <w:p>
            <w:pPr>
              <w:pStyle w:val="Compact"/>
              <w:jc w:val="left"/>
            </w:pPr>
            <w:r>
              <w:t xml:space="preserve">63.0</w:t>
            </w:r>
          </w:p>
        </w:tc>
        <w:tc>
          <w:tcPr/>
          <w:p>
            <w:pPr>
              <w:pStyle w:val="Compact"/>
              <w:jc w:val="left"/>
            </w:pPr>
            <w:r>
              <w:t xml:space="preserve">33.2</w:t>
            </w:r>
          </w:p>
        </w:tc>
      </w:tr>
      <w:tr>
        <w:tc>
          <w:tcPr/>
          <w:p>
            <w:pPr>
              <w:pStyle w:val="Compact"/>
              <w:jc w:val="left"/>
            </w:pPr>
            <w:r>
              <w:t xml:space="preserve">회사채 AA−</w:t>
            </w:r>
          </w:p>
        </w:tc>
        <w:tc>
          <w:tcPr/>
          <w:p>
            <w:pPr>
              <w:pStyle w:val="Compact"/>
              <w:jc w:val="left"/>
            </w:pPr>
            <w:r>
              <w:t xml:space="preserve">6.0</w:t>
            </w:r>
          </w:p>
        </w:tc>
        <w:tc>
          <w:tcPr/>
          <w:p>
            <w:pPr>
              <w:pStyle w:val="Compact"/>
              <w:jc w:val="left"/>
            </w:pPr>
            <w:r>
              <w:t xml:space="preserve">11.0</w:t>
            </w:r>
          </w:p>
        </w:tc>
        <w:tc>
          <w:tcPr/>
          <w:p>
            <w:pPr>
              <w:pStyle w:val="Compact"/>
              <w:jc w:val="left"/>
            </w:pPr>
            <w:r>
              <w:t xml:space="preserve">15.1</w:t>
            </w:r>
          </w:p>
        </w:tc>
        <w:tc>
          <w:tcPr/>
          <w:p>
            <w:pPr>
              <w:pStyle w:val="Compact"/>
              <w:jc w:val="left"/>
            </w:pPr>
            <w:r>
              <w:t xml:space="preserve">−4.3</w:t>
            </w:r>
          </w:p>
        </w:tc>
        <w:tc>
          <w:tcPr/>
          <w:p>
            <w:pPr>
              <w:pStyle w:val="Compact"/>
              <w:jc w:val="left"/>
            </w:pPr>
            <w:r>
              <w:t xml:space="preserve">68.0</w:t>
            </w:r>
          </w:p>
        </w:tc>
        <w:tc>
          <w:tcPr/>
          <w:p>
            <w:pPr>
              <w:pStyle w:val="Compact"/>
              <w:jc w:val="left"/>
            </w:pPr>
            <w:r>
              <w:t xml:space="preserve">35.8</w:t>
            </w:r>
          </w:p>
        </w:tc>
      </w:tr>
      <w:tr>
        <w:tc>
          <w:tcPr/>
          <w:p>
            <w:pPr>
              <w:pStyle w:val="Compact"/>
              <w:jc w:val="left"/>
            </w:pPr>
            <w:r>
              <w:t xml:space="preserve">은행채 AAA</w:t>
            </w:r>
          </w:p>
        </w:tc>
        <w:tc>
          <w:tcPr/>
          <w:p>
            <w:pPr>
              <w:pStyle w:val="Compact"/>
              <w:jc w:val="left"/>
            </w:pPr>
            <w:r>
              <w:t xml:space="preserve">7.0</w:t>
            </w:r>
          </w:p>
        </w:tc>
        <w:tc>
          <w:tcPr/>
          <w:p>
            <w:pPr>
              <w:pStyle w:val="Compact"/>
              <w:jc w:val="left"/>
            </w:pPr>
            <w:r>
              <w:t xml:space="preserve">8.0</w:t>
            </w:r>
          </w:p>
        </w:tc>
        <w:tc>
          <w:tcPr/>
          <w:p>
            <w:pPr>
              <w:pStyle w:val="Compact"/>
              <w:jc w:val="left"/>
            </w:pPr>
            <w:r>
              <w:t xml:space="preserve">15.1</w:t>
            </w:r>
          </w:p>
        </w:tc>
        <w:tc>
          <w:tcPr/>
          <w:p>
            <w:pPr>
              <w:pStyle w:val="Compact"/>
              <w:jc w:val="left"/>
            </w:pPr>
            <w:r>
              <w:t xml:space="preserve">−6.8</w:t>
            </w:r>
          </w:p>
        </w:tc>
        <w:tc>
          <w:tcPr/>
          <w:p>
            <w:pPr>
              <w:pStyle w:val="Compact"/>
              <w:jc w:val="left"/>
            </w:pPr>
            <w:r>
              <w:t xml:space="preserve">39.1</w:t>
            </w:r>
          </w:p>
        </w:tc>
        <w:tc>
          <w:tcPr/>
          <w:p>
            <w:pPr>
              <w:pStyle w:val="Compact"/>
              <w:jc w:val="left"/>
            </w:pPr>
            <w:r>
              <w:t xml:space="preserve">20.6</w:t>
            </w:r>
          </w:p>
        </w:tc>
      </w:tr>
      <w:tr>
        <w:tc>
          <w:tcPr/>
          <w:p>
            <w:pPr>
              <w:pStyle w:val="Compact"/>
              <w:jc w:val="left"/>
            </w:pPr>
            <w:r>
              <w:t xml:space="preserve">특수채 AAA</w:t>
            </w:r>
          </w:p>
        </w:tc>
        <w:tc>
          <w:tcPr/>
          <w:p>
            <w:pPr>
              <w:pStyle w:val="Compact"/>
              <w:jc w:val="left"/>
            </w:pPr>
            <w:r>
              <w:t xml:space="preserve">7.0</w:t>
            </w:r>
          </w:p>
        </w:tc>
        <w:tc>
          <w:tcPr/>
          <w:p>
            <w:pPr>
              <w:pStyle w:val="Compact"/>
              <w:jc w:val="left"/>
            </w:pPr>
            <w:r>
              <w:t xml:space="preserve">9.0</w:t>
            </w:r>
          </w:p>
        </w:tc>
        <w:tc>
          <w:tcPr/>
          <w:p>
            <w:pPr>
              <w:pStyle w:val="Compact"/>
              <w:jc w:val="left"/>
            </w:pPr>
            <w:r>
              <w:t xml:space="preserve">15.1</w:t>
            </w:r>
          </w:p>
        </w:tc>
        <w:tc>
          <w:tcPr/>
          <w:p>
            <w:pPr>
              <w:pStyle w:val="Compact"/>
              <w:jc w:val="left"/>
            </w:pPr>
            <w:r>
              <w:t xml:space="preserve">−6.0</w:t>
            </w:r>
          </w:p>
        </w:tc>
        <w:tc>
          <w:tcPr/>
          <w:p>
            <w:pPr>
              <w:pStyle w:val="Compact"/>
              <w:jc w:val="left"/>
            </w:pPr>
            <w:r>
              <w:t xml:space="preserve">36.4</w:t>
            </w:r>
          </w:p>
        </w:tc>
        <w:tc>
          <w:tcPr/>
          <w:p>
            <w:pPr>
              <w:pStyle w:val="Compact"/>
              <w:jc w:val="left"/>
            </w:pPr>
            <w:r>
              <w:t xml:space="preserve">19.2</w:t>
            </w:r>
          </w:p>
        </w:tc>
      </w:tr>
      <w:tr>
        <w:tc>
          <w:tcPr/>
          <w:p>
            <w:pPr>
              <w:pStyle w:val="Compact"/>
              <w:jc w:val="left"/>
            </w:pPr>
            <w:r>
              <w:t xml:space="preserve">여전채 AA−</w:t>
            </w:r>
          </w:p>
        </w:tc>
        <w:tc>
          <w:tcPr/>
          <w:p>
            <w:pPr>
              <w:pStyle w:val="Compact"/>
              <w:jc w:val="left"/>
            </w:pPr>
            <w:r>
              <w:t xml:space="preserve">5.0</w:t>
            </w:r>
          </w:p>
        </w:tc>
        <w:tc>
          <w:tcPr/>
          <w:p>
            <w:pPr>
              <w:pStyle w:val="Compact"/>
              <w:jc w:val="left"/>
            </w:pPr>
            <w:r>
              <w:t xml:space="preserve">12.0</w:t>
            </w:r>
          </w:p>
        </w:tc>
        <w:tc>
          <w:tcPr/>
          <w:p>
            <w:pPr>
              <w:pStyle w:val="Compact"/>
              <w:jc w:val="left"/>
            </w:pPr>
            <w:r>
              <w:t xml:space="preserve">15.1</w:t>
            </w:r>
          </w:p>
        </w:tc>
        <w:tc>
          <w:tcPr/>
          <w:p>
            <w:pPr>
              <w:pStyle w:val="Compact"/>
              <w:jc w:val="left"/>
            </w:pPr>
            <w:r>
              <w:t xml:space="preserve">−3.8</w:t>
            </w:r>
          </w:p>
        </w:tc>
        <w:tc>
          <w:tcPr/>
          <w:p>
            <w:pPr>
              <w:pStyle w:val="Compact"/>
              <w:jc w:val="left"/>
            </w:pPr>
            <w:r>
              <w:t xml:space="preserve">74.4</w:t>
            </w:r>
          </w:p>
        </w:tc>
        <w:tc>
          <w:tcPr/>
          <w:p>
            <w:pPr>
              <w:pStyle w:val="Compact"/>
              <w:jc w:val="left"/>
            </w:pPr>
            <w:r>
              <w:t xml:space="preserve">39.2</w:t>
            </w:r>
          </w:p>
        </w:tc>
      </w:tr>
    </w:tbl>
    <w:p>
      <w:pPr>
        <w:numPr>
          <w:ilvl w:val="0"/>
          <w:numId w:val="1006"/>
        </w:numPr>
        <w:pStyle w:val="Compact"/>
      </w:pPr>
      <w:r>
        <w:t xml:space="preserve">[판단] 모든 섹터에서 3→5년 연장 수익이 국고 3→5년(15.1bp)보다 작다.</w:t>
      </w:r>
      <w:r>
        <w:t xml:space="preserve"> </w:t>
      </w:r>
      <w:r>
        <w:rPr>
          <w:bCs/>
          <w:b/>
        </w:rPr>
        <w:t xml:space="preserve">5년 크레딧은 신용 보상이 줄어드는 구간</w:t>
      </w:r>
      <w:r>
        <w:t xml:space="preserve">이다. 듀레이션이 필요하면 국고 5년으로 가져가고, 크레딧은 2~3년에서 취하는 바벨이 효율적이다.</w:t>
      </w:r>
    </w:p>
    <w:bookmarkEnd w:id="27"/>
    <w:bookmarkStart w:id="28" w:name="aa-3년의-1년-국고-대비-초과수익-bp-부도등급-하락-제외"/>
    <w:p>
      <w:pPr>
        <w:pStyle w:val="Heading3"/>
      </w:pPr>
      <w:r>
        <w:t xml:space="preserve">4-2. AA 3년의 1년 국고 대비 초과수익 (bp*, 부도·등급 하락 제외)</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섹터</w:t>
            </w:r>
          </w:p>
        </w:tc>
        <w:tc>
          <w:tcPr/>
          <w:p>
            <w:pPr>
              <w:pStyle w:val="Compact"/>
              <w:jc w:val="left"/>
            </w:pPr>
            <w:r>
              <w:t xml:space="preserve">Base (AA −5bp)</w:t>
            </w:r>
          </w:p>
        </w:tc>
        <w:tc>
          <w:tcPr/>
          <w:p>
            <w:pPr>
              <w:pStyle w:val="Compact"/>
              <w:jc w:val="left"/>
            </w:pPr>
            <w:r>
              <w:t xml:space="preserve">Bull (−15bp)</w:t>
            </w:r>
          </w:p>
        </w:tc>
        <w:tc>
          <w:tcPr/>
          <w:p>
            <w:pPr>
              <w:pStyle w:val="Compact"/>
              <w:jc w:val="left"/>
            </w:pPr>
            <w:r>
              <w:t xml:space="preserve">Bear (+30bp)</w:t>
            </w:r>
          </w:p>
        </w:tc>
        <w:tc>
          <w:tcPr/>
          <w:p>
            <w:pPr>
              <w:pStyle w:val="Compact"/>
              <w:jc w:val="left"/>
            </w:pPr>
            <w:r>
              <w:t xml:space="preserve">기대값</w:t>
            </w:r>
          </w:p>
        </w:tc>
      </w:tr>
      <w:tr>
        <w:tc>
          <w:tcPr/>
          <w:p>
            <w:pPr>
              <w:pStyle w:val="Compact"/>
              <w:jc w:val="left"/>
            </w:pPr>
            <w:r>
              <w:t xml:space="preserve">회사채 AA−</w:t>
            </w:r>
          </w:p>
        </w:tc>
        <w:tc>
          <w:tcPr/>
          <w:p>
            <w:pPr>
              <w:pStyle w:val="Compact"/>
              <w:jc w:val="left"/>
            </w:pPr>
            <w:r>
              <w:t xml:space="preserve">79.6</w:t>
            </w:r>
          </w:p>
        </w:tc>
        <w:tc>
          <w:tcPr/>
          <w:p>
            <w:pPr>
              <w:pStyle w:val="Compact"/>
              <w:jc w:val="left"/>
            </w:pPr>
            <w:r>
              <w:t xml:space="preserve">98.6</w:t>
            </w:r>
          </w:p>
        </w:tc>
        <w:tc>
          <w:tcPr/>
          <w:p>
            <w:pPr>
              <w:pStyle w:val="Compact"/>
              <w:jc w:val="left"/>
            </w:pPr>
            <w:r>
              <w:t xml:space="preserve">13.1</w:t>
            </w:r>
          </w:p>
        </w:tc>
        <w:tc>
          <w:tcPr/>
          <w:p>
            <w:pPr>
              <w:pStyle w:val="Compact"/>
              <w:jc w:val="left"/>
            </w:pPr>
            <w:r>
              <w:t xml:space="preserve">68.7</w:t>
            </w:r>
          </w:p>
        </w:tc>
      </w:tr>
      <w:tr>
        <w:tc>
          <w:tcPr/>
          <w:p>
            <w:pPr>
              <w:pStyle w:val="Compact"/>
              <w:jc w:val="left"/>
            </w:pPr>
            <w:r>
              <w:t xml:space="preserve">회사채 AA0</w:t>
            </w:r>
          </w:p>
        </w:tc>
        <w:tc>
          <w:tcPr/>
          <w:p>
            <w:pPr>
              <w:pStyle w:val="Compact"/>
              <w:jc w:val="left"/>
            </w:pPr>
            <w:r>
              <w:t xml:space="preserve">74.6</w:t>
            </w:r>
          </w:p>
        </w:tc>
        <w:tc>
          <w:tcPr/>
          <w:p>
            <w:pPr>
              <w:pStyle w:val="Compact"/>
              <w:jc w:val="left"/>
            </w:pPr>
            <w:r>
              <w:t xml:space="preserve">93.6</w:t>
            </w:r>
          </w:p>
        </w:tc>
        <w:tc>
          <w:tcPr/>
          <w:p>
            <w:pPr>
              <w:pStyle w:val="Compact"/>
              <w:jc w:val="left"/>
            </w:pPr>
            <w:r>
              <w:t xml:space="preserve">8.1</w:t>
            </w:r>
          </w:p>
        </w:tc>
        <w:tc>
          <w:tcPr/>
          <w:p>
            <w:pPr>
              <w:pStyle w:val="Compact"/>
              <w:jc w:val="left"/>
            </w:pPr>
            <w:r>
              <w:t xml:space="preserve">63.7</w:t>
            </w:r>
          </w:p>
        </w:tc>
      </w:tr>
      <w:tr>
        <w:tc>
          <w:tcPr/>
          <w:p>
            <w:pPr>
              <w:pStyle w:val="Compact"/>
              <w:jc w:val="left"/>
            </w:pPr>
            <w:r>
              <w:t xml:space="preserve">회사채 AA+</w:t>
            </w:r>
          </w:p>
        </w:tc>
        <w:tc>
          <w:tcPr/>
          <w:p>
            <w:pPr>
              <w:pStyle w:val="Compact"/>
              <w:jc w:val="left"/>
            </w:pPr>
            <w:r>
              <w:t xml:space="preserve">68.7</w:t>
            </w:r>
          </w:p>
        </w:tc>
        <w:tc>
          <w:tcPr/>
          <w:p>
            <w:pPr>
              <w:pStyle w:val="Compact"/>
              <w:jc w:val="left"/>
            </w:pPr>
            <w:r>
              <w:t xml:space="preserve">87.7</w:t>
            </w:r>
          </w:p>
        </w:tc>
        <w:tc>
          <w:tcPr/>
          <w:p>
            <w:pPr>
              <w:pStyle w:val="Compact"/>
              <w:jc w:val="left"/>
            </w:pPr>
            <w:r>
              <w:t xml:space="preserve">2.2</w:t>
            </w:r>
          </w:p>
        </w:tc>
        <w:tc>
          <w:tcPr/>
          <w:p>
            <w:pPr>
              <w:pStyle w:val="Compact"/>
              <w:jc w:val="left"/>
            </w:pPr>
            <w:r>
              <w:t xml:space="preserve">57.8</w:t>
            </w:r>
          </w:p>
        </w:tc>
      </w:tr>
    </w:tbl>
    <w:p>
      <w:pPr>
        <w:numPr>
          <w:ilvl w:val="0"/>
          <w:numId w:val="1007"/>
        </w:numPr>
        <w:pStyle w:val="Compact"/>
      </w:pPr>
      <w:r>
        <w:t xml:space="preserve">[판단] 우리 시나리오 범위 안에서는 AA 3년이 국고보다 낫다. 위험은 스프레드 전반보다</w:t>
      </w:r>
      <w:r>
        <w:t xml:space="preserve"> </w:t>
      </w:r>
      <w:r>
        <w:rPr>
          <w:bCs/>
          <w:b/>
        </w:rPr>
        <w:t xml:space="preserve">개별 등급 하락</w:t>
      </w:r>
      <w:r>
        <w:t xml:space="preserve">이다. AA−가 A+로 한 단계 내려가면 3년 스프레드는 약 +38bp(AA− 68.0 → A+ 106.4bp) 넓어지고, 손실은 약 1%(추정)로 1년 캐리를 넘는다. 그래서 AA−는 종목 선별이 필수다.</w:t>
      </w:r>
    </w:p>
    <w:bookmarkEnd w:id="28"/>
    <w:bookmarkStart w:id="29" w:name="섹터종목"/>
    <w:p>
      <w:pPr>
        <w:pStyle w:val="Heading3"/>
      </w:pPr>
      <w:r>
        <w:t xml:space="preserve">4-3. 섹터·종목</w:t>
      </w:r>
    </w:p>
    <w:p>
      <w:pPr>
        <w:numPr>
          <w:ilvl w:val="0"/>
          <w:numId w:val="1008"/>
        </w:numPr>
        <w:pStyle w:val="Compact"/>
      </w:pPr>
      <w:r>
        <w:rPr>
          <w:bCs/>
          <w:b/>
        </w:rPr>
        <w:t xml:space="preserve">코어(비중 확대)</w:t>
      </w:r>
      <w:r>
        <w:t xml:space="preserve">: 회사채 AA0~AA+ 2~3년. AA+ 대비 AA−의 추가 금리는 3년 기준 9bp에 그쳐 등급 하락 위험 대비 얇다.</w:t>
      </w:r>
    </w:p>
    <w:p>
      <w:pPr>
        <w:numPr>
          <w:ilvl w:val="0"/>
          <w:numId w:val="1008"/>
        </w:numPr>
        <w:pStyle w:val="Compact"/>
      </w:pPr>
      <w:r>
        <w:rPr>
          <w:bCs/>
          <w:b/>
        </w:rPr>
        <w:t xml:space="preserve">유동성 구간</w:t>
      </w:r>
      <w:r>
        <w:t xml:space="preserve">: 1~2년 국고·통안 대신</w:t>
      </w:r>
      <w:r>
        <w:t xml:space="preserve"> </w:t>
      </w:r>
      <w:r>
        <w:rPr>
          <w:bCs/>
          <w:b/>
        </w:rPr>
        <w:t xml:space="preserve">은행채·공사채 AAA</w:t>
      </w:r>
      <w:r>
        <w:t xml:space="preserve">를 쓴다. 공급 축소의 직접 수혜이고, 은행채는 최근 순발행 부담(주간 2.44조원)으로 상대 약세라 4분기 만기 소화 뒤 스프레드 축소 여지가 있다(p.1, p.3, p.5).</w:t>
      </w:r>
    </w:p>
    <w:p>
      <w:pPr>
        <w:numPr>
          <w:ilvl w:val="0"/>
          <w:numId w:val="1008"/>
        </w:numPr>
        <w:pStyle w:val="Compact"/>
      </w:pPr>
      <w:r>
        <w:rPr>
          <w:bCs/>
          <w:b/>
        </w:rPr>
        <w:t xml:space="preserve">AA− 선별</w:t>
      </w:r>
      <w:r>
        <w:t xml:space="preserve">: 3사 모두 긍정적 전망인 LS일렉트릭을 우선 본다(상향 기대 선반영 여부는 확인 필요). 한국항공우주·포스코인터내셔널(긍정적)도 후보다. KCC는 영업현금흐름 기준으로 보고, 상장지분 가치는 경기 하강기 버퍼로 과대평가하지 않는다.</w:t>
      </w:r>
    </w:p>
    <w:p>
      <w:pPr>
        <w:numPr>
          <w:ilvl w:val="0"/>
          <w:numId w:val="1008"/>
        </w:numPr>
        <w:pStyle w:val="Compact"/>
      </w:pPr>
      <w:r>
        <w:rPr>
          <w:bCs/>
          <w:b/>
        </w:rPr>
        <w:t xml:space="preserve">회피</w:t>
      </w:r>
      <w:r>
        <w:t xml:space="preserve">: 부정적 전망이 몰린 석유화학(LG화학 AA+, 롯데케미칼·한화솔루션·한화토탈·SK지오센트릭 AA−), KCC글라스·호텔신라·롯데물산(AA−), 건설(포스코이앤씨 A+) 등(p.13). A급 이하는 긍정적 전망 종목 외에는 비중을 줄인다(연체율 상승).</w:t>
      </w:r>
    </w:p>
    <w:p>
      <w:pPr>
        <w:numPr>
          <w:ilvl w:val="0"/>
          <w:numId w:val="1008"/>
        </w:numPr>
        <w:pStyle w:val="Compact"/>
      </w:pPr>
      <w:r>
        <w:rPr>
          <w:bCs/>
          <w:b/>
        </w:rPr>
        <w:t xml:space="preserve">여전채</w:t>
      </w:r>
      <w:r>
        <w:t xml:space="preserve">: AA− 3년 74.4bp로 회사채 AA−보다 6bp 높지만, 가계 신용대출 연체 상승(0.91%)이 카드·캐피탈 자산 건전성에 부담이다. 카드채 AA+ 위주로 담고, 하위 캐피탈은 피한다.</w:t>
      </w:r>
    </w:p>
    <w:p>
      <w:pPr>
        <w:numPr>
          <w:ilvl w:val="0"/>
          <w:numId w:val="1008"/>
        </w:numPr>
        <w:pStyle w:val="Compact"/>
      </w:pPr>
      <w:r>
        <w:rPr>
          <w:bCs/>
          <w:b/>
        </w:rPr>
        <w:t xml:space="preserve">발행시장</w:t>
      </w:r>
      <w:r>
        <w:t xml:space="preserve">: 2~3년 수요예측은 과열(민평 언더 결정)이라 민평 이상 금리에서만 응찰하거나 유통시장에서 산다. 5년 트랜치가 민평보다 크게 높은 금리로 결정되는 경우(예: 삼양홀딩스 5년, p.9)는 장기 부채를 가진 투자자(보험사)에게 개별 기회다.</w:t>
      </w:r>
    </w:p>
    <w:p>
      <w:pPr>
        <w:numPr>
          <w:ilvl w:val="0"/>
          <w:numId w:val="1008"/>
        </w:numPr>
        <w:pStyle w:val="Compact"/>
      </w:pPr>
      <w:r>
        <w:rPr>
          <w:bCs/>
          <w:b/>
        </w:rPr>
        <w:t xml:space="preserve">신종자본증권</w:t>
      </w:r>
      <w:r>
        <w:t xml:space="preserve">: 하나금융 4.730%는 AA− 5년 선순위 대비 +13bp라 보상이 부족해 비추천한다. 보험사라면 K-ICS 위험계수도 높다.</w:t>
      </w:r>
    </w:p>
    <w:p>
      <w:pPr>
        <w:numPr>
          <w:ilvl w:val="0"/>
          <w:numId w:val="1008"/>
        </w:numPr>
        <w:pStyle w:val="Compact"/>
      </w:pPr>
      <w:r>
        <w:rPr>
          <w:bCs/>
          <w:b/>
        </w:rPr>
        <w:t xml:space="preserve">금리 헤지</w:t>
      </w:r>
      <w:r>
        <w:t xml:space="preserve">: 크레딧을 늘리면서 듀레이션이 함께 늘면 3년 국채선물로 금리 위험을 덜고 스프레드만 취한다(전문가 의견과 같음).</w:t>
      </w:r>
    </w:p>
    <w:bookmarkEnd w:id="29"/>
    <w:bookmarkEnd w:id="30"/>
    <w:bookmarkStart w:id="31" w:name="운용-주체별-적용"/>
    <w:p>
      <w:pPr>
        <w:pStyle w:val="Heading2"/>
      </w:pPr>
      <w:r>
        <w:t xml:space="preserve">5. 운용 주체별 적용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주체</w:t>
            </w:r>
          </w:p>
        </w:tc>
        <w:tc>
          <w:tcPr/>
          <w:p>
            <w:pPr>
              <w:pStyle w:val="Compact"/>
              <w:jc w:val="left"/>
            </w:pPr>
            <w:r>
              <w:t xml:space="preserve">국고채</w:t>
            </w:r>
          </w:p>
        </w:tc>
        <w:tc>
          <w:tcPr/>
          <w:p>
            <w:pPr>
              <w:pStyle w:val="Compact"/>
              <w:jc w:val="left"/>
            </w:pPr>
            <w:r>
              <w:t xml:space="preserve">회사채</w:t>
            </w:r>
          </w:p>
        </w:tc>
      </w:tr>
      <w:tr>
        <w:tc>
          <w:tcPr/>
          <w:p>
            <w:pPr>
              <w:pStyle w:val="Compact"/>
              <w:jc w:val="left"/>
            </w:pPr>
            <w:r>
              <w:t xml:space="preserve">총수익 펀드(벤치마크 대비)</w:t>
            </w:r>
          </w:p>
        </w:tc>
        <w:tc>
          <w:tcPr/>
          <w:p>
            <w:pPr>
              <w:pStyle w:val="Compact"/>
              <w:jc w:val="left"/>
            </w:pPr>
            <w:r>
              <w:t xml:space="preserve">듀레이션 중립, 벨리 비중 확대·10년 축소, 플래트너는 이벤트 한정</w:t>
            </w:r>
          </w:p>
        </w:tc>
        <w:tc>
          <w:tcPr/>
          <w:p>
            <w:pPr>
              <w:pStyle w:val="Compact"/>
              <w:jc w:val="left"/>
            </w:pPr>
            <w:r>
              <w:t xml:space="preserve">AA0~AA+ 2~3년 코어, 은행채 AAA 유동성 구간, AA− 선별</w:t>
            </w:r>
          </w:p>
        </w:tc>
      </w:tr>
      <w:tr>
        <w:tc>
          <w:tcPr/>
          <w:p>
            <w:pPr>
              <w:pStyle w:val="Compact"/>
              <w:jc w:val="left"/>
            </w:pPr>
            <w:r>
              <w:t xml:space="preserve">생명보험사(부채 듀레이션 김, 금리 하락 취약 — 예: 삼성생명 −100bp 시 K-ICS −3.4%p)</w:t>
            </w:r>
          </w:p>
        </w:tc>
        <w:tc>
          <w:tcPr/>
          <w:p>
            <w:pPr>
              <w:pStyle w:val="Compact"/>
              <w:jc w:val="left"/>
            </w:pPr>
            <w:r>
              <w:rPr>
                <w:bCs/>
                <w:b/>
              </w:rPr>
              <w:t xml:space="preserve">초장기(20~30년) 꾸준한 매수</w:t>
            </w:r>
            <w:r>
              <w:t xml:space="preserve">: ALM 목적이라 전술 커브 판단과 분리. 30년 4.19%(2026-10-23)로 금리 하락 대비 비용이 낮은 레벨. 장기 크레딧(20년 이상)도 보험사 순매수(주간 3,200억원, p.7)가 이어지는 구간</w:t>
            </w:r>
          </w:p>
        </w:tc>
        <w:tc>
          <w:tcPr/>
          <w:p>
            <w:pPr>
              <w:pStyle w:val="Compact"/>
              <w:jc w:val="left"/>
            </w:pPr>
            <w:r>
              <w:t xml:space="preserve">2~3년 크레딧 캐리, 5년 이상은 민평 오버 발행분만</w:t>
            </w:r>
          </w:p>
        </w:tc>
      </w:tr>
      <w:tr>
        <w:tc>
          <w:tcPr/>
          <w:p>
            <w:pPr>
              <w:pStyle w:val="Compact"/>
              <w:jc w:val="left"/>
            </w:pPr>
            <w:r>
              <w:t xml:space="preserve">손해보험사(공시 갭 +0.7년 — 예: 현대해상)</w:t>
            </w:r>
          </w:p>
        </w:tc>
        <w:tc>
          <w:tcPr/>
          <w:p>
            <w:pPr>
              <w:pStyle w:val="Compact"/>
              <w:jc w:val="left"/>
            </w:pPr>
            <w:r>
              <w:t xml:space="preserve">초장기 추가 매수는 불필요. 국고 5년 벨리</w:t>
            </w:r>
          </w:p>
        </w:tc>
        <w:tc>
          <w:tcPr/>
          <w:p>
            <w:pPr>
              <w:pStyle w:val="Compact"/>
              <w:jc w:val="left"/>
            </w:pPr>
            <w:r>
              <w:t xml:space="preserve">2~3년 크레딧 캐리 비중 확대(운용수익률 제고 전략과 같은 방향)</w:t>
            </w:r>
          </w:p>
        </w:tc>
      </w:tr>
    </w:tbl>
    <w:bookmarkEnd w:id="31"/>
    <w:bookmarkStart w:id="32" w:name="점검-트리거"/>
    <w:p>
      <w:pPr>
        <w:pStyle w:val="Heading2"/>
      </w:pPr>
      <w:r>
        <w:t xml:space="preserve">6. 점검 트리거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지표</w:t>
            </w:r>
          </w:p>
        </w:tc>
        <w:tc>
          <w:tcPr/>
          <w:p>
            <w:pPr>
              <w:pStyle w:val="Compact"/>
              <w:jc w:val="left"/>
            </w:pPr>
            <w:r>
              <w:t xml:space="preserve">조건</w:t>
            </w:r>
          </w:p>
        </w:tc>
        <w:tc>
          <w:tcPr/>
          <w:p>
            <w:pPr>
              <w:pStyle w:val="Compact"/>
              <w:jc w:val="left"/>
            </w:pPr>
            <w:r>
              <w:t xml:space="preserve">대응</w:t>
            </w:r>
          </w:p>
        </w:tc>
      </w:tr>
      <w:tr>
        <w:tc>
          <w:tcPr/>
          <w:p>
            <w:pPr>
              <w:pStyle w:val="Compact"/>
              <w:jc w:val="left"/>
            </w:pPr>
            <w:r>
              <w:t xml:space="preserve">10월 CPI(11월 초)·11월 금통위</w:t>
            </w:r>
          </w:p>
        </w:tc>
        <w:tc>
          <w:tcPr/>
          <w:p>
            <w:pPr>
              <w:pStyle w:val="Compact"/>
              <w:jc w:val="left"/>
            </w:pPr>
            <w:r>
              <w:t xml:space="preserve">인상 + 국고 3년 3.95% 이상</w:t>
            </w:r>
          </w:p>
        </w:tc>
        <w:tc>
          <w:tcPr/>
          <w:p>
            <w:pPr>
              <w:pStyle w:val="Compact"/>
              <w:jc w:val="left"/>
            </w:pPr>
            <w:r>
              <w:t xml:space="preserve">2~3년 국고·AA 크레딧 듀레이션 확대(캐리 확대)</w:t>
            </w:r>
          </w:p>
        </w:tc>
      </w:tr>
      <w:tr>
        <w:tc>
          <w:tcPr/>
          <w:p>
            <w:pPr>
              <w:pStyle w:val="Compact"/>
              <w:jc w:val="left"/>
            </w:pPr>
            <w:r>
              <w:t xml:space="preserve">3s10s</w:t>
            </w:r>
          </w:p>
        </w:tc>
        <w:tc>
          <w:tcPr/>
          <w:p>
            <w:pPr>
              <w:pStyle w:val="Compact"/>
              <w:jc w:val="left"/>
            </w:pPr>
            <w:r>
              <w:t xml:space="preserve">35bp 이상 재확대(지표 발표 전)</w:t>
            </w:r>
          </w:p>
        </w:tc>
        <w:tc>
          <w:tcPr/>
          <w:p>
            <w:pPr>
              <w:pStyle w:val="Compact"/>
              <w:jc w:val="left"/>
            </w:pPr>
            <w:r>
              <w:t xml:space="preserve">플래트너 소규모 진입(손절 40bp)</w:t>
            </w:r>
          </w:p>
        </w:tc>
      </w:tr>
      <w:tr>
        <w:tc>
          <w:tcPr/>
          <w:p>
            <w:pPr>
              <w:pStyle w:val="Compact"/>
              <w:jc w:val="left"/>
            </w:pPr>
            <w:r>
              <w:t xml:space="preserve">UST 10년 / 기간 프리미엄</w:t>
            </w:r>
          </w:p>
        </w:tc>
        <w:tc>
          <w:tcPr/>
          <w:p>
            <w:pPr>
              <w:pStyle w:val="Compact"/>
              <w:jc w:val="left"/>
            </w:pPr>
            <w:r>
              <w:t xml:space="preserve">5.25% 돌파</w:t>
            </w:r>
          </w:p>
        </w:tc>
        <w:tc>
          <w:tcPr/>
          <w:p>
            <w:pPr>
              <w:pStyle w:val="Compact"/>
              <w:jc w:val="left"/>
            </w:pPr>
            <w:r>
              <w:t xml:space="preserve">10년 추가 축소, 5s10s 스티프너 확대</w:t>
            </w:r>
          </w:p>
        </w:tc>
      </w:tr>
      <w:tr>
        <w:tc>
          <w:tcPr/>
          <w:p>
            <w:pPr>
              <w:pStyle w:val="Compact"/>
              <w:jc w:val="left"/>
            </w:pPr>
            <w:r>
              <w:t xml:space="preserve">회사채 AA− 3년 스프레드</w:t>
            </w:r>
          </w:p>
        </w:tc>
        <w:tc>
          <w:tcPr/>
          <w:p>
            <w:pPr>
              <w:pStyle w:val="Compact"/>
              <w:jc w:val="left"/>
            </w:pPr>
            <w:r>
              <w:t xml:space="preserve">75bp 이상 / 60bp 이하</w:t>
            </w:r>
          </w:p>
        </w:tc>
        <w:tc>
          <w:tcPr/>
          <w:p>
            <w:pPr>
              <w:pStyle w:val="Compact"/>
              <w:jc w:val="left"/>
            </w:pPr>
            <w:r>
              <w:t xml:space="preserve">비중 확대 / 축소</w:t>
            </w:r>
          </w:p>
        </w:tc>
      </w:tr>
      <w:tr>
        <w:tc>
          <w:tcPr/>
          <w:p>
            <w:pPr>
              <w:pStyle w:val="Compact"/>
              <w:jc w:val="left"/>
            </w:pPr>
            <w:r>
              <w:t xml:space="preserve">은행채 AAA 3년 스프레드</w:t>
            </w:r>
          </w:p>
        </w:tc>
        <w:tc>
          <w:tcPr/>
          <w:p>
            <w:pPr>
              <w:pStyle w:val="Compact"/>
              <w:jc w:val="left"/>
            </w:pPr>
            <w:r>
              <w:t xml:space="preserve">45bp 이상(공급 피크)</w:t>
            </w:r>
          </w:p>
        </w:tc>
        <w:tc>
          <w:tcPr/>
          <w:p>
            <w:pPr>
              <w:pStyle w:val="Compact"/>
              <w:jc w:val="left"/>
            </w:pPr>
            <w:r>
              <w:t xml:space="preserve">은행채 매수</w:t>
            </w:r>
          </w:p>
        </w:tc>
      </w:tr>
      <w:tr>
        <w:tc>
          <w:tcPr/>
          <w:p>
            <w:pPr>
              <w:pStyle w:val="Compact"/>
              <w:jc w:val="left"/>
            </w:pPr>
            <w:r>
              <w:t xml:space="preserve">은행 연체율(9월분 이후)</w:t>
            </w:r>
          </w:p>
        </w:tc>
        <w:tc>
          <w:tcPr/>
          <w:p>
            <w:pPr>
              <w:pStyle w:val="Compact"/>
              <w:jc w:val="left"/>
            </w:pPr>
            <w:r>
              <w:t xml:space="preserve">중소기업 1.0% 이상 지속 상승</w:t>
            </w:r>
          </w:p>
        </w:tc>
        <w:tc>
          <w:tcPr/>
          <w:p>
            <w:pPr>
              <w:pStyle w:val="Compact"/>
              <w:jc w:val="left"/>
            </w:pPr>
            <w:r>
              <w:t xml:space="preserve">A급 이하·하위 캐피탈 추가 축소</w:t>
            </w:r>
          </w:p>
        </w:tc>
      </w:tr>
      <w:tr>
        <w:tc>
          <w:tcPr/>
          <w:p>
            <w:pPr>
              <w:pStyle w:val="Compact"/>
              <w:jc w:val="left"/>
            </w:pPr>
            <w:r>
              <w:t xml:space="preserve">2027년 국고채 발행계획(연말)</w:t>
            </w:r>
          </w:p>
        </w:tc>
        <w:tc>
          <w:tcPr/>
          <w:p>
            <w:pPr>
              <w:pStyle w:val="Compact"/>
              <w:jc w:val="left"/>
            </w:pPr>
            <w:r>
              <w:t xml:space="preserve">장기물 비중 확대</w:t>
            </w:r>
          </w:p>
        </w:tc>
        <w:tc>
          <w:tcPr/>
          <w:p>
            <w:pPr>
              <w:pStyle w:val="Compact"/>
              <w:jc w:val="left"/>
            </w:pPr>
            <w:r>
              <w:t xml:space="preserve">10년 이상 비중 축소 강화</w:t>
            </w:r>
          </w:p>
        </w:tc>
      </w:tr>
    </w:tbl>
    <w:bookmarkEnd w:id="32"/>
    <w:bookmarkStart w:id="34" w:name="절대수익-운용증권사-채권운용본부-관점-최적-전략-재검토"/>
    <w:p>
      <w:pPr>
        <w:pStyle w:val="Heading2"/>
      </w:pPr>
      <w:r>
        <w:t xml:space="preserve">8. 절대수익 운용(증권사 채권운용본부) 관점 — 최적 전략 재검토</w:t>
      </w:r>
    </w:p>
    <w:p>
      <w:pPr>
        <w:pStyle w:val="BlockText"/>
      </w:pPr>
      <w:r>
        <w:t xml:space="preserve">벤치마크 없이 RP 조달 비용 대비 절대수익을 극대화하는 운용 주체를 가정했다. 계산은</w:t>
      </w:r>
      <w:r>
        <w:t xml:space="preserve"> </w:t>
      </w:r>
      <w:r>
        <w:rPr>
          <w:rStyle w:val="VerbatimChar"/>
        </w:rPr>
        <w:t xml:space="preserve">reports/tmp/2026-10-27_kr_bond_strategy_calc.json</w:t>
      </w:r>
      <w:r>
        <w:t xml:space="preserve">의</w:t>
      </w:r>
      <w:r>
        <w:t xml:space="preserve"> </w:t>
      </w:r>
      <w:r>
        <w:rPr>
          <w:rStyle w:val="VerbatimChar"/>
        </w:rPr>
        <w:t xml:space="preserve">abs_return_3m_short_term</w:t>
      </w:r>
      <w:r>
        <w:t xml:space="preserve">,</w:t>
      </w:r>
      <w:r>
        <w:t xml:space="preserve"> </w:t>
      </w:r>
      <w:r>
        <w:rPr>
          <w:rStyle w:val="VerbatimChar"/>
        </w:rPr>
        <w:t xml:space="preserve">abs_return_1y_aa_minus_3y_unhedged_bp</w:t>
      </w:r>
      <w:r>
        <w:t xml:space="preserve">(조달 3개월 3.20%, 1년 3.40%, 추정)이다.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포지션 (조달 대비)</w:t>
            </w:r>
          </w:p>
        </w:tc>
        <w:tc>
          <w:tcPr/>
          <w:p>
            <w:pPr>
              <w:pStyle w:val="Compact"/>
              <w:jc w:val="left"/>
            </w:pPr>
            <w:r>
              <w:t xml:space="preserve">3개월, 단기 전망*</w:t>
            </w:r>
          </w:p>
        </w:tc>
        <w:tc>
          <w:tcPr/>
          <w:p>
            <w:pPr>
              <w:pStyle w:val="Compact"/>
              <w:jc w:val="left"/>
            </w:pPr>
            <w:r>
              <w:t xml:space="preserve">1년 Base / Bull / Bear*</w:t>
            </w:r>
          </w:p>
        </w:tc>
      </w:tr>
      <w:tr>
        <w:tc>
          <w:tcPr/>
          <w:p>
            <w:pPr>
              <w:pStyle w:val="Compact"/>
              <w:jc w:val="left"/>
            </w:pPr>
            <w:r>
              <w:t xml:space="preserve">국고 2년 매수</w:t>
            </w:r>
          </w:p>
        </w:tc>
        <w:tc>
          <w:tcPr/>
          <w:p>
            <w:pPr>
              <w:pStyle w:val="Compact"/>
              <w:jc w:val="left"/>
            </w:pPr>
            <w:r>
              <w:t xml:space="preserve">+2.9bp</w:t>
            </w:r>
          </w:p>
        </w:tc>
        <w:tc>
          <w:tcPr/>
          <w:p>
            <w:pPr>
              <w:pStyle w:val="Compact"/>
              <w:jc w:val="left"/>
            </w:pPr>
            <w:r>
              <w:t xml:space="preserve">+25.5 / +149.0 / −31.5bp</w:t>
            </w:r>
          </w:p>
        </w:tc>
      </w:tr>
      <w:tr>
        <w:tc>
          <w:tcPr/>
          <w:p>
            <w:pPr>
              <w:pStyle w:val="Compact"/>
              <w:jc w:val="left"/>
            </w:pPr>
            <w:r>
              <w:t xml:space="preserve">국고 3년 매수</w:t>
            </w:r>
          </w:p>
        </w:tc>
        <w:tc>
          <w:tcPr/>
          <w:p>
            <w:pPr>
              <w:pStyle w:val="Compact"/>
              <w:jc w:val="left"/>
            </w:pPr>
            <w:r>
              <w:t xml:space="preserve">−9.6bp</w:t>
            </w:r>
          </w:p>
        </w:tc>
        <w:tc>
          <w:tcPr/>
          <w:p>
            <w:pPr>
              <w:pStyle w:val="Compact"/>
              <w:jc w:val="left"/>
            </w:pPr>
            <w:r>
              <w:t xml:space="preserve">+8.0 / +190.0 / −76.0bp</w:t>
            </w:r>
          </w:p>
        </w:tc>
      </w:tr>
      <w:tr>
        <w:tc>
          <w:tcPr/>
          <w:p>
            <w:pPr>
              <w:pStyle w:val="Compact"/>
              <w:jc w:val="left"/>
            </w:pPr>
            <w:r>
              <w:t xml:space="preserve">국고 5년 매수</w:t>
            </w:r>
          </w:p>
        </w:tc>
        <w:tc>
          <w:tcPr/>
          <w:p>
            <w:pPr>
              <w:pStyle w:val="Compact"/>
              <w:jc w:val="left"/>
            </w:pPr>
            <w:r>
              <w:t xml:space="preserve">−11.5bp</w:t>
            </w:r>
          </w:p>
        </w:tc>
        <w:tc>
          <w:tcPr/>
          <w:p>
            <w:pPr>
              <w:pStyle w:val="Compact"/>
              <w:jc w:val="left"/>
            </w:pPr>
            <w:r>
              <w:t xml:space="preserve">+22.1 / +301.8 / −132.2bp</w:t>
            </w:r>
          </w:p>
        </w:tc>
      </w:tr>
      <w:tr>
        <w:tc>
          <w:tcPr/>
          <w:p>
            <w:pPr>
              <w:pStyle w:val="Compact"/>
              <w:jc w:val="left"/>
            </w:pPr>
            <w:r>
              <w:t xml:space="preserve">국고 10년 매수</w:t>
            </w:r>
          </w:p>
        </w:tc>
        <w:tc>
          <w:tcPr/>
          <w:p>
            <w:pPr>
              <w:pStyle w:val="Compact"/>
              <w:jc w:val="left"/>
            </w:pPr>
            <w:r>
              <w:t xml:space="preserve">−12.7bp</w:t>
            </w:r>
          </w:p>
        </w:tc>
        <w:tc>
          <w:tcPr/>
          <w:p>
            <w:pPr>
              <w:pStyle w:val="Compact"/>
              <w:jc w:val="left"/>
            </w:pPr>
            <w:r>
              <w:t xml:space="preserve">+10.4 / +466.9 / −363.1bp</w:t>
            </w:r>
          </w:p>
        </w:tc>
      </w:tr>
      <w:tr>
        <w:tc>
          <w:tcPr/>
          <w:p>
            <w:pPr>
              <w:pStyle w:val="Compact"/>
              <w:jc w:val="left"/>
            </w:pPr>
            <w:r>
              <w:t xml:space="preserve">회사채 AA− 3년 매수(헤지 없음)</w:t>
            </w:r>
          </w:p>
        </w:tc>
        <w:tc>
          <w:tcPr/>
          <w:p>
            <w:pPr>
              <w:pStyle w:val="Compact"/>
              <w:jc w:val="left"/>
            </w:pPr>
            <w:r>
              <w:t xml:space="preserve">−0.3bp</w:t>
            </w:r>
          </w:p>
        </w:tc>
        <w:tc>
          <w:tcPr/>
          <w:p>
            <w:pPr>
              <w:pStyle w:val="Compact"/>
              <w:jc w:val="left"/>
            </w:pPr>
            <w:r>
              <w:t xml:space="preserve">+87.6 / +288.6 / −62.9bp</w:t>
            </w:r>
          </w:p>
        </w:tc>
      </w:tr>
      <w:tr>
        <w:tc>
          <w:tcPr/>
          <w:p>
            <w:pPr>
              <w:pStyle w:val="Compact"/>
              <w:jc w:val="left"/>
            </w:pPr>
            <w:r>
              <w:rPr>
                <w:bCs/>
                <w:b/>
              </w:rPr>
              <w:t xml:space="preserve">회사채 AA− 3년 + 국채선물 매도(금리 헤지)</w:t>
            </w:r>
          </w:p>
        </w:tc>
        <w:tc>
          <w:tcPr/>
          <w:p>
            <w:pPr>
              <w:pStyle w:val="Compact"/>
              <w:jc w:val="left"/>
            </w:pPr>
            <w:r>
              <w:rPr>
                <w:bCs/>
                <w:b/>
              </w:rPr>
              <w:t xml:space="preserve">+8.6bp</w:t>
            </w:r>
          </w:p>
        </w:tc>
        <w:tc>
          <w:tcPr/>
          <w:p>
            <w:pPr>
              <w:pStyle w:val="Compact"/>
              <w:jc w:val="left"/>
            </w:pPr>
            <w:r>
              <w:rPr>
                <w:bCs/>
                <w:b/>
              </w:rPr>
              <w:t xml:space="preserve">+79.6 / +98.6 / +13.1bp</w:t>
            </w:r>
          </w:p>
        </w:tc>
      </w:tr>
      <w:tr>
        <w:tc>
          <w:tcPr/>
          <w:p>
            <w:pPr>
              <w:pStyle w:val="Compact"/>
              <w:jc w:val="left"/>
            </w:pPr>
            <w:r>
              <w:t xml:space="preserve">회사채 AA0 / AA+ 3년 + 금리 헤지</w:t>
            </w:r>
          </w:p>
        </w:tc>
        <w:tc>
          <w:tcPr/>
          <w:p>
            <w:pPr>
              <w:pStyle w:val="Compact"/>
              <w:jc w:val="left"/>
            </w:pPr>
            <w:r>
              <w:t xml:space="preserve">+7.4 / +6.4bp</w:t>
            </w:r>
          </w:p>
        </w:tc>
        <w:tc>
          <w:tcPr/>
          <w:p>
            <w:pPr>
              <w:pStyle w:val="Compact"/>
              <w:jc w:val="left"/>
            </w:pPr>
            <w:r>
              <w:t xml:space="preserve">Bear +8.1 / +2.2bp</w:t>
            </w:r>
          </w:p>
        </w:tc>
      </w:tr>
    </w:tbl>
    <w:p>
      <w:pPr>
        <w:numPr>
          <w:ilvl w:val="0"/>
          <w:numId w:val="1009"/>
        </w:numPr>
        <w:pStyle w:val="Compact"/>
      </w:pPr>
      <w:r>
        <w:t xml:space="preserve">[판단]</w:t>
      </w:r>
      <w:r>
        <w:t xml:space="preserve"> </w:t>
      </w:r>
      <w:r>
        <w:rPr>
          <w:bCs/>
          <w:b/>
        </w:rPr>
        <w:t xml:space="preserve">결론은 같고 실행 순서가 달라진다.</w:t>
      </w:r>
      <w:r>
        <w:t xml:space="preserve"> </w:t>
      </w:r>
      <w:r>
        <w:t xml:space="preserve">벤치마크가 없으므로 ’듀레이션 중립’을 버린다. 대신 단계를 나눈다.</w:t>
      </w:r>
    </w:p>
    <w:p>
      <w:pPr>
        <w:numPr>
          <w:ilvl w:val="1"/>
          <w:numId w:val="1010"/>
        </w:numPr>
        <w:pStyle w:val="Compact"/>
      </w:pPr>
      <w:r>
        <w:rPr>
          <w:bCs/>
          <w:b/>
        </w:rPr>
        <w:t xml:space="preserve">1단계(지금):</w:t>
      </w:r>
      <w:r>
        <w:t xml:space="preserve"> </w:t>
      </w:r>
      <w:r>
        <w:t xml:space="preserve">금리 위험을 헤지한 AA 크레딧 캐리를 핵심으로 쌓는다. 단기 전망과 1년 세 시나리오 모두에서 플러스인 포지션은 이것뿐이다.</w:t>
      </w:r>
    </w:p>
    <w:p>
      <w:pPr>
        <w:numPr>
          <w:ilvl w:val="1"/>
          <w:numId w:val="1010"/>
        </w:numPr>
        <w:pStyle w:val="Compact"/>
      </w:pPr>
      <w:r>
        <w:rPr>
          <w:bCs/>
          <w:b/>
        </w:rPr>
        <w:t xml:space="preserve">2단계(10월 CPI·11월 금통위 뒤 금리 상승 시):</w:t>
      </w:r>
      <w:r>
        <w:t xml:space="preserve"> </w:t>
      </w:r>
      <w:r>
        <w:t xml:space="preserve">국고 3년 3.95%, 5년 4.10% 근처에서 국채선물 헤지를 풀어 2~5년 방향성 롱으로 전환한다.</w:t>
      </w:r>
    </w:p>
    <w:p>
      <w:pPr>
        <w:numPr>
          <w:ilvl w:val="1"/>
          <w:numId w:val="1010"/>
        </w:numPr>
        <w:pStyle w:val="Compact"/>
      </w:pPr>
      <w:r>
        <w:t xml:space="preserve">10년 아웃라이트는 위험 대비 보상이 가장 낮아 쓰지 않는다. 3s10s 플래트너는 3개월 비용(−3.1bp)이 기대 이익(+5bp)의 60%를 잠식해 핵심에서 뺀다.</w:t>
      </w:r>
    </w:p>
    <w:p>
      <w:pPr>
        <w:numPr>
          <w:ilvl w:val="0"/>
          <w:numId w:val="1009"/>
        </w:numPr>
        <w:pStyle w:val="Compact"/>
      </w:pPr>
      <w:r>
        <w:t xml:space="preserve">[판단]</w:t>
      </w:r>
      <w:r>
        <w:t xml:space="preserve"> </w:t>
      </w:r>
      <w:r>
        <w:rPr>
          <w:bCs/>
          <w:b/>
        </w:rPr>
        <w:t xml:space="preserve">등급 선택이 달라진다.</w:t>
      </w:r>
      <w:r>
        <w:t xml:space="preserve"> </w:t>
      </w:r>
      <w:r>
        <w:t xml:space="preserve">수익 극대화 목적이라면 헤지 캐리가 큰 AA0~AA−(긍정적·안정적 전망 종목)가 AA+보다 낫다. AA+는 Bear에서 +2.2bp로 여유가 거의 없다. 대신 종목 수를 늘려 개별 등급 하락(한 단계당 약 −1%)을 분산한다. 긍정적 전망 A급은 등급 상향에 따른 스프레드 축소를 노리는 소규모 위성으로만 쓴다.</w:t>
      </w:r>
    </w:p>
    <w:p>
      <w:pPr>
        <w:numPr>
          <w:ilvl w:val="0"/>
          <w:numId w:val="1009"/>
        </w:numPr>
        <w:pStyle w:val="Compact"/>
      </w:pPr>
      <w:r>
        <w:t xml:space="preserve">[판단]</w:t>
      </w:r>
      <w:r>
        <w:t xml:space="preserve"> </w:t>
      </w:r>
      <w:r>
        <w:rPr>
          <w:bCs/>
          <w:b/>
        </w:rPr>
        <w:t xml:space="preserve">레버리지는 위험 한도 안에서 헤지 크레딧에 우선 배정한다.</w:t>
      </w:r>
      <w:r>
        <w:t xml:space="preserve"> </w:t>
      </w:r>
      <w:r>
        <w:t xml:space="preserve">최악 시나리오 손실이 작아 같은 위험 한도에서 가장 큰 규모를 실을 수 있다. 다만 은행채 공급이 몰리는 연말 RP 조달 금리 상승은 점검한다.</w:t>
      </w:r>
    </w:p>
    <w:bookmarkStart w:id="33" w:name="팀-회의-발표문-약-1100자"/>
    <w:p>
      <w:pPr>
        <w:pStyle w:val="Heading3"/>
      </w:pPr>
      <w:r>
        <w:t xml:space="preserve">팀 회의 발표문 (약 1,100자)</w:t>
      </w:r>
    </w:p>
    <w:p>
      <w:pPr>
        <w:pStyle w:val="FirstParagraph"/>
      </w:pPr>
      <w:r>
        <w:t xml:space="preserve">결론부터 말씀드리면, 지금은 금리 방향에 베팅하기보다 우량 회사채의 추가 금리를 먼저 쌓고, 국고채 매수는 물가 지표와 11월 금통위를 확인한 뒤 금리가 오를 때로 미루는 것이 수익을 극대화하는 길입니다.</w:t>
      </w:r>
    </w:p>
    <w:p>
      <w:pPr>
        <w:pStyle w:val="BodyText"/>
      </w:pPr>
      <w:r>
        <w:t xml:space="preserve">먼저 국고채입니다. 시장은 이미 두 차례 추가 인상을 가격에 반영했습니다. 1년 통안채 금리가 3.57%로 기준금리보다 0.57%p 높기 때문입니다. 따라서 인상 자체는 새로운 악재가 아닙니다. 다만 10월 물가와 11월 금통위가 단기적으로 금리를 밀어 올릴 수 있어, 지금 3~10년물을 사면 석 달 동안 0.1%p 안팎의 손실이 예상됩니다. 채권은 금리가 오를수록 싸지므로, 3년물 3.95%, 5년물 4.10% 근처까지 오르면 2~5년물을 사겠습니다. 이 구간은 시간이 지나며 생기는 가격 상승 효과가 가장 크고, 위험 한 단위당 기대수익이 10년물의 2~4배입니다. 10년물은 미국 장기금리 충격에 가장 크게 흔들려 비중을 두지 않겠습니다. 3년물을 팔고 10년물을 사는 전략은 들고만 있어도 석 달에 약 0.03%p의 비용이 들어, 기대 이익의 60%를 잠식하므로 핵심 전략에서 제외합니다.</w:t>
      </w:r>
    </w:p>
    <w:p>
      <w:pPr>
        <w:pStyle w:val="BodyText"/>
      </w:pPr>
      <w:r>
        <w:t xml:space="preserve">다음은 회사채입니다. AA급 3년 회사채는 국고채보다 연 0.6~0.7%p 높은 금리를 줍니다. 국채선물을 팔아 금리 변동 위험을 지우면 이 추가 금리만 남습니다. 이 포지션은 국고채 대비 추가 금리가 1년 동안 약 0.36%p 이상 벌어지지 않는 한 이익이고, 우리가 가정한 비관 시나리오(+0.30%p)에서도 이익이 납니다. 검토한 전략 가운데 단기와 1년 모든 시나리오에서 수익이 나는 유일한 포지션이므로 지금의 핵심으로 삼겠습니다. 만기는 2~3년으로 합니다. 5년으로 늘려도 늘어나는 금리가 국고채 증가분보다 작아, 신용 위험에 대한 보상이 오히려 줄기 때문입니다. 종목은 엄격히 고르겠습니다. 등급이 한 단계만 내려가도 약 1%의 손실이 나 1년 치 추가 금리를 넘기 때문입니다. 등급 전망이 긍정적인 기업을 우선하고, 부정적 전망이 몰린 석유화학과 연체율이 오르는 하위 등급은 피하겠습니다.</w:t>
      </w:r>
    </w:p>
    <w:p>
      <w:pPr>
        <w:pStyle w:val="BodyText"/>
      </w:pPr>
      <w:r>
        <w:t xml:space="preserve">정리하면, 회사채 추가 금리로 수익의 바닥을 먼저 다지고, 금리가 오르는 시점에 국채선물 헤지를 풀어 금리가 내려갈 때 생기는 2~5년물 가격 상승 이익까지 노리는 2단계 전략입니다.</w:t>
      </w:r>
    </w:p>
    <w:bookmarkEnd w:id="33"/>
    <w:bookmarkEnd w:id="34"/>
    <w:bookmarkStart w:id="35" w:name="한계와-가정"/>
    <w:p>
      <w:pPr>
        <w:pStyle w:val="Heading2"/>
      </w:pPr>
      <w:r>
        <w:t xml:space="preserve">7. 한계와 가정</w:t>
      </w:r>
    </w:p>
    <w:p>
      <w:pPr>
        <w:numPr>
          <w:ilvl w:val="0"/>
          <w:numId w:val="1011"/>
        </w:numPr>
        <w:pStyle w:val="Compact"/>
      </w:pPr>
      <w:r>
        <w:t xml:space="preserve">시나리오 충격은 우리 매크로 토픽(1~3년)을 1년 보유 손익에 그대로 적용한 단순화다. 5년 충격은 3·10년 선형 보간, 2년 충격은 3년과 같다고 가정했다.</w:t>
      </w:r>
    </w:p>
    <w:p>
      <w:pPr>
        <w:numPr>
          <w:ilvl w:val="0"/>
          <w:numId w:val="1011"/>
        </w:numPr>
        <w:pStyle w:val="Compact"/>
      </w:pPr>
      <w:r>
        <w:t xml:space="preserve">조달금리(3개월 3.20%, 1년 3.40%)와 듀레이션은 추정이다. 국채선물로 구성하면 캐리는 선물 베이시스에 들어가지만 경제적 효과는 비슷하다.</w:t>
      </w:r>
    </w:p>
    <w:p>
      <w:pPr>
        <w:numPr>
          <w:ilvl w:val="0"/>
          <w:numId w:val="1011"/>
        </w:numPr>
        <w:pStyle w:val="Compact"/>
      </w:pPr>
      <w:r>
        <w:t xml:space="preserve">크레딧 초과수익에는 부도·등급 하락 손실, 거래비용, 유동성 프리미엄이 빠져 있다. AA 스프레드 충격은 AA+·AA0에도 같게 적용했다.</w:t>
      </w:r>
    </w:p>
    <w:p>
      <w:pPr>
        <w:numPr>
          <w:ilvl w:val="0"/>
          <w:numId w:val="1011"/>
        </w:numPr>
        <w:pStyle w:val="Compact"/>
      </w:pPr>
      <w:r>
        <w:t xml:space="preserve">하우스 뷰는 신한 한 곳이다. 3분기 GDP 수치와 KCC 10/27 수요예측 결과, KCC 재무지표는 확인하지 못했다.</w:t>
      </w:r>
    </w:p>
    <w:p>
      <w:r>
        <w:pict>
          <v:rect style="width:0;height:1.5pt" o:hralign="center" o:hrstd="t" o:hr="t"/>
        </w:pict>
      </w:r>
    </w:p>
    <w:p>
      <w:pPr>
        <w:pStyle w:val="FirstParagraph"/>
      </w:pPr>
      <w:r>
        <w:rPr>
          <w:bCs/>
          <w:b/>
        </w:rPr>
        <w:t xml:space="preserve">면책</w:t>
      </w:r>
      <w:r>
        <w:t xml:space="preserve">: 본 자료는 개인의 의사결정 보조를 위한 분석 자료이며 투자 권유가 아닙니다. 시나리오·확률·가정은 하우스 뷰와 에이전트 판단에 기반한 추정으로 실제 결과와 다를 수 있습니다.</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2026-10-27T13:38:06Z</dcterms:created>
  <dcterms:modified xsi:type="dcterms:W3CDTF">2026-10-27T13:38:06Z</dcterms:modified>
</cp:coreProperties>
</file>

<file path=docProps/custom.xml><?xml version="1.0" encoding="utf-8"?>
<Properties xmlns="http://schemas.openxmlformats.org/officeDocument/2006/custom-properties" xmlns:vt="http://schemas.openxmlformats.org/officeDocument/2006/docPropsVTypes"/>
</file>