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국고채회사채-운용-전략-팀-회의-발표문-2026-10-27"/>
    <w:p>
      <w:pPr>
        <w:pStyle w:val="Heading1"/>
      </w:pPr>
      <w:r>
        <w:t xml:space="preserve">국고채·회사채 운용 전략 — 팀 회의 발표문 (2026-10-27)</w:t>
      </w:r>
    </w:p>
    <w:p>
      <w:pPr>
        <w:pStyle w:val="BlockText"/>
      </w:pPr>
      <w:r>
        <w:t xml:space="preserve">절대수익 운용 기준. 근거 수치는</w:t>
      </w:r>
      <w:r>
        <w:t xml:space="preserve"> </w:t>
      </w:r>
      <w:r>
        <w:rPr>
          <w:rStyle w:val="VerbatimChar"/>
        </w:rPr>
        <w:t xml:space="preserve">reports/2026-10-27_국내채권_투자전략.md</w:t>
      </w:r>
      <w:r>
        <w:t xml:space="preserve"> </w:t>
      </w:r>
      <w:r>
        <w:t xml:space="preserve">3·4·8절. 투자 권유가 아닌 내부 논의용 의견.</w:t>
      </w:r>
    </w:p>
    <w:p>
      <w:pPr>
        <w:pStyle w:val="FirstParagraph"/>
      </w:pPr>
      <w:r>
        <w:t xml:space="preserve">결론부터 말씀드리면, 지금은 금리 방향에 베팅하기보다 우량 회사채의 추가 금리를 먼저 쌓고, 국고채 매수는 물가 지표와 11월 금통위를 확인한 뒤 금리가 오를 때로 미루는 것이 수익을 극대화하는 길입니다.</w:t>
      </w:r>
    </w:p>
    <w:p>
      <w:pPr>
        <w:pStyle w:val="BodyText"/>
      </w:pPr>
      <w:r>
        <w:t xml:space="preserve">먼저 국고채입니다. 시장은 이미 두 차례 추가 인상을 가격에 반영했습니다. 1년 통안채 금리가 3.57%로 기준금리보다 0.57%p 높기 때문입니다. 따라서 인상 자체는 새로운 악재가 아닙니다. 다만 10월 물가와 11월 금통위가 단기적으로 금리를 밀어 올릴 수 있어, 지금 3~10년물을 사면 석 달 동안 0.1%p 안팎의 손실이 예상됩니다. 채권은 금리가 오를수록 싸지므로, 3년물 3.95%, 5년물 4.10% 근처까지 오르면 2~5년물을 사겠습니다. 이 구간은 시간이 지나며 생기는 가격 상승 효과가 가장 크고, 위험 한 단위당 기대수익이 10년물의 2~4배입니다. 10년물은 미국 장기금리 충격에 가장 크게 흔들려 비중을 두지 않겠습니다. 3년물을 팔고 10년물을 사는 전략은 들고만 있어도 석 달에 약 0.03%p의 비용이 들어, 기대 이익의 60%를 잠식하므로 핵심 전략에서 제외합니다.</w:t>
      </w:r>
    </w:p>
    <w:p>
      <w:pPr>
        <w:pStyle w:val="BodyText"/>
      </w:pPr>
      <w:r>
        <w:t xml:space="preserve">다음은 회사채입니다. AA급 3년 회사채는 국고채보다 연 0.6~0.7%p 높은 금리를 줍니다. 국채선물을 팔아 금리 변동 위험을 지우면 이 추가 금리만 남습니다. 이 포지션은 국고채 대비 추가 금리가 1년 동안 약 0.36%p 이상 벌어지지 않는 한 이익이고, 우리가 가정한 비관 시나리오(+0.30%p)에서도 이익이 납니다. 검토한 전략 가운데 단기와 1년 모든 시나리오에서 수익이 나는 유일한 포지션이므로 지금의 핵심으로 삼겠습니다. 만기는 2~3년으로 합니다. 5년으로 늘려도 늘어나는 금리가 국고채 증가분보다 작아, 신용 위험에 대한 보상이 오히려 줄기 때문입니다. 종목은 엄격히 고르겠습니다. 등급이 한 단계만 내려가도 약 1%의 손실이 나 1년 치 추가 금리를 넘기 때문입니다. 등급 전망이 긍정적인 기업을 우선하고, 부정적 전망이 몰린 석유화학과 연체율이 오르는 하위 등급은 피하겠습니다.</w:t>
      </w:r>
    </w:p>
    <w:p>
      <w:pPr>
        <w:pStyle w:val="BodyText"/>
      </w:pPr>
      <w:r>
        <w:t xml:space="preserve">정리하면, 회사채 추가 금리로 수익의 바닥을 먼저 다지고, 금리가 오르는 시점에 국채선물 헤지를 풀어 금리가 내려갈 때 생기는 2~5년물 가격 상승 이익까지 노리는 2단계 전략입니다.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2026-10-27T13:38:06Z</dcterms:created>
  <dcterms:modified xsi:type="dcterms:W3CDTF">2026-10-27T13:38:06Z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