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삼성생명-포트폴리오재무제표-매크로-영향-분석-2026-10-26"/>
    <w:p>
      <w:pPr>
        <w:pStyle w:val="Heading1"/>
      </w:pPr>
      <w:r>
        <w:t xml:space="preserve">삼성생명 포트폴리오·재무제표 매크로 영향 분석 — 2026-10-26</w:t>
      </w:r>
    </w:p>
    <w:p>
      <w:pPr>
        <w:pStyle w:val="BlockText"/>
      </w:pPr>
      <w:r>
        <w:t xml:space="preserve">업종: 보험사 (</w:t>
      </w:r>
      <w:r>
        <w:rPr>
          <w:rStyle w:val="VerbatimChar"/>
        </w:rPr>
        <w:t xml:space="preserve">entity_type: insurer</w:t>
      </w:r>
      <w:r>
        <w:t xml:space="preserve">) — 분석 관점은</w:t>
      </w:r>
      <w:r>
        <w:t xml:space="preserve"> </w:t>
      </w:r>
      <w:r>
        <w:rPr>
          <w:rStyle w:val="VerbatimChar"/>
        </w:rPr>
        <w:t xml:space="preserve">config/entity_profiles.yaml</w:t>
      </w:r>
    </w:p>
    <w:p>
      <w:pPr>
        <w:pStyle w:val="BlockText"/>
      </w:pPr>
      <w:r>
        <w:t xml:space="preserve">익스포저 기준 2026Q2 · 매크로 충격 기준일 2026-10-26 (knowledge/macro_topics/2026-10-26/ (build_shocks.py)) · 금액 단위 억원, bp = 운용자산 대비 ·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= 가정/추정값 포함 · 평가 기준: 경제적 가치(공정가치) 기준 — 회계상 손익(AC 분류, 원가모형 부동산 등)과 다를 수 있음</w:t>
      </w:r>
    </w:p>
    <w:bookmarkStart w:id="20" w:name="요약"/>
    <w:p>
      <w:pPr>
        <w:pStyle w:val="Heading2"/>
      </w:pPr>
      <w:r>
        <w:t xml:space="preserve">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운용자산 평가손익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운용자산 대비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-62,793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+926.9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-448,152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-11,951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확률가중 기대값 (장기-Base/장기-Bull/장기-Bear)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가장 취약한 자산군 3개</w:t>
      </w:r>
      <w:r>
        <w:t xml:space="preserve"> </w:t>
      </w:r>
      <w:r>
        <w:t xml:space="preserve">(시나리오별 최대 손실 기준)</w:t>
      </w:r>
    </w:p>
    <w:p>
      <w:pPr>
        <w:numPr>
          <w:ilvl w:val="0"/>
          <w:numId w:val="1001"/>
        </w:numPr>
        <w:pStyle w:val="Compact"/>
      </w:pPr>
      <w:r>
        <w:t xml:space="preserve">주식: -343,855억원 (장기-Bear)</w:t>
      </w:r>
    </w:p>
    <w:p>
      <w:pPr>
        <w:numPr>
          <w:ilvl w:val="0"/>
          <w:numId w:val="1001"/>
        </w:numPr>
        <w:pStyle w:val="Compact"/>
      </w:pPr>
      <w:r>
        <w:t xml:space="preserve">국공채: -45,339억원 (장기-Bear)</w:t>
      </w:r>
    </w:p>
    <w:p>
      <w:pPr>
        <w:numPr>
          <w:ilvl w:val="0"/>
          <w:numId w:val="1001"/>
        </w:numPr>
        <w:pStyle w:val="Compact"/>
      </w:pPr>
      <w:r>
        <w:t xml:space="preserve">해외채(혼합): -28,246억원 (장기-Bear)</w:t>
      </w:r>
    </w:p>
    <w:p>
      <w:pPr>
        <w:pStyle w:val="FirstParagraph"/>
      </w:pPr>
      <w:r>
        <w:rPr>
          <w:bCs/>
          <w:b/>
        </w:rPr>
        <w:t xml:space="preserve">핵심 제안 3가지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삼성전자 배당 현금으로 금리 하락에 대비</w:t>
      </w:r>
      <w:r>
        <w:t xml:space="preserve">: 하반기 삼성전자 배당 유입은 약 2.5조원으로 추정된다(3분기 특별배당 업계 추정 포함). 이 돈과 금산법 대응 매각 대금을 초장기 국고채에 우선 재투자해, 금리 −100bp 시 K-ICS −3.4%p(p.44)인 하락 쪽 약점을 채권 매도 없이 메운다. 새 매크로 Bull(국고 10년 −45bp, 확률 0.25)이 바로 이 위험이다.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이익 계획은 ’삼성전자 배당’과 ’본업’을 분리</w:t>
      </w:r>
      <w:r>
        <w:t xml:space="preserve">: 삼성전자 주가 변동은 순이익에 들어가지 않고 배당만 들어온다. 주당 100원 배당은 약 500억원(세전, 계약자 몫 전, 추정)이다. 특별배당은 일회성으로 떼어 배당정책·성과 평가의 기준에서 빼고, 보험손익(−35.9%)과 CSM(정체)으로 본업 체력을 따로 관리한다.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환헤지 미세조정과 매매 가능 자산 내 수익률 제고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환헤지: USD 순노출이 −1.54조원으로 과헤지다(p.33). 원화 약세 시 손실이므로 헤지비율을 100%에 맞춘다.</w:t>
      </w:r>
    </w:p>
    <w:p>
      <w:pPr>
        <w:numPr>
          <w:ilvl w:val="1"/>
          <w:numId w:val="1003"/>
        </w:numPr>
        <w:pStyle w:val="Compact"/>
      </w:pPr>
      <w:r>
        <w:t xml:space="preserve">수익률 제고: 삼성전자 등 계열 지분을 뺀 약 195조원 안에서 대출형 사모대출·해외채를 늘리되 자산 듀레이션은 줄이지 않는다. 기대 총수익 +2,568억원/년</w:t>
      </w:r>
      <w:r>
        <w:rPr>
          <w:iCs/>
          <w:i/>
        </w:rPr>
        <w:t xml:space="preserve">, K-ICS 205.2~206.5%</w:t>
      </w:r>
      <w:r>
        <w:t xml:space="preserve">다.</w:t>
      </w:r>
    </w:p>
    <w:bookmarkEnd w:id="20"/>
    <w:bookmarkStart w:id="21" w:name="꼭-기억할-포인트-10가지"/>
    <w:p>
      <w:pPr>
        <w:pStyle w:val="Heading2"/>
      </w:pPr>
      <w:r>
        <w:t xml:space="preserve">꼭 기억할 포인트 10가지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자본 100.7조원의 85.8%가 기타포괄손익</w:t>
      </w:r>
      <w:r>
        <w:t xml:space="preserve">이다. FVOCI 상장주식 171.9조원(운용자산의 46.2%)의 평가이익이 170.2조원이다(p.12-13). [판단] 그 대부분은 삼성전자 보통주 8.51%(사용자 정보)로 본다. 공시는 ’주가 상승’으로만 적었다. 상반기에 K-ICS상 선진시장 상장주식 자산이 78.7조원에서 193.5조원으로 146% 늘어(p.31) 삼성전자 주가가 두 배 넘게 오른 것과 정합한다(추정).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주가 평가이익은 순이익에 들어가지 않는다.</w:t>
      </w:r>
      <w:r>
        <w:t xml:space="preserve"> </w:t>
      </w:r>
      <w:r>
        <w:t xml:space="preserve">FVOCI로 지정한 지분증권은 평가손익이 기타포괄손익으로만 가고, 팔아도 당기손익으로 재분류되지 않는다(IFRS 9). 상반기 지분증권 평가이익 +78.7조원(세후)은 전액 기타포괄손익이다(p.66). [판단] 그래서 ’평가이익 때문에 커 보이는 것’은</w:t>
      </w:r>
      <w:r>
        <w:t xml:space="preserve"> </w:t>
      </w:r>
      <w:r>
        <w:rPr>
          <w:bCs/>
          <w:b/>
        </w:rPr>
        <w:t xml:space="preserve">자산·자본·K-ICS 가용자본</w:t>
      </w:r>
      <w:r>
        <w:t xml:space="preserve">이다. 손익으로 들어오는 것은</w:t>
      </w:r>
      <w:r>
        <w:t xml:space="preserve"> </w:t>
      </w:r>
      <w:r>
        <w:rPr>
          <w:bCs/>
          <w:b/>
        </w:rPr>
        <w:t xml:space="preserve">배당</w:t>
      </w:r>
      <w:r>
        <w:t xml:space="preserve">뿐이다. 배당금수익은 5,719억원에서 6,793억원으로 +1,074억원 늘었다(K-IFRS, p.65). 삼성전자 배당 증가분은 약 +1,000억원(2025년 4분기 주당 566원 특별배당 포함, 추정)으로 거의 전부를 설명한다. 다만 이 증가분은 투자손익 감소(−798억원)를 줄인 쿠션이었다. 순이익 증가(+1,177억원)의 최대 기여는 영업외손익 개선(+5,227억원)이다. ROE 3.65%·운용자산이익률 2.89%는 이 평가이익이 분모를 키운 결과다(p.24). 분모를 1년 전 수준으로 두면 운용자산이익률은 3.59%(추정)다.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’자본’이 두 개</w:t>
      </w:r>
      <w:r>
        <w:t xml:space="preserve">다. 업무보고서 기준 자본은 100.7조원(p.4)이고, K-IFRS 재무제표 자본은 137.9조원(p.62)이다. 차이의 핵심은 부채로 분류된</w:t>
      </w:r>
      <w:r>
        <w:t xml:space="preserve"> </w:t>
      </w:r>
      <w:r>
        <w:rPr>
          <w:bCs/>
          <w:b/>
        </w:rPr>
        <w:t xml:space="preserve">계약자지분조정 51.0조원</w:t>
      </w:r>
      <w:r>
        <w:t xml:space="preserve">(1년 전 8.9조원, p.7)이다. 유배당 계약자 몫이다.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이연법인세부채 45.0조원</w:t>
      </w:r>
      <w:r>
        <w:t xml:space="preserve">이다(K-IFRS, 1년 전 14.6조원, p.62). 평가이익이 실현되면 세금이 나간다는 뜻이다.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K-ICS 208.2%의 요구자본은 주식이 좌우</w:t>
      </w:r>
      <w:r>
        <w:t xml:space="preserve">한다. 시장위험액 74.3조원(위험액 합계의 80%) 가운데 주식위험액이 69.5조원이다. 자산집중위험액은 25.4조원이고 한도 초과 익스포저는 157.7조원이다(p.20, p.31, p.34). 금리위험액은 1.0조원에 그친다(p.29). [판단] 사실상 단일 종목 집중이 자본비율을 결정한다.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보험 본업은 약해졌다.</w:t>
      </w:r>
      <w:r>
        <w:t xml:space="preserve"> </w:t>
      </w:r>
      <w:r>
        <w:t xml:space="preserve">보험손익이 8,313억원에서 5,330억원으로 35.9% 줄었다. 원인은 보험금 예실차 −1,613억원과 공시이율 상승이다. 보험금지급률은 112.97%에서 128.77%로 올랐다(p.5-6, p.8). CSM은 13.74조원으로 1년 전과 같다(신계약 +1.7조원, 추정 변경 −0.7조원, 상각 0.7조원, p.8-9). 2분기 K-ICS는 계리 가정 감독 강화로 1분기보다 1.7%p 내렸다(p.15).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순이익을 받친 것은 영업외손익</w:t>
      </w:r>
      <w:r>
        <w:t xml:space="preserve">이다. 영업외손익이 −454억원에서 +4,773억원으로 5,227억원 좋아졌다(환율변동손익·충당부채 환입, p.6, p.8). 영업이익은 25.1% 줄었다.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채권은 평가손이 크다.</w:t>
      </w:r>
      <w:r>
        <w:t xml:space="preserve"> </w:t>
      </w:r>
      <w:r>
        <w:t xml:space="preserve">원화 FVOCI 채권은 −20.0조원(공정가액의 −21.0%), 외화는 −4.3조원(−16.2%)이다(p.12). [판단] 채권을 팔면 손실이 실현되므로 재배분은 만기 도래분으로만 가능하다. 현대해상과 같은 구조이고 규모는 훨씬 크다.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금리 하락에 비대칭으로 약하다</w:t>
      </w:r>
      <w:r>
        <w:t xml:space="preserve">(−100bp −3.4%p / +100bp −1.0%p / +50bp +0.2%p, p.44).</w:t>
      </w:r>
      <w:r>
        <w:t xml:space="preserve"> </w:t>
      </w:r>
      <w:r>
        <w:rPr>
          <w:bCs/>
          <w:b/>
        </w:rPr>
        <w:t xml:space="preserve">환율은 과헤지 구조</w:t>
      </w:r>
      <w:r>
        <w:t xml:space="preserve">다(USD −1.54조원, EUR −1.04조원, CNY +2.17조원은 비헤지, p.33). K-IFRS 손익에서 파생·외환 순손실은 −1.14조원(전년 −0.51조원)이고, 위험회피 파생 기타포괄손익은 −1.57조원이다(p.65-66).</w:t>
      </w:r>
    </w:p>
    <w:p>
      <w:pPr>
        <w:numPr>
          <w:ilvl w:val="0"/>
          <w:numId w:val="1004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펀드(간접) 운용은 대체투자 위주이고 전체 비중은 크지 않다.</w:t>
      </w:r>
      <w:r>
        <w:t xml:space="preserve"> </w:t>
      </w:r>
      <w:r>
        <w:t xml:space="preserve">FVPL 수익증권 6.9조원, FVPL 외화유가증권 3.0조원, 관계·종속기업투자</w:t>
      </w:r>
      <w:r>
        <w:t xml:space="preserve"> </w:t>
      </w:r>
      <w:r>
        <w:t xml:space="preserve">‘</w:t>
      </w:r>
      <w:r>
        <w:t xml:space="preserve">기타</w:t>
      </w:r>
      <w:r>
        <w:t xml:space="preserve">’</w:t>
      </w:r>
      <w:r>
        <w:t xml:space="preserve"> </w:t>
      </w:r>
      <w:r>
        <w:t xml:space="preserve">19.1조원(종속 펀드 추정)을 합하면 약 28.9조원(운용자산의 7.8%)이다(p.12). 나머지는 주식·채권·대출 직접 보유다. [판단] K-ICS</w:t>
      </w:r>
      <w:r>
        <w:t xml:space="preserve"> </w:t>
      </w:r>
      <w:r>
        <w:t xml:space="preserve">‘</w:t>
      </w:r>
      <w:r>
        <w:t xml:space="preserve">기타주식</w:t>
      </w:r>
      <w:r>
        <w:t xml:space="preserve">’</w:t>
      </w:r>
      <w:r>
        <w:t xml:space="preserve"> </w:t>
      </w:r>
      <w:r>
        <w:t xml:space="preserve">17.2조원의 위험액이 10.7조원(계수 62%)이다(p.31). 기타주식 기본 계수(48%, 웹확인 —</w:t>
      </w:r>
      <w:r>
        <w:t xml:space="preserve"> </w:t>
      </w:r>
      <w:r>
        <w:rPr>
          <w:rStyle w:val="VerbatimChar"/>
        </w:rPr>
        <w:t xml:space="preserve">config/yield_assumptions.yaml</w:t>
      </w:r>
      <w:r>
        <w:t xml:space="preserve">)보다 높아, 룩스루가 안 되는 펀드가 많을 가능성이 있다(추정).</w:t>
      </w:r>
    </w:p>
    <w:bookmarkEnd w:id="21"/>
    <w:bookmarkStart w:id="22" w:name="삼성전자-지분-관점-재분석"/>
    <w:p>
      <w:pPr>
        <w:pStyle w:val="Heading2"/>
      </w:pPr>
      <w:r>
        <w:t xml:space="preserve">삼성전자 지분 관점 재분석</w:t>
      </w:r>
    </w:p>
    <w:p>
      <w:pPr>
        <w:pStyle w:val="BlockText"/>
      </w:pPr>
      <w:r>
        <w:t xml:space="preserve">근거: 지분율 8.51%는 사용자 정보이고, 2026-03 금산법 대응 매각 보도로 8.4%대일 가능성이 있다(웹확인, 미대조). 보유 주식 약 5억 주, 배당 단가는 보도 기반 추정이다(</w:t>
      </w:r>
      <w:r>
        <w:rPr>
          <w:rStyle w:val="VerbatimChar"/>
        </w:rPr>
        <w:t xml:space="preserve">knowledge/portfolios/삼성생명/financials_1H26.json</w:t>
      </w:r>
      <w:r>
        <w:t xml:space="preserve">의</w:t>
      </w:r>
      <w:r>
        <w:t xml:space="preserve"> </w:t>
      </w:r>
      <w:r>
        <w:t xml:space="preserve">‘</w:t>
      </w:r>
      <w:r>
        <w:t xml:space="preserve">삼성전자_지분_추정</w:t>
      </w:r>
      <w:r>
        <w:t xml:space="preserve">’</w:t>
      </w:r>
      <w:r>
        <w:t xml:space="preserve">). 금액은 모두 세전이고, 유배당 계약자 몫 차감 전이다.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재무제표 반영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주가 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기타포괄손익(FVOCI 지분증권) → 자본, 계약자지분조정(부채), 이연법인세(부채).</w:t>
            </w:r>
            <w:r>
              <w:t xml:space="preserve"> </w:t>
            </w:r>
            <w:r>
              <w:rPr>
                <w:bCs/>
                <w:b/>
              </w:rPr>
              <w:t xml:space="preserve">당기순이익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평가이익 +78.7조원(세후, p.66)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주가 ±10% → 평가액 ±17.2조원, 주주 몫 자본 약 ±8.9조원(세율 26.4%·계약자 몫 30% 가정, 추정)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투자수익(배당금수익) →</w:t>
            </w:r>
            <w:r>
              <w:t xml:space="preserve"> </w:t>
            </w:r>
            <w:r>
              <w:rPr>
                <w:bCs/>
                <w:b/>
              </w:rPr>
              <w:t xml:space="preserve">당기순이익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삼성전자 배당 약 4,650억원(추정) / 회사 전체 배당금수익 6,793억원(p.65)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하반기 약 2.5조원(2분기 374원 + 3분기 4,570원 업계 추정) — 상반기 순이익(1.32조원)의 약 1.9배(추정)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지분 매각(금산법)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기타포괄손익 → 이익잉여금 대체(당기손익 아님), 세금 실현, 유배당 계약자 배당 재원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 약 624만 주·1.3조원 매각 보도(웹확인)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삼성전자 자사주 소각이 이어지면 생명+화재 합산 10% 한도 때문에 추가 매각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가용자본(평가이익) ↑ + 주식위험·자산집중위험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주식위험 69.5조원, 집중위험 25.4조원(p.31, p.34)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주가가 움직여도 비율 변화는 작고, 절대 자본·배당 여력이 크게 움직임</w:t>
            </w:r>
          </w:p>
        </w:tc>
      </w:tr>
    </w:tbl>
    <w:p>
      <w:pPr>
        <w:numPr>
          <w:ilvl w:val="0"/>
          <w:numId w:val="1005"/>
        </w:numPr>
      </w:pPr>
      <w:r>
        <w:t xml:space="preserve">[판단]</w:t>
      </w:r>
      <w:r>
        <w:t xml:space="preserve"> </w:t>
      </w:r>
      <w:r>
        <w:rPr>
          <w:bCs/>
          <w:b/>
        </w:rPr>
        <w:t xml:space="preserve">사용자 가설 검증</w:t>
      </w:r>
      <w:r>
        <w:t xml:space="preserve">: ’삼성전자 배당 → 삼성생명 수익 증가’는 맞다. 상반기 배당 증가분(+1,074억원)의 거의 전부가 삼성전자 특별배당으로 설명된다(추정). 이 증가분이 없었다면 투자손익은 −798억원이 아니라 약 −1,900억원 줄었을 것이다(추정). ’상반기 주가 상승의 평가이익이 반영되어 크게 보인다’는</w:t>
      </w:r>
      <w:r>
        <w:t xml:space="preserve"> </w:t>
      </w:r>
      <w:r>
        <w:rPr>
          <w:bCs/>
          <w:b/>
        </w:rPr>
        <w:t xml:space="preserve">재무상태표·자본·K-ICS에서는 맞고, 손익계산서에서는 아니다.</w:t>
      </w:r>
      <w:r>
        <w:t xml:space="preserve"> </w:t>
      </w:r>
      <w:r>
        <w:t xml:space="preserve">순이익 증감(+1,177억원)을 나누면 보험손익 −2,983억원, 투자손익 −798억원(배당 +1,074억원 포함), 영업외손익 +5,227억원, 법인세 −269억원이다. 주가 평가이익은 이 가운데 어디에도 없다.</w:t>
      </w:r>
    </w:p>
    <w:p>
      <w:pPr>
        <w:numPr>
          <w:ilvl w:val="0"/>
          <w:numId w:val="1005"/>
        </w:numPr>
      </w:pPr>
      <w:r>
        <w:t xml:space="preserve">[판단]</w:t>
      </w:r>
      <w:r>
        <w:t xml:space="preserve"> </w:t>
      </w:r>
      <w:r>
        <w:rPr>
          <w:bCs/>
          <w:b/>
        </w:rPr>
        <w:t xml:space="preserve">하반기 이익은 삼성전자 배당이 좌우한다.</w:t>
      </w:r>
      <w:r>
        <w:t xml:space="preserve"> </w:t>
      </w:r>
      <w:r>
        <w:t xml:space="preserve">업계 추정대로 3분기 특별배당(주당 4,570원)이 나오면 4분기 배당수입만 약 2.3조원이다(추정). 이 경우 연간 순이익이 크게 늘지만 일회성이다. 일부는 유배당 계약자 몫으로 보험금융비용(계약자 배당) 쪽에 반영된다. 2027년부터는 삼성전자의 새 주주환원 정책(2024~2026년 정책 종료)이 삼성생명 이익의 핵심 변수다.</w:t>
      </w:r>
    </w:p>
    <w:p>
      <w:pPr>
        <w:numPr>
          <w:ilvl w:val="0"/>
          <w:numId w:val="1005"/>
        </w:numPr>
      </w:pPr>
      <w:r>
        <w:t xml:space="preserve">[하우스]</w:t>
      </w:r>
      <w:r>
        <w:t xml:space="preserve"> </w:t>
      </w:r>
      <w:r>
        <w:rPr>
          <w:bCs/>
          <w:b/>
        </w:rPr>
        <w:t xml:space="preserve">매크로 연결</w:t>
      </w:r>
      <w:r>
        <w:t xml:space="preserve">: 신한 2027 전망은 메모리 단가 고원과 물량 증가로 2027년에도 반도체 수출이 늘 것으로 본다(</w:t>
      </w:r>
      <w:r>
        <w:rPr>
          <w:rStyle w:val="VerbatimChar"/>
        </w:rPr>
        <w:t xml:space="preserve">20261026_신한_2027전망P4_주요국한국경제</w:t>
      </w:r>
      <w:r>
        <w:t xml:space="preserve"> </w:t>
      </w:r>
      <w:r>
        <w:t xml:space="preserve">p.22). 다만 2027년 하반기에는 반도체 기저효과로 한국 이익 모멘텀이 꺾이고 외국인 자금이 미국으로 이동할 위험을 지적한다(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p.10). [판단] 삼성전자 실적·배당에는 1H27까지 우호적이고, 주가에는 2H27이 위험 구간이다. 우리 장기 시나리오의 KOSPI(Base +5%, Bear −20%)를 삼성전자에 그대로(베타 1.0, 가정) 적용하면 다음과 같다(추정).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평가액 변화 (세전)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주주 몫 자본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(+5%)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+8.6조원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+4.4조원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 (−20%)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−34.4조원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−17.7조원</w:t>
            </w:r>
          </w:p>
        </w:tc>
      </w:tr>
    </w:tbl>
    <w:p>
      <w:pPr>
        <w:numPr>
          <w:ilvl w:val="0"/>
          <w:numId w:val="1000"/>
        </w:numPr>
      </w:pPr>
      <w:r>
        <w:t xml:space="preserve">K-ICS 비율 영향은 작지만, 회계 자본과 배당 가능 이익의 변동이 크다.</w:t>
      </w:r>
    </w:p>
    <w:p>
      <w:pPr>
        <w:numPr>
          <w:ilvl w:val="0"/>
          <w:numId w:val="1005"/>
        </w:numPr>
      </w:pPr>
      <w:r>
        <w:t xml:space="preserve">[판단]</w:t>
      </w:r>
      <w:r>
        <w:t xml:space="preserve"> </w:t>
      </w:r>
      <w:r>
        <w:rPr>
          <w:bCs/>
          <w:b/>
        </w:rPr>
        <w:t xml:space="preserve">규제 변수</w:t>
      </w:r>
      <w:r>
        <w:t xml:space="preserve">: 금산법(계열 금융사의 비금융 계열사 지분 10% 한도)으로 인한 매각, 보험업법상 계열사 주식 평가 방식 논의(이른바</w:t>
      </w:r>
      <w:r>
        <w:t xml:space="preserve"> </w:t>
      </w:r>
      <w:r>
        <w:t xml:space="preserve">‘</w:t>
      </w:r>
      <w:r>
        <w:t xml:space="preserve">삼성생명법</w:t>
      </w:r>
      <w:r>
        <w:t xml:space="preserve">’</w:t>
      </w:r>
      <w:r>
        <w:t xml:space="preserve">)가 지분 처분 압력 요인이다. 진행 상황은 미확인이다.</w:t>
      </w:r>
    </w:p>
    <w:p>
      <w:pPr>
        <w:pStyle w:val="BlockText"/>
      </w:pPr>
      <w:r>
        <w:t xml:space="preserve">사용자 정보 대조: ’100% 헤지 전략’은 공시와 맞는다(USD 순노출 음수 = 헤지 ≥ 자산). ’대부분 펀드를 통한 간접 운용’은 대체투자 한정으로 맞고, 운용자산 전체로 보면 펀드 경유는 약 8%(추정)다. 계열 주식·채권·대출 직접 보유가 대부분이다.</w:t>
      </w:r>
    </w:p>
    <w:bookmarkEnd w:id="22"/>
    <w:bookmarkStart w:id="23" w:name="재무제표-분석-1h26"/>
    <w:p>
      <w:pPr>
        <w:pStyle w:val="Heading2"/>
      </w:pPr>
      <w:r>
        <w:t xml:space="preserve">재무제표 분석 (1H26)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knowledge/portfolios/삼성생명/financials_1H26.json</w:t>
      </w:r>
      <w:r>
        <w:t xml:space="preserve">(경영공시 PDF 표를 페이지별로 전사). 업무보고서 별도 기준(p.4-24)과 K-IFRS 별도 재무제표(p.61-66)는 분류가 달라 구분해 적었다.</w:t>
      </w:r>
    </w:p>
    <w:p>
      <w:pPr>
        <w:pStyle w:val="FirstParagraph"/>
      </w:pPr>
      <w:r>
        <w:rPr>
          <w:bCs/>
          <w:b/>
        </w:rPr>
        <w:t xml:space="preserve">손익 (업무보고서 기준, 억원)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−2,983 (−35.9%)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보험수익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+3,384 (+7.1%)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보험서비스비용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+6,463 (+16.8%)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−798 (−11.8%)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−3,781 (−25.1%)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영업외손익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당기순이익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+1,177 (+9.8%)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t xml:space="preserve">[사실]</w:t>
      </w:r>
      <w:r>
        <w:t xml:space="preserve"> </w:t>
      </w:r>
      <w:r>
        <w:rPr>
          <w:bCs/>
          <w:b/>
        </w:rPr>
        <w:t xml:space="preserve">투자손익 구성(1H26)</w:t>
      </w:r>
      <w:r>
        <w:t xml:space="preserve">: 이자 2조 8,332억원, 배당 1조 593억원, 처분 6,079억원, 평가 6조 3,810억원, 보험금융손익 −12조 6,649억원이다(p.8). 평가이익과 보험금융비용이 같이 커진 것은 변액·유배당처럼 자산 수익을 계약자에게 넘기는 구조 때문이다. K-IFRS 기준으로도 FVPL 순이익 +11.17조원과 순보험금융비용 −12.70조원이 맞물린다(p.65-66).</w:t>
      </w:r>
    </w:p>
    <w:p>
      <w:pPr>
        <w:numPr>
          <w:ilvl w:val="0"/>
          <w:numId w:val="1006"/>
        </w:numPr>
        <w:pStyle w:val="Compact"/>
      </w:pPr>
      <w:r>
        <w:t xml:space="preserve">[판단] 순이익은 늘었지만 질은 낮아졌다. 보험손익(−35.9%)과 영업이익(−25.1%)이 줄고, 영업외 일회성 성격 항목(환율변동손익·충당부채 환입)이 증가분을 메웠다.</w:t>
      </w:r>
    </w:p>
    <w:p>
      <w:pPr>
        <w:pStyle w:val="FirstParagraph"/>
      </w:pPr>
      <w:r>
        <w:rPr>
          <w:bCs/>
          <w:b/>
        </w:rPr>
        <w:t xml:space="preserve">재무상태표 (업무보고서 기준, 억원)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자산총계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2,809,903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4,153,175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+1,343,272 (+47.8%)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FVOCI 유가증권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1,685,693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2,952,763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+1,267,070 (+75.2%)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대출채권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401,515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363,451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−38,064 (−9.5%)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−6,469 (−16.3%)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└ 특별계정자산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381,946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+110,147 (+40.5%)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책임준비금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2,108,660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1,825,805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−282,855 (−13.4%)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계약자지분조정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509,672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+420,214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기타부채(이연법인세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+348,053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자본총계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259,126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1,007,122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+747,996 (+288.7%)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[사실] 보험부채의 최선추정(BEL)은 175조원으로 직전 기 대비 9조원 줄었다. 할인율(경제적 가정) 변동 효과가 −16.2조원이다(p.8). 기타포괄손익에는 보험부채 평가이익(+11.74조원)이 채권 평가손(−7.68조원)을 넘어선다(K-IFRS, p.66).</w:t>
      </w:r>
    </w:p>
    <w:p>
      <w:pPr>
        <w:numPr>
          <w:ilvl w:val="0"/>
          <w:numId w:val="1007"/>
        </w:numPr>
        <w:pStyle w:val="Compact"/>
      </w:pPr>
      <w:r>
        <w:t xml:space="preserve">[사실] 해약환급금준비금은 1분기 1.65조원에서 2분기 3.13조원으로 늘었다(주가 상승·신계약, p.48). 배당 가능 이익을 줄이는 항목이다.</w:t>
      </w:r>
    </w:p>
    <w:p>
      <w:pPr>
        <w:pStyle w:val="FirstParagraph"/>
      </w:pPr>
      <w:r>
        <w:rPr>
          <w:bCs/>
          <w:b/>
        </w:rPr>
        <w:t xml:space="preserve">K-ICS (억원)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지급여력비율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+10.2%p (1Q 209.9%)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지급여력금액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657,402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1,295,525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+638,123 (+97.1%)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지급여력기준금액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622,351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+290,276 (+87.4%)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시장위험액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345,522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743,041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+397,519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생명·장기손해보험위험액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116,281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133,314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신용위험액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법인세조정액(차감)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+106,148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[판단] 주가가 오르면 가용자본(평가이익)과 요구자본(주식·집중위험)이 함께 커져 비율 변화는 작다. 1분기에서 2분기 사이 기타포괄손익이 두 배가 됐지만 비율은 −1.7%p였다(계리 가정 강화 포함). 주가 하락 때도 비율보다</w:t>
      </w:r>
      <w:r>
        <w:t xml:space="preserve"> </w:t>
      </w:r>
      <w:r>
        <w:rPr>
          <w:bCs/>
          <w:b/>
        </w:rPr>
        <w:t xml:space="preserve">절대 자본·배당 여력·회계 자본</w:t>
      </w:r>
      <w:r>
        <w:t xml:space="preserve">이 크게 흔들린다(추정).</w:t>
      </w:r>
    </w:p>
    <w:bookmarkEnd w:id="23"/>
    <w:bookmarkStart w:id="24" w:name="포트폴리오-현황"/>
    <w:p>
      <w:pPr>
        <w:pStyle w:val="Heading2"/>
      </w:pPr>
      <w:r>
        <w:t xml:space="preserve">포트폴리오 현황</w:t>
      </w:r>
    </w:p>
    <w:p>
      <w:pPr>
        <w:pStyle w:val="FirstParagraph"/>
      </w:pPr>
      <w:r>
        <w:t xml:space="preserve">총 운용자산 372.2조원 (2026Q2, 공시, p.7; p.8) · 회계기준 금감원 업무보고서 별도 기준(경영공시 p.6-7, 억원 ÷ 10 = 십억원). K-IFRS 공시 재무제표(p.61-66)와 일부 차이(계약자지분조정 분리 등) · K-ICS 208.2% · 운용수익률 2.89%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(십억원)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수정듀레이션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 · FVOCI·FVPL 원화채권 중 무위험(K-ICS 신용표 비중 배분)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p.12; p.37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 · 원화채권 중 공공부문(배분)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p.12; p.37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· 원화채권 중 일반기업·유동화·기타(배분)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p.12; p.37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 · FVOCI 외화표시유가증권(평가손 −4.32조)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· FVOCI 상장주식 — 대부분 삼성전자 보통주(지분 8.51%, 사용자 정보)로 추정. 평가이익 170.2조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p.12; p.31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 · FVPL 수익증권(부동산 간접 제외)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 · FVPL 외화표시유가증권(해외 펀드 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 · 대출채권 중 개인(건전성기준 비중 배분, 주택담보 중심)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p.7; p.16; p.35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 · 대출채권 중 기업(배분)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p.7; p.16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 · 대출채권 중 보험계약대출(배분)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p.7; p.16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· FVPL 수익증권 중 부동산 간접(K-ICS 부동산 간접소유 2.58조)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p.12; p.32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· 부동산(직접)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 · 현금 및 예치금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기타유가증권(FVOCI 1,363.9 + FVPL 247.9) + FVPL 출자금 29.9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관계·종속기업투자 주식(계열사 지분)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관계·종속기업투자 출자금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관계·종속기업투자 기타(종속 펀드 등 추정 — 구성 미공시)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p.12</w:t>
            </w:r>
          </w:p>
        </w:tc>
      </w:tr>
    </w:tbl>
    <w:p>
      <w:pPr>
        <w:pStyle w:val="BodyText"/>
      </w:pPr>
      <w:r>
        <w:rPr>
          <w:bCs/>
          <w:b/>
        </w:rPr>
        <w:t xml:space="preserve">운용 전략 해석</w:t>
      </w:r>
    </w:p>
    <w:p>
      <w:pPr>
        <w:numPr>
          <w:ilvl w:val="0"/>
          <w:numId w:val="1009"/>
        </w:numPr>
        <w:pStyle w:val="Compact"/>
      </w:pPr>
      <w:r>
        <w:t xml:space="preserve">[사실] 1년 사이 자산총계가 47.8% 늘었다. 증가분 대부분은 FVOCI 유가증권(+126.7조원)의 평가 상승이다. 대출채권은 −9.5%, 부동산은 −16.3% 줄었고, 특별계정(변액 등)은 +40.5% 늘었다(p.7).</w:t>
      </w:r>
    </w:p>
    <w:p>
      <w:pPr>
        <w:numPr>
          <w:ilvl w:val="0"/>
          <w:numId w:val="1009"/>
        </w:numPr>
        <w:pStyle w:val="Compact"/>
      </w:pPr>
      <w:r>
        <w:t xml:space="preserve">[판단] 운용 쪽에서는 대출·부동산을 줄이는 방향이 보인다. 다만 비중 변화는 대부분 주가에 따른 분모 효과다. 2025년 말 상세 익스포저가 없어 자산군별 추이는 2026Q2 한 시점만 분석했다.</w:t>
      </w:r>
    </w:p>
    <w:p>
      <w:pPr>
        <w:numPr>
          <w:ilvl w:val="0"/>
          <w:numId w:val="1009"/>
        </w:numPr>
        <w:pStyle w:val="Compact"/>
      </w:pPr>
      <w:r>
        <w:t xml:space="preserve">[사실] 원화채권 95.6조원·해외채 26.6조원의 구분과 대출 36.3조원의 세부 구성은 공시 기준이 달라 비중으로 배분했다(추정, 익스포저 메모 참고).</w:t>
      </w:r>
    </w:p>
    <w:bookmarkEnd w:id="24"/>
    <w:bookmarkStart w:id="25" w:name="매크로-포트폴리오-영향"/>
    <w:p>
      <w:pPr>
        <w:pStyle w:val="Heading2"/>
      </w:pPr>
      <w:r>
        <w:t xml:space="preserve">매크로 → 포트폴리오 영향</w:t>
      </w:r>
    </w:p>
    <w:p>
      <w:pPr>
        <w:pStyle w:val="FirstParagraph"/>
      </w:pPr>
      <w:r>
        <w:rPr>
          <w:bCs/>
          <w:b/>
        </w:rPr>
        <w:t xml:space="preserve">시나리오 × 자산군 영향 (억원)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(십억원)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확률가중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-51,578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-343,855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-8,596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-3,163*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-7,381*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36,904*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-45,339*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-3,585*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-6,035*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-968*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4,965*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-5,961*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-436*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-764*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-1,573*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-1,165*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8,639*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-10,581*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-578*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-1,126*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해외채(혼합)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-3,131*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5,862*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25,448*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-28,246*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2,232*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부동산#FVPL 수익증권 중 부동산 간접(K-ICS 부동산 간접소유 2.58조)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-573*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-2,292*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-573*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-2,590*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수익증권(혼합)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기타#기타유가증권(FVOCI 1,363.9 + FVPL 247.9) + FVPL 출자금 29.9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기타#관계·종속기업투자 주식(계열사 지분)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기타#관계·종속기업투자 출자금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기타#관계·종속기업투자 기타(종속 펀드 등 추정 — 구성 미공시)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4,344*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-4,546*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-432*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-736*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-1,483*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-177*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부동산#부동산(직접)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-740*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-2,960*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-740*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-846*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372,151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-62,793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81,364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344,950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-448,152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-11,951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운용자산 대비 (bp)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-168.7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+926.9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+31.2</w:t>
            </w:r>
          </w:p>
        </w:tc>
      </w:tr>
    </w:tbl>
    <w:p>
      <w:pPr>
        <w:pStyle w:val="BodyText"/>
      </w:pPr>
      <w:r>
        <w:rPr>
          <w:bCs/>
          <w:b/>
        </w:rPr>
        <w:t xml:space="preserve">요인 분해 (억원)</w:t>
      </w:r>
      <w:r>
        <w:t xml:space="preserve"> </w:t>
      </w:r>
      <w:r>
        <w:t xml:space="preserve">— rate=금리, spread=스프레드, fx=환율(비헤지분), hedge_cost=헤지비용, 기타는 자산군별 팩터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floating_income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-7,317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-52,146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-5,252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261,444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-73,144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-348,235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-5,253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-5,196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-8,491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영향 경로 설명</w:t>
      </w:r>
    </w:p>
    <w:p>
      <w:pPr>
        <w:numPr>
          <w:ilvl w:val="0"/>
          <w:numId w:val="1010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주가가 지배적</w:t>
      </w:r>
      <w:r>
        <w:t xml:space="preserve">이다. Base(KOSPI +5%)의 +81,364억원</w:t>
      </w:r>
      <w:r>
        <w:rPr>
          <w:iCs/>
          <w:i/>
        </w:rPr>
        <w:t xml:space="preserve">과 Bear(KOSPI −20%)의 −448,152억원</w:t>
      </w:r>
      <w:r>
        <w:t xml:space="preserve"> </w:t>
      </w:r>
      <w:r>
        <w:t xml:space="preserve">대부분이 주식 요인이다(Base +87,148억원, Bear −348,235억원*). 이 금액은 세금·계약자지분 차감 전 자산 평가액 변화다. 공시상 평가이익 중 계약자지분조정(51.0조원)과 이연법인세(45.0조원)로 가는 몫이 있어 주주 자본 영향은 이보다 작다(추정).</w:t>
      </w:r>
    </w:p>
    <w:p>
      <w:pPr>
        <w:numPr>
          <w:ilvl w:val="0"/>
          <w:numId w:val="1010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금리는 자산만 보면 손실, 회사 전체로는 작다</w:t>
      </w:r>
      <w:r>
        <w:t xml:space="preserve">: 엔진 금리 요인은 Base −5,252억원, Bear −73,144억원*(자산 측)이다. 그러나 공시 민감도상 금리 상승은 K-ICS에 거의 중립이다(+50bp +0.2%p). 보험부채가 자산보다 금리에 더 민감하기 때문이다(p.44).</w:t>
      </w:r>
    </w:p>
    <w:p>
      <w:pPr>
        <w:numPr>
          <w:ilvl w:val="0"/>
          <w:numId w:val="1010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헤지비용 하락은 플러스</w:t>
      </w:r>
      <w:r>
        <w:t xml:space="preserve">: 헤지비용 요인 Base +1,407억원*. 해외채 26.6조원에 100% 헤지(사용자 정보)를 가정했다. 과헤지분(USD −1.54조원)의 환손익은 엔진에 들어가지 않았다(공시 민감도로 별도 평가).</w:t>
      </w:r>
    </w:p>
    <w:p>
      <w:pPr>
        <w:numPr>
          <w:ilvl w:val="0"/>
          <w:numId w:val="1010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계산 밖 경로</w:t>
      </w:r>
      <w:r>
        <w:t xml:space="preserve">: 관계·종속기업투자</w:t>
      </w:r>
      <w:r>
        <w:t xml:space="preserve"> </w:t>
      </w:r>
      <w:r>
        <w:t xml:space="preserve">‘</w:t>
      </w:r>
      <w:r>
        <w:t xml:space="preserve">기타</w:t>
      </w:r>
      <w:r>
        <w:t xml:space="preserve">’</w:t>
      </w:r>
      <w:r>
        <w:t xml:space="preserve"> </w:t>
      </w:r>
      <w:r>
        <w:t xml:space="preserve">19.1조원(종속 펀드 추정)과 계열사 지분 5.5조원은 구성이 공시되지 않아 충격을 넣지 않았다. 특별계정(38.2조원) 손익은 계약자에게 귀속돼 제외했다.</w:t>
      </w:r>
    </w:p>
    <w:bookmarkEnd w:id="25"/>
    <w:bookmarkStart w:id="26" w:name="매크로-재무제표-연결"/>
    <w:p>
      <w:pPr>
        <w:pStyle w:val="Heading2"/>
      </w:pPr>
      <w:r>
        <w:t xml:space="preserve">매크로 → 재무제표 연결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매크로 변수 (2026-10-26, Base / Bear)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재무제표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방향·크기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KOSPI(계열 상장주식): +5% / −20%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FVOCI 주식 평가 → 기타포괄손익·계약자지분조정·이연법인세 → 회계 자본. K-ICS는 가용·요구가 같이 움직여 비율 영향 작음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주식 요인 +87,148 / −348,235억원*(세전·계약자지분 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 10년: +10bp / +55bp (Bull −45bp)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 OCI ↓, 보험부채 할인율 ↑ → 부채 ↓. K-ICS: 공시 민감도 선형 보간 Base +0.04%p, Bear +0.08%p,</w:t>
            </w:r>
            <w:r>
              <w:t xml:space="preserve"> </w:t>
            </w:r>
            <w:r>
              <w:rPr>
                <w:bCs/>
                <w:b/>
              </w:rPr>
              <w:t xml:space="preserve">Bull −0.63%p</w:t>
            </w:r>
            <w:r>
              <w:t xml:space="preserve">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하락 쪽이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원/달러: +5% / +10% (Bull −2%)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과헤지(USD 순 −1.54조원) → 원화 약세 시 손실. K-ICS: 공시 민감도(100원당 −0.7%p) 기준 Base −0.46%p, Bear −0.93%p, Bull +0.19%p(추정)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원화 약세가 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헤지비용: −50bp / 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파생·외환 손익(1H26 순손실 1.14조원) 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+1,407 / 0억원*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신용: 국내 AA −5bp·BBB +10bp, 미국 IG +10bp / AA +30·IG +80bp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 OCI, 대출 대손(부실자산비율 0.07%, p.11)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스프레드 −1,244 / −22,380억원*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부동산: 캡레이트 +10bp / +40bp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부동산(원가)·간접 펀드(FVPL)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−1,313 / −5,253억원*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물가·의료비, 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 예실차(−1,613억원), 공시이율 → 보험손익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본업 이익 하방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[하우스] 신한은 원/달러가 2027년 1분기 1,300원 저점 후 연말 1,390원으로 오른다고 본다(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p.11). 과헤지 구조에서는 1분기 원화 강세가 이익, 하반기 원화 약세가 손실 요인이다.</w:t>
      </w:r>
    </w:p>
    <w:p>
      <w:pPr>
        <w:numPr>
          <w:ilvl w:val="0"/>
          <w:numId w:val="1011"/>
        </w:numPr>
        <w:pStyle w:val="Compact"/>
      </w:pPr>
      <w:r>
        <w:t xml:space="preserve">[판단] 새 매크로에서 삼성생명이 특히 조심할 조합은</w:t>
      </w:r>
      <w:r>
        <w:t xml:space="preserve"> </w:t>
      </w:r>
      <w:r>
        <w:rPr>
          <w:bCs/>
          <w:b/>
        </w:rPr>
        <w:t xml:space="preserve">Bull(금리 하락) + 원화 약세</w:t>
      </w:r>
      <w:r>
        <w:t xml:space="preserve">다. 금리 하락은 K-ICS를 깎고(−0.63%p 추정), 과헤지는 원화 약세에 손실을 낸다. 둘이 겹치면 −1%p 안팎(추정)이다. Base(금리 소폭 상승, 원화 약세 +5%)는 K-ICS에 약 −0.4%p다(추정).</w:t>
      </w:r>
    </w:p>
    <w:bookmarkEnd w:id="26"/>
    <w:bookmarkStart w:id="27" w:name="자본비율"/>
    <w:p>
      <w:pPr>
        <w:pStyle w:val="Heading2"/>
      </w:pPr>
      <w:r>
        <w:t xml:space="preserve">자본비율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p.4; p.15</w:t>
            </w:r>
          </w:p>
        </w:tc>
      </w:tr>
    </w:tbl>
    <w:bookmarkEnd w:id="27"/>
    <w:bookmarkStart w:id="28" w:name="공시-금리-민감도-vs-엔진-캘리브레이션"/>
    <w:p>
      <w:pPr>
        <w:pStyle w:val="Heading2"/>
      </w:pPr>
      <w:r>
        <w:t xml:space="preserve">공시 금리 민감도 vs 엔진 (캘리브레이션)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엔진: 국내 커브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엔진: 국내+해외 커브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엔진/공시 (국내)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엔진/공시 (국내+해외)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가용자본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자본비율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-59,296*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-69,955*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+0.2%p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59,296*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69,955*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-8,474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-0.7%p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-118,592*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-139,910*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-1%p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-100bp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118,592*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139,910*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-3.4%p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p.44</w:t>
            </w:r>
          </w:p>
        </w:tc>
      </w:tr>
    </w:tbl>
    <w:p>
      <w:pPr>
        <w:pStyle w:val="BodyText"/>
      </w:pPr>
      <w:r>
        <w:t xml:space="preserve">산출 기준(공시): K-ICS 지급여력금액(경과조치 전), 결산일 간편법. 엔진은 금리 요인(rate)만 비교하며 스프레드·환율은 제외. 비율이 1에서 멀면 듀레이션 가정(assumptions.yaml) 또는 자산 분류를 재점검한다.</w:t>
      </w:r>
    </w:p>
    <w:p>
      <w:pPr>
        <w:pStyle w:val="BodyText"/>
      </w:pPr>
      <w:r>
        <w:t xml:space="preserve">[판단] 삼성생명은 금리 민감도를</w:t>
      </w:r>
      <w:r>
        <w:t xml:space="preserve"> </w:t>
      </w:r>
      <w:r>
        <w:rPr>
          <w:bCs/>
          <w:b/>
        </w:rPr>
        <w:t xml:space="preserve">자산·부채 따로가 아니라 지급여력금액(순)으로만</w:t>
      </w:r>
      <w:r>
        <w:t xml:space="preserve"> </w:t>
      </w:r>
      <w:r>
        <w:t xml:space="preserve">공시해, 엔진(자산 측)과 직접 비교할 수 없다. 엔진은 +50bp에서 자산 −5.9~−7.0조원*인데, 공시상 지급여력금액은 +5,297억원 늘었다. 부채의 금리 민감도가 자산보다 크다는 뜻이다(부채 듀레이션 &gt; 자산, 경제적 가치 기준). K-ICS 금리위험 산출표에서도 금리 하락 충격 때 순자산가치가 15.69조원에서 14.50조원으로 줄었다(p.29). 그래서 엔진의 금리 손실은 자산 측 참고값으로만 쓰고, 자본 영향은 공시 민감도를 우선한다. 최적화에도 ’자산 듀레이션을 줄이지 않는다’는 제약을 넣었다.</w:t>
      </w:r>
    </w:p>
    <w:bookmarkEnd w:id="28"/>
    <w:bookmarkStart w:id="29" w:name="alm-관점"/>
    <w:p>
      <w:pPr>
        <w:pStyle w:val="Heading2"/>
      </w:pPr>
      <w:r>
        <w:t xml:space="preserve">ALM 관점</w:t>
      </w:r>
    </w:p>
    <w:p>
      <w:pPr>
        <w:pStyle w:val="FirstParagraph"/>
      </w:pPr>
      <w:r>
        <w:t xml:space="preserve">부채 듀레이션 또는 금리민감 부채 규모가 공시에서 확인되지 않아(미확인) 순자산 영향은 계산하지 않음. 정기경영공시의 금리위험·ALM 항목을 inbox/filings에 추가하면 보강됨.</w:t>
      </w:r>
    </w:p>
    <w:p>
      <w:pPr>
        <w:numPr>
          <w:ilvl w:val="0"/>
          <w:numId w:val="1012"/>
        </w:numPr>
        <w:pStyle w:val="Compact"/>
      </w:pPr>
      <w:r>
        <w:t xml:space="preserve">[사실] K-ICS 금리위험 산출표: 충격 전 순자산가치 15.69조원 → 금리 상승 15.86조원, 금리 하락 14.50조원(p.29). 직전 반기(2025.4Q)는 하락 시 17.43 → 14.54조원으로 더 컸고, 금리위험액도 2.70조원에서 1.04조원으로 줄었다(p.29-30).</w:t>
      </w:r>
    </w:p>
    <w:p>
      <w:pPr>
        <w:numPr>
          <w:ilvl w:val="0"/>
          <w:numId w:val="1012"/>
        </w:numPr>
        <w:pStyle w:val="Compact"/>
      </w:pPr>
      <w:r>
        <w:t xml:space="preserve">[판단] 금리 하락 노출은 반년 사이 줄었지만 여전히 남아 있다. 지급여력 민감도(−100bp −3.4%p)를 보면 금리 하락이 K-ICS 최대 금리 위험이다. 1년 이내 유동성갭은 +31.1조원이고 당좌차월 약정도 4,100억원 있어(p.43) 유동성 여력은 충분하다. 그래서 현금 비중(0.6%)이 낮은 것은 문제가 아니다.</w:t>
      </w:r>
    </w:p>
    <w:bookmarkEnd w:id="29"/>
    <w:bookmarkStart w:id="30" w:name="리밸런싱-제안"/>
    <w:p>
      <w:pPr>
        <w:pStyle w:val="Heading2"/>
      </w:pPr>
      <w:r>
        <w:t xml:space="preserve">리밸런싱 제안</w:t>
      </w:r>
    </w:p>
    <w:p>
      <w:pPr>
        <w:pStyle w:val="FirstParagraph"/>
      </w:pPr>
      <w:r>
        <w:rPr>
          <w:bCs/>
          <w:b/>
        </w:rPr>
        <w:t xml:space="preserve">현재 제약 점검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config/constraints.yaml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대체투자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부동산PF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해외자산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현금성 최소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BBB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듀레이션 갭(년)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 (%p, 운용자산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시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주식(계열 상장주식)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유지(매매 대상 아님)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전략적 보유. 한도(10%) 대비 46.2%로 이미 초과 → 최적화에서 추가 매수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주가 하락 시 회계 자본·배당 여력 급감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위반(구조적)</w:t>
            </w:r>
            <w:r>
              <w:t xml:space="preserve"> </w:t>
            </w:r>
            <w:r>
              <w:t xml:space="preserve">— 내부 한도 체계 별도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대체-사모대출(선순위 대출형)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~ +1.05 (최대 3.9조원)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총수익 5.55%*, 변동금리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3.9조원은 딜 파이프라인상 큰 규모, AI·PF 차주 집중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 (대체 합계 3.4%)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해외채(100% 헤지)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~ +1.05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 효율 1위(+0.54*), 헤지비용 Base −50bp, 2027년 1분기 원화 강세 정점(신한 p.11)에 집행, 듀레이션 보강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IG Bear +80bp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 (해외 9.0%)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~ +0.78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듀레이션(8년</w:t>
            </w:r>
            <w:r>
              <w:rPr>
                <w:iCs/>
                <w:i/>
              </w:rPr>
              <w:t xml:space="preserve">)으로 금리 하락 대비, 기대 5.10%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지연, 룩스루 미적용 시 K-ICS 계수↑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 ~ +0.52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9%*(가정)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주식위험 추가(이미 주식 집중)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축소 → 초장기 재투자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만기분만, 듀레이션 중립 제약 하에서 인프라·해외채로 대체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매도 금지(평가손 −20.0조원)</w:t>
            </w:r>
            <w:r>
              <w:t xml:space="preserve">, 금리 하락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특수채·회사채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−0.78 / −0.52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기대수익이 대체·해외채보다 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만기분 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대출(기업·부동산담보)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−0.52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1년간 대출 −9.5% 추세와 같은 방향, 국내 부동산 Base 약세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 상환 속도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캡레이트 Base +10bp / Bear +40bp, 기대 3.23%*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매각 할인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유동성갭 +31.1조원으로 충분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한도(1%) 미달이나 유동성 충분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[사실] 제안안(</w:t>
      </w:r>
      <w:r>
        <w:rPr>
          <w:rStyle w:val="VerbatimChar"/>
        </w:rPr>
        <w:t xml:space="preserve">reports/tmp/2026-10-26_삼성생명_proposal.json</w:t>
      </w:r>
      <w:r>
        <w:t xml:space="preserve">, 최적화 1년 균형형)의 결과(</w:t>
      </w:r>
      <w:r>
        <w:rPr>
          <w:rStyle w:val="VerbatimChar"/>
        </w:rPr>
        <w:t xml:space="preserve">reports/tmp/2026-10-26_삼성생명_opt.json</w:t>
      </w:r>
      <w:r>
        <w:t xml:space="preserve">):</w:t>
      </w:r>
    </w:p>
    <w:p>
      <w:pPr>
        <w:numPr>
          <w:ilvl w:val="1"/>
          <w:numId w:val="1014"/>
        </w:numPr>
        <w:pStyle w:val="Compact"/>
      </w:pPr>
      <w:r>
        <w:t xml:space="preserve">기대 총수익 +6.9bp(+2,568억원/년*, 매매 가능 자산 194.7조원 대비 +13.2bp), 순캐리 +5.4bp.</w:t>
      </w:r>
    </w:p>
    <w:p>
      <w:pPr>
        <w:numPr>
          <w:ilvl w:val="1"/>
          <w:numId w:val="1014"/>
        </w:numPr>
        <w:pStyle w:val="Compact"/>
      </w:pPr>
      <w:r>
        <w:t xml:space="preserve">K-ICS 208.2% → 205.2~206.5%</w:t>
      </w:r>
      <w:r>
        <w:rPr>
          <w:iCs/>
          <w:i/>
        </w:rPr>
        <w:t xml:space="preserve">, Bear 추가 손실 −2,019억원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조정 후 장기 Base는 +83,624억원</w:t>
      </w:r>
      <w:r>
        <w:rPr>
          <w:iCs/>
          <w:i/>
        </w:rPr>
        <w:t xml:space="preserve">(현재 +81,364억원), Bear는 −449,490억원</w:t>
      </w:r>
      <w:r>
        <w:t xml:space="preserve">(현재 −448,152억원)이다.</w:t>
      </w:r>
    </w:p>
    <w:p>
      <w:pPr>
        <w:numPr>
          <w:ilvl w:val="1"/>
          <w:numId w:val="1014"/>
        </w:numPr>
        <w:pStyle w:val="Compact"/>
      </w:pPr>
      <w:r>
        <w:t xml:space="preserve">보수형(Bear 추가 손실 0)은 +6.1bp(+2,265억원/년*)이고, 적극형은 균형형과 같다(한도에 먼저 걸림).</w:t>
      </w:r>
    </w:p>
    <w:p>
      <w:pPr>
        <w:numPr>
          <w:ilvl w:val="0"/>
          <w:numId w:val="1013"/>
        </w:numPr>
        <w:pStyle w:val="Compact"/>
      </w:pPr>
      <w:r>
        <w:t xml:space="preserve">[사실]</w:t>
      </w:r>
      <w:r>
        <w:t xml:space="preserve"> </w:t>
      </w:r>
      <w:r>
        <w:rPr>
          <w:rStyle w:val="VerbatimChar"/>
        </w:rPr>
        <w:t xml:space="preserve">calc_impact.py --proposal</w:t>
      </w:r>
      <w:r>
        <w:t xml:space="preserve"> </w:t>
      </w:r>
      <w:r>
        <w:t xml:space="preserve">점검 결과, 제안 후에도 대체투자 합계 3.4%로 한도 안이다. 주식 합계(46.2%)·현금 최소(0.6%)는 현재부터 기본 한도와 맞지 않는 구조적 항목이다.</w:t>
      </w:r>
    </w:p>
    <w:p>
      <w:pPr>
        <w:numPr>
          <w:ilvl w:val="0"/>
          <w:numId w:val="1013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배분 외 제안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금리 하락 헤지</w:t>
      </w:r>
      <w:r>
        <w:t xml:space="preserve">: 국고채 만기분은 초장기로 재투자하고, 수취 이자율스왑이나 국채선도로 −100bp 시 −3.4%p를 줄인다.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과헤지 정리</w:t>
      </w:r>
      <w:r>
        <w:t xml:space="preserve">: USD·EUR 순 음수를 0에 맞춘다. 헤지비용이 0.5% 근처로 내려오면 만기 매칭 통화스왑으로 고정하고, CNY 2.17조원 비헤지 노출의 의도를 확인한다.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펀드 룩스루 확대</w:t>
      </w:r>
      <w:r>
        <w:t xml:space="preserve">: 기타주식 계수 62%를 기본 계수 수준으로 낮추면 같은 자본으로 대체투자 여력이 생긴다(추정).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배당·자본정책</w:t>
      </w:r>
      <w:r>
        <w:t xml:space="preserve">: 기타포괄손익이 아니라 이익잉여금·해약환급금준비금을 기준으로 삼아 주가 하락에 대비한다.</w:t>
      </w:r>
    </w:p>
    <w:bookmarkEnd w:id="30"/>
    <w:bookmarkStart w:id="31" w:name="한계와-가정"/>
    <w:p>
      <w:pPr>
        <w:pStyle w:val="Heading2"/>
      </w:pPr>
      <w:r>
        <w:t xml:space="preserve">한계와 가정</w:t>
      </w:r>
    </w:p>
    <w:p>
      <w:pPr>
        <w:pStyle w:val="FirstParagraph"/>
      </w:pPr>
      <w:r>
        <w:rPr>
          <w:bCs/>
          <w:b/>
        </w:rPr>
        <w:t xml:space="preserve">추정·가정값을 쓴 항목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config/assumptions.yaml</w:t>
      </w:r>
      <w:r>
        <w:t xml:space="preserve"> </w:t>
      </w:r>
      <w:r>
        <w:t xml:space="preserve">— 모두 가정)</w:t>
      </w:r>
    </w:p>
    <w:p>
      <w:pPr>
        <w:numPr>
          <w:ilvl w:val="0"/>
          <w:numId w:val="1016"/>
        </w:numPr>
        <w:pStyle w:val="Compact"/>
      </w:pPr>
      <w:r>
        <w:t xml:space="preserve">국공채: D_mod=추정, 금액=추정</w:t>
      </w:r>
    </w:p>
    <w:p>
      <w:pPr>
        <w:numPr>
          <w:ilvl w:val="0"/>
          <w:numId w:val="1016"/>
        </w:numPr>
        <w:pStyle w:val="Compact"/>
      </w:pPr>
      <w:r>
        <w:t xml:space="preserve">특수채: D_mod=추정, SD=D_mod 가정, 금액=추정, 스프레드 배수 0.3 가정</w:t>
      </w:r>
    </w:p>
    <w:p>
      <w:pPr>
        <w:numPr>
          <w:ilvl w:val="0"/>
          <w:numId w:val="1016"/>
        </w:numPr>
        <w:pStyle w:val="Compact"/>
      </w:pPr>
      <w:r>
        <w:t xml:space="preserve">회사채: D_mod=추정, SD=D_mod 가정, 금액=추정</w:t>
      </w:r>
    </w:p>
    <w:p>
      <w:pPr>
        <w:numPr>
          <w:ilvl w:val="0"/>
          <w:numId w:val="1016"/>
        </w:numPr>
        <w:pStyle w:val="Compact"/>
      </w:pPr>
      <w:r>
        <w:t xml:space="preserve">해외채(혼합): D_mod=추정, SD=D_mod 가정, 헤지비용 보유기간 가정, 헤지비율=추정, 혼합 금리를 UST로 근사</w:t>
      </w:r>
    </w:p>
    <w:p>
      <w:pPr>
        <w:numPr>
          <w:ilvl w:val="0"/>
          <w:numId w:val="1016"/>
        </w:numPr>
        <w:pStyle w:val="Compact"/>
      </w:pPr>
      <w:r>
        <w:t xml:space="preserve">부동산#FVPL 수익증권 중 부동산 간접(K-ICS 부동산 간접소유 2.58조): 금액=추정, 기준 캡레이트 0.045 가정</w:t>
      </w:r>
    </w:p>
    <w:p>
      <w:pPr>
        <w:numPr>
          <w:ilvl w:val="0"/>
          <w:numId w:val="1016"/>
        </w:numPr>
        <w:pStyle w:val="Compact"/>
      </w:pPr>
      <w:r>
        <w:t xml:space="preserve">수익증권: 금액=추정, 베타=가정 1.0, 주식 노출 비율 0.3 가정</w:t>
      </w:r>
    </w:p>
    <w:p>
      <w:pPr>
        <w:numPr>
          <w:ilvl w:val="0"/>
          <w:numId w:val="1016"/>
        </w:numPr>
        <w:pStyle w:val="Compact"/>
      </w:pPr>
      <w:r>
        <w:t xml:space="preserve">수익증권(혼합): 베타=가정 1.0, 주식 노출 비율 0.3 가정, 헤지비용 보유기간 가정, 헤지비율=가정 0.5</w:t>
      </w:r>
    </w:p>
    <w:p>
      <w:pPr>
        <w:numPr>
          <w:ilvl w:val="0"/>
          <w:numId w:val="1016"/>
        </w:numPr>
        <w:pStyle w:val="Compact"/>
      </w:pPr>
      <w:r>
        <w:t xml:space="preserve">대출-부동산담보: D_mod=추정, 금액=추정, 손실률 배수 0.3 가정</w:t>
      </w:r>
    </w:p>
    <w:p>
      <w:pPr>
        <w:numPr>
          <w:ilvl w:val="0"/>
          <w:numId w:val="1016"/>
        </w:numPr>
        <w:pStyle w:val="Compact"/>
      </w:pPr>
      <w:r>
        <w:t xml:space="preserve">대출-기업: D_mod=추정, SD=D_mod 가정, 금액=추정, 스프레드 배수 0.5 가정</w:t>
      </w:r>
    </w:p>
    <w:p>
      <w:pPr>
        <w:numPr>
          <w:ilvl w:val="0"/>
          <w:numId w:val="1016"/>
        </w:numPr>
        <w:pStyle w:val="Compact"/>
      </w:pPr>
      <w:r>
        <w:t xml:space="preserve">대출-신용/약관: 금액=추정</w:t>
      </w:r>
    </w:p>
    <w:p>
      <w:pPr>
        <w:numPr>
          <w:ilvl w:val="0"/>
          <w:numId w:val="1016"/>
        </w:numPr>
        <w:pStyle w:val="Compact"/>
      </w:pPr>
      <w:r>
        <w:t xml:space="preserve">부동산#부동산(직접): 기준 캡레이트 0.045 가정</w:t>
      </w:r>
    </w:p>
    <w:p>
      <w:pPr>
        <w:pStyle w:val="FirstParagraph"/>
      </w:pPr>
      <w:r>
        <w:rPr>
          <w:bCs/>
          <w:b/>
        </w:rPr>
        <w:t xml:space="preserve">익스포저 메모</w:t>
      </w:r>
      <w:r>
        <w:t xml:space="preserve">: 일반계정 운용자산 372.2조(업무보고서 p.7·p.8). 특별계정(변액 등 38.2조)은 제외. 주식 171.9조는 FVOCI 상장주식(평가이익 170.2조, p.12). 종목은 공시에 없으나 삼성전자 보통주 8.51%(사용자 정보; 2026-03 금산법 대응 매각 보도로 8.4%대일 가능성 — 웹확인, 미대조)가 대부분으로 추정. 삼성전자 베타는 1.0으로 두고(가정) 보고서에서 ±10% 민감도를 따로 제시. 전략적 보유로 보고 최적화 매매 대상에서 제외(strategic). 원화채권 95.6조는 FVOCI 95,337.1 + FVPL 264.8; 국공채·특수채·회사채 구분은 K-ICS 채권 신용표(p.37, 해외채 포함 134.5조)의 무위험 58.8%·공공 12.7%·일반기업 등 28.4% 비중으로 배분(추정). 듀레이션은 미공시 → 국공채 15·특수채 8·회사채 5·해외채 8·대출 3~4(추정). 해외채 헤지비율 1.0은 사용자 정보(100% 헤지)이며 공시 USD 순익스포저 −1.54조(p.33)와 정합. CNY 순익스포저 +2.17조(비헤지 추정)는 엔진 미반영. 대출 36.3조는 건전성기준 대출 93.2조(p.16)의 개인 58.0%·기업 22.7%·보험계약대출 19.4% 비중으로 배분(장부 기준과 건전성 기준 금액 차이 — 미확인). FVPL 수익증권 6.9조 중 부동산 간접 2.58조(K-ICS p.32)는 부동산으로 분리. 관계·종속기업투자</w:t>
      </w:r>
      <w:r>
        <w:t xml:space="preserve"> </w:t>
      </w:r>
      <w:r>
        <w:t xml:space="preserve">‘</w:t>
      </w:r>
      <w:r>
        <w:t xml:space="preserve">기타</w:t>
      </w:r>
      <w:r>
        <w:t xml:space="preserve">’</w:t>
      </w:r>
      <w:r>
        <w:t xml:space="preserve"> </w:t>
      </w:r>
      <w:r>
        <w:t xml:space="preserve">19.07조는 구성 미공시(종속 펀드 추정) → 기타(엔진 미반영). 부채: 부채 듀레이션 미공시 → 엔진 ALM 생략, 공시 지급여력 민감도(p.44) 사용.</w:t>
      </w:r>
    </w:p>
    <w:p>
      <w:pPr>
        <w:numPr>
          <w:ilvl w:val="0"/>
          <w:numId w:val="1017"/>
        </w:numPr>
        <w:pStyle w:val="Compact"/>
      </w:pPr>
      <w:r>
        <w:t xml:space="preserve">평가손익은 경제적 가치(공정가치) 기준이며, AC 분류 채권·원가모형 부동산 등은 회계상 손익과 다름.</w:t>
      </w:r>
    </w:p>
    <w:p>
      <w:pPr>
        <w:numPr>
          <w:ilvl w:val="0"/>
          <w:numId w:val="1017"/>
        </w:numPr>
        <w:pStyle w:val="Compact"/>
      </w:pPr>
      <w:r>
        <w:t xml:space="preserve">팩터 간 상관과 2차 효과(유가 → 물가 → 금리 등)는 시나리오 작성 단계에서만 반영되며 계산 엔진은 선형 합산.</w:t>
      </w:r>
    </w:p>
    <w:p>
      <w:pPr>
        <w:numPr>
          <w:ilvl w:val="0"/>
          <w:numId w:val="1017"/>
        </w:numPr>
        <w:pStyle w:val="Compact"/>
      </w:pPr>
      <w:r>
        <w:t xml:space="preserve">K-ICS 요구자본 영향은 위험계수 미입력(</w:t>
      </w:r>
      <w:r>
        <w:rPr>
          <w:rStyle w:val="VerbatimChar"/>
        </w:rPr>
        <w:t xml:space="preserve">assumptions.kics.verified: false</w:t>
      </w:r>
      <w:r>
        <w:t xml:space="preserve">)으로 정성 서술만 가능.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포트폴리오 수치는 회사 공시(IR·정기공시·사업보고서)를 기준으로 하되 일부는 공시 비중으로 나눈 값이거나 추정값(* 표시)이며, 영향 금액은 가정 기반 근사 계산입니다. 매크로 시나리오·확률은 하우스 뷰와 에이전트 판단에 기반한 추정으로 실제 결과와 다를 수 있습니다.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2026-10-26T15:11:04Z</dcterms:created>
  <dcterms:modified xsi:type="dcterms:W3CDTF">2026-10-26T15:11:04Z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