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 didn’t overcome any huge notable obstacles during my program development. However, the trickiest part for me was figuring out how to calculate the duty for cheese values exceeding 13000 dollars, keeping in mind the difference in duty percentage for cheshire or stilton cheeses versus everything else. To get past this, I realized I needed to separate the cheshire and stilton cheese calculations from everything else yet again for values exceeding 13000 dollars, using &amp;&amp; statements to add additional specifications to my boolean.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Test Data:</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Empty String for cheese type (“”, 100, Ralph’s)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Negative Value (Stilton, -100, Ralph’s)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Zero Value (Stilton, 0, Ralph’s)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Empty string for importer (Stilton, 100,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Empty string for cheese type AND importer (“”, 100, “”)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Valid Data &lt;= 1000 (Cornish Yarg, 100, Ralph’s)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Valid Data &gt;1000 and &lt;= 13000 (Cornish Yarg, 1001, Ralph’s)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Valid Data w/ Special Case (cheshire/stilton) &gt;1000 and &lt;= 13000 (Stilton, 1001, Ralph’s)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Valid Data &gt;13000 (Cairnsmore, 13001, Ralph’s)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Valid Data &gt;13000 w/ Special Case (Cheshire, 13001, Ralph’s)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