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表格说明：安全平网、立网、密目式安全立网的分类、规格、物理性能和阻燃性能相关要求。</w:t>
      </w:r>
    </w:p>
    <w:p>
      <w:r>
        <w:t>关联条文：第4章、第5章；事故映射重点：安全网缺失、不合格、选型错误、标识与检查不足。</w:t>
      </w:r>
    </w:p>
    <w:sectPr/>
  </w:body>
</w:document>
</file>