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A8" w:rsidRPr="00252AB8" w:rsidRDefault="00414777" w:rsidP="00252AB8">
      <w:pPr>
        <w:pStyle w:val="Title"/>
        <w:jc w:val="center"/>
        <w:rPr>
          <w:sz w:val="64"/>
          <w:szCs w:val="64"/>
        </w:rPr>
      </w:pPr>
      <w:r w:rsidRPr="00252AB8">
        <w:rPr>
          <w:sz w:val="64"/>
          <w:szCs w:val="64"/>
        </w:rPr>
        <w:t xml:space="preserve">COVID-19 SNF </w:t>
      </w:r>
      <w:proofErr w:type="gramStart"/>
      <w:r w:rsidRPr="00252AB8">
        <w:rPr>
          <w:sz w:val="64"/>
          <w:szCs w:val="64"/>
        </w:rPr>
        <w:t>Snap Shot</w:t>
      </w:r>
      <w:proofErr w:type="gramEnd"/>
    </w:p>
    <w:p w:rsidR="000C0EA8" w:rsidRDefault="00414777">
      <w:pPr>
        <w:pStyle w:val="Author"/>
      </w:pPr>
      <w:r>
        <w:t>The Amazing SNF Analytics Team</w:t>
      </w:r>
    </w:p>
    <w:p w:rsidR="000C0EA8" w:rsidRDefault="000C0EA8">
      <w:pPr>
        <w:pStyle w:val="FirstParagraph"/>
      </w:pPr>
    </w:p>
    <w:p w:rsidR="000C0EA8" w:rsidRDefault="00414777">
      <w:pPr>
        <w:pStyle w:val="Heading1"/>
      </w:pPr>
      <w:bookmarkStart w:id="0" w:name="summary"/>
      <w:r>
        <w:t>Summa</w:t>
      </w:r>
      <w:bookmarkStart w:id="1" w:name="_GoBack"/>
      <w:bookmarkEnd w:id="1"/>
      <w:r>
        <w:t>ry</w:t>
      </w:r>
      <w:bookmarkEnd w:id="0"/>
    </w:p>
    <w:p w:rsidR="000C0EA8" w:rsidRDefault="00414777">
      <w:pPr>
        <w:pStyle w:val="Heading4"/>
      </w:pPr>
      <w:bookmarkStart w:id="2" w:name="X28de77345a6e66b743411e0923d92bc512a7cd6"/>
      <w:r>
        <w:t>Skilled Nursing Facilities (SNFs) have had many COVID-19 cases and deaths, house people at high risk for compilations by virtue of their age and infirmity, may disproportionately employ disadvantaged populations at higher risk for spreading/acquiring COVID</w:t>
      </w:r>
      <w:r>
        <w:t>-19 in their communities, and are otherwise a focal area for COVID-19 control</w:t>
      </w:r>
      <w:bookmarkEnd w:id="2"/>
    </w:p>
    <w:p w:rsidR="000C0EA8" w:rsidRDefault="000C0EA8">
      <w:pPr>
        <w:pStyle w:val="FirstParagraph"/>
      </w:pPr>
    </w:p>
    <w:p w:rsidR="000C0EA8" w:rsidRDefault="00414777">
      <w:pPr>
        <w:pStyle w:val="Heading4"/>
      </w:pPr>
      <w:bookmarkStart w:id="3" w:name="X686f3c7ceb914e240a5dd257be3d6407ceb5dbe"/>
      <w:r>
        <w:t>Of the 1,204 SNFs, 591 had at least one COVID-19 case among residents as of DATE. As of DATE there were a total of 13,704 resident cases per the SNF123 Survey data (and 12962 pe</w:t>
      </w:r>
      <w:r>
        <w:t>r CalREDIE) and 8903 staff cases.</w:t>
      </w:r>
      <w:bookmarkEnd w:id="3"/>
    </w:p>
    <w:p w:rsidR="000C0EA8" w:rsidRDefault="000C0EA8">
      <w:pPr>
        <w:pStyle w:val="FirstParagraph"/>
      </w:pPr>
    </w:p>
    <w:p w:rsidR="000C0EA8" w:rsidRDefault="00414777">
      <w:pPr>
        <w:pStyle w:val="Heading1"/>
      </w:pPr>
      <w:bookmarkStart w:id="4" w:name="table-for-review-and-cleaning-only"/>
      <w:r>
        <w:t>Table for review and cleaning only</w:t>
      </w:r>
      <w:bookmarkEnd w:id="4"/>
    </w:p>
    <w:p w:rsidR="000C0EA8" w:rsidRDefault="000C0EA8">
      <w:pPr>
        <w:pStyle w:val="FirstParagraph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1"/>
        <w:gridCol w:w="833"/>
        <w:gridCol w:w="994"/>
        <w:gridCol w:w="1428"/>
        <w:gridCol w:w="769"/>
        <w:gridCol w:w="946"/>
        <w:gridCol w:w="913"/>
        <w:gridCol w:w="1364"/>
        <w:gridCol w:w="1018"/>
        <w:gridCol w:w="994"/>
      </w:tblGrid>
      <w:tr w:rsidR="000C0EA8">
        <w:trPr>
          <w:cantSplit/>
          <w:tblHeader/>
          <w:jc w:val="center"/>
        </w:trPr>
        <w:tc>
          <w:tcPr>
            <w:tcW w:w="821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sizeSNF</w:t>
            </w:r>
          </w:p>
        </w:tc>
        <w:tc>
          <w:tcPr>
            <w:tcW w:w="833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nFacilties</w:t>
            </w:r>
          </w:p>
        </w:tc>
        <w:tc>
          <w:tcPr>
            <w:tcW w:w="994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nWithCases</w:t>
            </w:r>
          </w:p>
        </w:tc>
        <w:tc>
          <w:tcPr>
            <w:tcW w:w="1428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percentWithCases</w:t>
            </w:r>
          </w:p>
        </w:tc>
        <w:tc>
          <w:tcPr>
            <w:tcW w:w="769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caseMax</w:t>
            </w:r>
          </w:p>
        </w:tc>
        <w:tc>
          <w:tcPr>
            <w:tcW w:w="946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censusMax</w:t>
            </w:r>
          </w:p>
        </w:tc>
        <w:tc>
          <w:tcPr>
            <w:tcW w:w="913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censusMin</w:t>
            </w:r>
          </w:p>
        </w:tc>
        <w:tc>
          <w:tcPr>
            <w:tcW w:w="1364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allResidentCases</w:t>
            </w:r>
          </w:p>
        </w:tc>
        <w:tc>
          <w:tcPr>
            <w:tcW w:w="1018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allResidents</w:t>
            </w:r>
          </w:p>
        </w:tc>
        <w:tc>
          <w:tcPr>
            <w:tcW w:w="994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Staff_Cases</w:t>
            </w:r>
          </w:p>
        </w:tc>
      </w:tr>
      <w:tr w:rsidR="000C0EA8">
        <w:trPr>
          <w:cantSplit/>
          <w:jc w:val="center"/>
        </w:trPr>
        <w:tc>
          <w:tcPr>
            <w:tcW w:w="82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   &gt;100</w:t>
            </w:r>
          </w:p>
        </w:tc>
        <w:tc>
          <w:tcPr>
            <w:tcW w:w="83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284</w:t>
            </w:r>
          </w:p>
        </w:tc>
        <w:tc>
          <w:tcPr>
            <w:tcW w:w="99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177</w:t>
            </w:r>
          </w:p>
        </w:tc>
        <w:tc>
          <w:tcPr>
            <w:tcW w:w="14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62.32394</w:t>
            </w:r>
          </w:p>
        </w:tc>
        <w:tc>
          <w:tcPr>
            <w:tcW w:w="76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125</w:t>
            </w:r>
          </w:p>
        </w:tc>
        <w:tc>
          <w:tcPr>
            <w:tcW w:w="9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740</w:t>
            </w:r>
          </w:p>
        </w:tc>
        <w:tc>
          <w:tcPr>
            <w:tcW w:w="91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13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5038</w:t>
            </w:r>
          </w:p>
        </w:tc>
        <w:tc>
          <w:tcPr>
            <w:tcW w:w="1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40795</w:t>
            </w:r>
          </w:p>
        </w:tc>
        <w:tc>
          <w:tcPr>
            <w:tcW w:w="99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3206</w:t>
            </w:r>
          </w:p>
        </w:tc>
      </w:tr>
      <w:tr w:rsidR="000C0EA8">
        <w:trPr>
          <w:cantSplit/>
          <w:jc w:val="center"/>
        </w:trPr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&gt;75-100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321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1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55.45171</w:t>
            </w:r>
          </w:p>
        </w:tc>
        <w:tc>
          <w:tcPr>
            <w:tcW w:w="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3976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27981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2690</w:t>
            </w:r>
          </w:p>
        </w:tc>
      </w:tr>
      <w:tr w:rsidR="000C0EA8">
        <w:trPr>
          <w:cantSplit/>
          <w:jc w:val="center"/>
        </w:trPr>
        <w:tc>
          <w:tcPr>
            <w:tcW w:w="82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 &gt;50-75</w:t>
            </w:r>
          </w:p>
        </w:tc>
        <w:tc>
          <w:tcPr>
            <w:tcW w:w="83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271</w:t>
            </w:r>
          </w:p>
        </w:tc>
        <w:tc>
          <w:tcPr>
            <w:tcW w:w="99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127</w:t>
            </w:r>
          </w:p>
        </w:tc>
        <w:tc>
          <w:tcPr>
            <w:tcW w:w="14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46.86347</w:t>
            </w:r>
          </w:p>
        </w:tc>
        <w:tc>
          <w:tcPr>
            <w:tcW w:w="76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204</w:t>
            </w:r>
          </w:p>
        </w:tc>
        <w:tc>
          <w:tcPr>
            <w:tcW w:w="9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91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3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3214</w:t>
            </w:r>
          </w:p>
        </w:tc>
        <w:tc>
          <w:tcPr>
            <w:tcW w:w="1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17158</w:t>
            </w:r>
          </w:p>
        </w:tc>
        <w:tc>
          <w:tcPr>
            <w:tcW w:w="99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1816</w:t>
            </w:r>
          </w:p>
        </w:tc>
      </w:tr>
      <w:tr w:rsidR="000C0EA8">
        <w:trPr>
          <w:cantSplit/>
          <w:jc w:val="center"/>
        </w:trPr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    &lt;50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328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</w:t>
            </w:r>
          </w:p>
        </w:tc>
        <w:tc>
          <w:tcPr>
            <w:tcW w:w="1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33.23171</w:t>
            </w:r>
          </w:p>
        </w:tc>
        <w:tc>
          <w:tcPr>
            <w:tcW w:w="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1476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11556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1191</w:t>
            </w:r>
          </w:p>
        </w:tc>
      </w:tr>
      <w:tr w:rsidR="000C0EA8">
        <w:trPr>
          <w:cantSplit/>
          <w:jc w:val="center"/>
        </w:trPr>
        <w:tc>
          <w:tcPr>
            <w:tcW w:w="82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83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1204</w:t>
            </w:r>
          </w:p>
        </w:tc>
        <w:tc>
          <w:tcPr>
            <w:tcW w:w="99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591</w:t>
            </w:r>
          </w:p>
        </w:tc>
        <w:tc>
          <w:tcPr>
            <w:tcW w:w="14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197.87083</w:t>
            </w:r>
          </w:p>
        </w:tc>
        <w:tc>
          <w:tcPr>
            <w:tcW w:w="76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497</w:t>
            </w:r>
          </w:p>
        </w:tc>
        <w:tc>
          <w:tcPr>
            <w:tcW w:w="9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965</w:t>
            </w:r>
          </w:p>
        </w:tc>
        <w:tc>
          <w:tcPr>
            <w:tcW w:w="91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228</w:t>
            </w:r>
          </w:p>
        </w:tc>
        <w:tc>
          <w:tcPr>
            <w:tcW w:w="13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13704</w:t>
            </w:r>
          </w:p>
        </w:tc>
        <w:tc>
          <w:tcPr>
            <w:tcW w:w="1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97490</w:t>
            </w:r>
          </w:p>
        </w:tc>
        <w:tc>
          <w:tcPr>
            <w:tcW w:w="99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8903</w:t>
            </w:r>
          </w:p>
        </w:tc>
      </w:tr>
    </w:tbl>
    <w:p w:rsidR="000C0EA8" w:rsidRDefault="000C0EA8">
      <w:pPr>
        <w:pStyle w:val="BodyText"/>
      </w:pPr>
    </w:p>
    <w:p w:rsidR="000C0EA8" w:rsidRDefault="00414777">
      <w:pPr>
        <w:pStyle w:val="Heading1"/>
      </w:pPr>
      <w:bookmarkStart w:id="5" w:name="X38250d37fcf4604371affafe775a172565cf9b8"/>
      <w:r>
        <w:lastRenderedPageBreak/>
        <w:t>Race/Ethnicity and percent of SNFs with cases (these 3 tables will be combined into one…)</w:t>
      </w:r>
      <w:bookmarkEnd w:id="5"/>
    </w:p>
    <w:p w:rsidR="000C0EA8" w:rsidRDefault="000C0EA8">
      <w:pPr>
        <w:pStyle w:val="FirstParagraph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20"/>
        <w:gridCol w:w="2092"/>
        <w:gridCol w:w="1790"/>
        <w:gridCol w:w="1790"/>
        <w:gridCol w:w="1790"/>
      </w:tblGrid>
      <w:tr w:rsidR="000C0EA8">
        <w:trPr>
          <w:cantSplit/>
          <w:tblHeader/>
          <w:jc w:val="center"/>
        </w:trPr>
        <w:tc>
          <w:tcPr>
            <w:tcW w:w="2620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p_Black_Latino4a</w:t>
            </w:r>
          </w:p>
        </w:tc>
        <w:tc>
          <w:tcPr>
            <w:tcW w:w="2092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790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May 31</w:t>
            </w:r>
          </w:p>
        </w:tc>
        <w:tc>
          <w:tcPr>
            <w:tcW w:w="1790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Jun 30</w:t>
            </w:r>
          </w:p>
        </w:tc>
        <w:tc>
          <w:tcPr>
            <w:tcW w:w="1790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Sep 30</w:t>
            </w:r>
          </w:p>
        </w:tc>
      </w:tr>
      <w:tr w:rsidR="000C0EA8">
        <w:trPr>
          <w:cantSplit/>
          <w:jc w:val="center"/>
        </w:trPr>
        <w:tc>
          <w:tcPr>
            <w:tcW w:w="26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   &gt;45%</w:t>
            </w:r>
          </w:p>
        </w:tc>
        <w:tc>
          <w:tcPr>
            <w:tcW w:w="20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224 (100.0%)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150 (67.0%)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150 (67.0%)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150 (67.0%)</w:t>
            </w:r>
          </w:p>
        </w:tc>
      </w:tr>
      <w:tr w:rsidR="000C0EA8">
        <w:trPr>
          <w:cantSplit/>
          <w:jc w:val="center"/>
        </w:trPr>
        <w:tc>
          <w:tcPr>
            <w:tcW w:w="2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 25-45%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379 (100.0%)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 (59.9%)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 (59.9%)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 (59.9%)</w:t>
            </w:r>
          </w:p>
        </w:tc>
      </w:tr>
      <w:tr w:rsidR="000C0EA8">
        <w:trPr>
          <w:cantSplit/>
          <w:jc w:val="center"/>
        </w:trPr>
        <w:tc>
          <w:tcPr>
            <w:tcW w:w="26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  5-25%</w:t>
            </w:r>
          </w:p>
        </w:tc>
        <w:tc>
          <w:tcPr>
            <w:tcW w:w="20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436 (100.0%)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177 (40.6%)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177 (40.6%)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177 (40.6%)</w:t>
            </w:r>
          </w:p>
        </w:tc>
      </w:tr>
      <w:tr w:rsidR="000C0EA8">
        <w:trPr>
          <w:cantSplit/>
          <w:jc w:val="center"/>
        </w:trPr>
        <w:tc>
          <w:tcPr>
            <w:tcW w:w="2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   0-5%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 (100.0%)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(22.1%)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(22.1%)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(22.1%)</w:t>
            </w:r>
          </w:p>
        </w:tc>
      </w:tr>
      <w:tr w:rsidR="000C0EA8">
        <w:trPr>
          <w:cantSplit/>
          <w:jc w:val="center"/>
        </w:trPr>
        <w:tc>
          <w:tcPr>
            <w:tcW w:w="26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20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1175 (100.0%)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584 (49.7%)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584 (49.7%)</w:t>
            </w:r>
          </w:p>
        </w:tc>
        <w:tc>
          <w:tcPr>
            <w:tcW w:w="179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584 (49.7%)</w:t>
            </w:r>
          </w:p>
        </w:tc>
      </w:tr>
    </w:tbl>
    <w:p w:rsidR="000C0EA8" w:rsidRDefault="00414777">
      <w:pPr>
        <w:pStyle w:val="Heading1"/>
      </w:pPr>
      <w:bookmarkStart w:id="6" w:name="X44fc3eb226fc30ae67a7b44f9bf036949002e64"/>
      <w:r>
        <w:lastRenderedPageBreak/>
        <w:t>(Chart) Association of Race/Ethnicity and with SNF Resident Covid-19 Cases</w:t>
      </w:r>
      <w:bookmarkEnd w:id="6"/>
    </w:p>
    <w:p w:rsidR="000C0EA8" w:rsidRDefault="00414777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apshotTemplate_Jasp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A8" w:rsidRDefault="000C0EA8">
      <w:pPr>
        <w:pStyle w:val="BodyText"/>
      </w:pPr>
    </w:p>
    <w:p w:rsidR="000C0EA8" w:rsidRDefault="00414777">
      <w:pPr>
        <w:pStyle w:val="Heading1"/>
      </w:pPr>
      <w:bookmarkStart w:id="7" w:name="Xc69a0941ccf711a1eb9f73876d7d521aaebc64c"/>
      <w:r>
        <w:t>(Chart) Association of Community Covid-19 Rates with Covid-19 Cases in SNFs</w:t>
      </w:r>
      <w:bookmarkEnd w:id="7"/>
    </w:p>
    <w:p w:rsidR="000C0EA8" w:rsidRDefault="000C0EA8">
      <w:pPr>
        <w:pStyle w:val="FirstParagraph"/>
      </w:pPr>
    </w:p>
    <w:p w:rsidR="000C0EA8" w:rsidRDefault="0041477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apshotTemplate_Jasp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A8" w:rsidRDefault="000C0EA8">
      <w:pPr>
        <w:pStyle w:val="BodyText"/>
      </w:pPr>
    </w:p>
    <w:p w:rsidR="000C0EA8" w:rsidRDefault="00414777">
      <w:pPr>
        <w:pStyle w:val="Heading1"/>
      </w:pPr>
      <w:bookmarkStart w:id="8" w:name="X0134693a97e0b2e212c6d6a5c1cbb5bd87813d0"/>
      <w:r>
        <w:t>Percent of SNFs with cases by DISTRICT and race/ethnicity</w:t>
      </w:r>
      <w:bookmarkEnd w:id="8"/>
    </w:p>
    <w:p w:rsidR="000C0EA8" w:rsidRDefault="000C0EA8">
      <w:pPr>
        <w:pStyle w:val="FirstParagraph"/>
      </w:pPr>
    </w:p>
    <w:p w:rsidR="000C0EA8" w:rsidRDefault="0041477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apshotTemplate_Jasp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A8" w:rsidRDefault="000C0EA8">
      <w:pPr>
        <w:pStyle w:val="BodyText"/>
      </w:pPr>
    </w:p>
    <w:p w:rsidR="000C0EA8" w:rsidRDefault="00414777">
      <w:pPr>
        <w:pStyle w:val="Heading2"/>
      </w:pPr>
      <w:bookmarkStart w:id="9" w:name="percentage-of-raceethnic-groups"/>
      <w:r>
        <w:t>Percentage of Race/Ethnic Groups:</w:t>
      </w:r>
      <w:bookmarkEnd w:id="9"/>
    </w:p>
    <w:p w:rsidR="000C0EA8" w:rsidRDefault="00414777">
      <w:pPr>
        <w:pStyle w:val="Compact"/>
        <w:numPr>
          <w:ilvl w:val="0"/>
          <w:numId w:val="15"/>
        </w:numPr>
      </w:pPr>
      <w:r>
        <w:t>COVID-19 SNF Reident Cases (CalREDIE)</w:t>
      </w:r>
    </w:p>
    <w:p w:rsidR="000C0EA8" w:rsidRDefault="00414777">
      <w:pPr>
        <w:pStyle w:val="Compact"/>
        <w:numPr>
          <w:ilvl w:val="0"/>
          <w:numId w:val="15"/>
        </w:numPr>
      </w:pPr>
      <w:r>
        <w:t>SNF Residents (CMS/MDS)</w:t>
      </w:r>
    </w:p>
    <w:p w:rsidR="000C0EA8" w:rsidRDefault="00414777">
      <w:pPr>
        <w:pStyle w:val="Compact"/>
        <w:numPr>
          <w:ilvl w:val="0"/>
          <w:numId w:val="15"/>
        </w:numPr>
      </w:pPr>
      <w:r>
        <w:t xml:space="preserve">California Population 80-99 Years of Age (DOF)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87"/>
        <w:gridCol w:w="1687"/>
        <w:gridCol w:w="920"/>
        <w:gridCol w:w="2287"/>
        <w:gridCol w:w="1037"/>
        <w:gridCol w:w="762"/>
        <w:gridCol w:w="1120"/>
      </w:tblGrid>
      <w:tr w:rsidR="000C0EA8">
        <w:trPr>
          <w:cantSplit/>
          <w:tblHeader/>
          <w:jc w:val="center"/>
        </w:trPr>
        <w:tc>
          <w:tcPr>
            <w:tcW w:w="2987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Race/Ethnicity</w:t>
            </w:r>
          </w:p>
        </w:tc>
        <w:tc>
          <w:tcPr>
            <w:tcW w:w="1687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CalREDIE SNF Cases</w:t>
            </w:r>
          </w:p>
        </w:tc>
        <w:tc>
          <w:tcPr>
            <w:tcW w:w="920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CMS/ MDS</w:t>
            </w:r>
          </w:p>
        </w:tc>
        <w:tc>
          <w:tcPr>
            <w:tcW w:w="2287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Populat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ion 80-99 years of age</w:t>
            </w:r>
          </w:p>
        </w:tc>
        <w:tc>
          <w:tcPr>
            <w:tcW w:w="1037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CalREDIE %</w:t>
            </w:r>
          </w:p>
        </w:tc>
        <w:tc>
          <w:tcPr>
            <w:tcW w:w="762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MDS   %</w:t>
            </w:r>
          </w:p>
        </w:tc>
        <w:tc>
          <w:tcPr>
            <w:tcW w:w="1120" w:type="dxa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Population %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American Indian or Alaska Native</w:t>
            </w:r>
          </w:p>
        </w:tc>
        <w:tc>
          <w:tcPr>
            <w:tcW w:w="16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9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544</w:t>
            </w:r>
          </w:p>
        </w:tc>
        <w:tc>
          <w:tcPr>
            <w:tcW w:w="22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5,692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Black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1,067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18,395</w:t>
            </w:r>
          </w:p>
        </w:tc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74,717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12.4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10.8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Asian</w:t>
            </w:r>
          </w:p>
        </w:tc>
        <w:tc>
          <w:tcPr>
            <w:tcW w:w="16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1,152</w:t>
            </w:r>
          </w:p>
        </w:tc>
        <w:tc>
          <w:tcPr>
            <w:tcW w:w="9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17,486</w:t>
            </w:r>
          </w:p>
        </w:tc>
        <w:tc>
          <w:tcPr>
            <w:tcW w:w="22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261,896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13.4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10.2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Latino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2,475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30,541</w:t>
            </w:r>
          </w:p>
        </w:tc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301,795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28.8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17.9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Native Hawaiian and other Pacific Islander</w:t>
            </w:r>
          </w:p>
        </w:tc>
        <w:tc>
          <w:tcPr>
            <w:tcW w:w="16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9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884</w:t>
            </w:r>
          </w:p>
        </w:tc>
        <w:tc>
          <w:tcPr>
            <w:tcW w:w="22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3,609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3,389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101,121</w:t>
            </w:r>
          </w:p>
        </w:tc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884,046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39.4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59.2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57.2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Multi-Race</w:t>
            </w:r>
          </w:p>
        </w:tc>
        <w:tc>
          <w:tcPr>
            <w:tcW w:w="16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9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1,948</w:t>
            </w:r>
          </w:p>
        </w:tc>
        <w:tc>
          <w:tcPr>
            <w:tcW w:w="22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13,259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 with Data</w:t>
            </w:r>
          </w:p>
        </w:tc>
        <w:tc>
          <w:tcPr>
            <w:tcW w:w="1687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8,603</w:t>
            </w:r>
          </w:p>
        </w:tc>
        <w:tc>
          <w:tcPr>
            <w:tcW w:w="920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170,919</w:t>
            </w:r>
          </w:p>
        </w:tc>
        <w:tc>
          <w:tcPr>
            <w:tcW w:w="2287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1,545,014</w:t>
            </w:r>
          </w:p>
        </w:tc>
        <w:tc>
          <w:tcPr>
            <w:tcW w:w="1037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</w:t>
            </w:r>
          </w:p>
        </w:tc>
        <w:tc>
          <w:tcPr>
            <w:tcW w:w="762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</w:t>
            </w:r>
          </w:p>
        </w:tc>
        <w:tc>
          <w:tcPr>
            <w:tcW w:w="1120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Unknown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4,359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6,891</w:t>
            </w:r>
          </w:p>
        </w:tc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33.6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0C0EA8">
        <w:trPr>
          <w:cantSplit/>
          <w:jc w:val="center"/>
        </w:trPr>
        <w:tc>
          <w:tcPr>
            <w:tcW w:w="29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6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12,962</w:t>
            </w:r>
          </w:p>
        </w:tc>
        <w:tc>
          <w:tcPr>
            <w:tcW w:w="9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177,810</w:t>
            </w:r>
          </w:p>
        </w:tc>
        <w:tc>
          <w:tcPr>
            <w:tcW w:w="228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1,545,014</w:t>
            </w:r>
          </w:p>
        </w:tc>
        <w:tc>
          <w:tcPr>
            <w:tcW w:w="1037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</w:t>
            </w:r>
          </w:p>
        </w:tc>
        <w:tc>
          <w:tcPr>
            <w:tcW w:w="762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</w:t>
            </w:r>
          </w:p>
        </w:tc>
        <w:tc>
          <w:tcPr>
            <w:tcW w:w="1120" w:type="dxa"/>
            <w:shd w:val="clear" w:color="auto" w:fill="FCFF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0EA8" w:rsidRDefault="0041477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</w:t>
            </w:r>
          </w:p>
        </w:tc>
      </w:tr>
    </w:tbl>
    <w:p w:rsidR="00000000" w:rsidRDefault="00414777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14777">
      <w:pPr>
        <w:spacing w:after="0" w:line="240" w:lineRule="auto"/>
      </w:pPr>
      <w:r>
        <w:separator/>
      </w:r>
    </w:p>
  </w:endnote>
  <w:endnote w:type="continuationSeparator" w:id="0">
    <w:p w:rsidR="00000000" w:rsidRDefault="0041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EA8" w:rsidRDefault="00414777">
      <w:r>
        <w:separator/>
      </w:r>
    </w:p>
  </w:footnote>
  <w:footnote w:type="continuationSeparator" w:id="0">
    <w:p w:rsidR="000C0EA8" w:rsidRDefault="0041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956C4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ACB0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42098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E068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820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C8E14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E2B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5EA3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6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7D68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405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714C3B"/>
    <w:multiLevelType w:val="hybridMultilevel"/>
    <w:tmpl w:val="93A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985806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4736724"/>
    <w:multiLevelType w:val="hybridMultilevel"/>
    <w:tmpl w:val="5CD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EA8"/>
    <w:rsid w:val="00252AB8"/>
    <w:rsid w:val="0041477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48C00-8B54-4975-BE43-F3949BBF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85B"/>
  </w:style>
  <w:style w:type="paragraph" w:styleId="Heading1">
    <w:name w:val="heading 1"/>
    <w:basedOn w:val="Normal"/>
    <w:next w:val="Normal"/>
    <w:link w:val="Heading1Char"/>
    <w:uiPriority w:val="9"/>
    <w:qFormat/>
    <w:rsid w:val="00FD685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85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8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8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8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68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68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68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68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B7795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1E6E8F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D6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8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rsid w:val="00EB7795"/>
    <w:pPr>
      <w:keepNext/>
      <w:keepLines/>
      <w:jc w:val="center"/>
    </w:pPr>
    <w:rPr>
      <w:rFonts w:ascii="Century Gothic" w:hAnsi="Century Gothic"/>
    </w:rPr>
  </w:style>
  <w:style w:type="paragraph" w:styleId="Date">
    <w:name w:val="Date"/>
    <w:next w:val="BodyText"/>
    <w:rsid w:val="00EB7795"/>
    <w:pPr>
      <w:keepNext/>
      <w:keepLines/>
      <w:jc w:val="center"/>
    </w:pPr>
    <w:rPr>
      <w:rFonts w:ascii="Century Gothic" w:hAnsi="Century Gothic"/>
    </w:rPr>
  </w:style>
  <w:style w:type="paragraph" w:customStyle="1" w:styleId="Abstract">
    <w:name w:val="Abstract"/>
    <w:basedOn w:val="Normal"/>
    <w:next w:val="BodyText"/>
    <w:link w:val="AbstractChar"/>
    <w:rsid w:val="00962D49"/>
    <w:pPr>
      <w:keepNext/>
      <w:keepLines/>
      <w:spacing w:before="300" w:after="300"/>
      <w:ind w:firstLine="720"/>
    </w:pPr>
    <w:rPr>
      <w:sz w:val="20"/>
      <w:szCs w:val="20"/>
    </w:rPr>
  </w:style>
  <w:style w:type="paragraph" w:styleId="Bibliography">
    <w:name w:val="Bibliography"/>
    <w:basedOn w:val="Normal"/>
    <w:rsid w:val="00EB7795"/>
  </w:style>
  <w:style w:type="paragraph" w:styleId="BlockText">
    <w:name w:val="Block Text"/>
    <w:basedOn w:val="InTextFoot"/>
    <w:next w:val="BodyText"/>
    <w:uiPriority w:val="9"/>
    <w:unhideWhenUsed/>
    <w:rsid w:val="00835894"/>
    <w:pPr>
      <w:ind w:firstLine="0"/>
    </w:pPr>
    <w:rPr>
      <w:b/>
    </w:rPr>
  </w:style>
  <w:style w:type="paragraph" w:styleId="FootnoteText">
    <w:name w:val="footnote text"/>
    <w:basedOn w:val="Normal"/>
    <w:uiPriority w:val="9"/>
    <w:unhideWhenUsed/>
    <w:rsid w:val="00EB779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68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D685B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paragraph" w:customStyle="1" w:styleId="StyleCOVIDtitle">
    <w:name w:val="StyleCOVIDtitle"/>
    <w:basedOn w:val="Title"/>
    <w:link w:val="StyleCOVIDtitleChar"/>
    <w:rsid w:val="00EB7795"/>
  </w:style>
  <w:style w:type="paragraph" w:customStyle="1" w:styleId="COVIDparagraphheader">
    <w:name w:val="COVIDparagraphheader"/>
    <w:basedOn w:val="Heading2"/>
    <w:link w:val="COVIDparagraphheaderChar"/>
    <w:rsid w:val="00EB7795"/>
    <w:rPr>
      <w:color w:val="auto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FD685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tyleCOVIDtitleChar">
    <w:name w:val="StyleCOVIDtitle Char"/>
    <w:basedOn w:val="TitleChar"/>
    <w:link w:val="StyleCOVIDtitle"/>
    <w:rsid w:val="00EB7795"/>
    <w:rPr>
      <w:rFonts w:ascii="Century Gothic" w:eastAsiaTheme="majorEastAsia" w:hAnsi="Century Gothic" w:cstheme="majorBidi"/>
      <w:b w:val="0"/>
      <w:bCs w:val="0"/>
      <w:color w:val="365F91" w:themeColor="accent1" w:themeShade="BF"/>
      <w:spacing w:val="-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685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COVIDparagraphheaderChar">
    <w:name w:val="COVIDparagraphheader Char"/>
    <w:basedOn w:val="Heading2Char"/>
    <w:link w:val="COVIDparagraphheader"/>
    <w:rsid w:val="00EB7795"/>
    <w:rPr>
      <w:rFonts w:ascii="Century Gothic" w:eastAsiaTheme="majorEastAsia" w:hAnsi="Century Gothic" w:cstheme="majorBidi"/>
      <w:b w:val="0"/>
      <w:bCs w:val="0"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B7795"/>
    <w:rPr>
      <w:rFonts w:ascii="Century Gothic" w:hAnsi="Century Gothic"/>
    </w:rPr>
  </w:style>
  <w:style w:type="paragraph" w:styleId="NormalIndent">
    <w:name w:val="Normal Indent"/>
    <w:basedOn w:val="Normal"/>
    <w:unhideWhenUsed/>
    <w:rsid w:val="00017911"/>
    <w:pPr>
      <w:ind w:left="720"/>
    </w:pPr>
  </w:style>
  <w:style w:type="paragraph" w:styleId="BodyText2">
    <w:name w:val="Body Text 2"/>
    <w:basedOn w:val="Normal"/>
    <w:link w:val="BodyText2Char"/>
    <w:rsid w:val="009115D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9115D1"/>
    <w:rPr>
      <w:rFonts w:ascii="Arial" w:hAnsi="Arial"/>
    </w:rPr>
  </w:style>
  <w:style w:type="paragraph" w:customStyle="1" w:styleId="InTextFoot">
    <w:name w:val="InTextFoot"/>
    <w:basedOn w:val="Abstract"/>
    <w:link w:val="InTextFootChar"/>
    <w:rsid w:val="00474B9F"/>
  </w:style>
  <w:style w:type="character" w:customStyle="1" w:styleId="AbstractChar">
    <w:name w:val="Abstract Char"/>
    <w:basedOn w:val="DefaultParagraphFont"/>
    <w:link w:val="Abstract"/>
    <w:rsid w:val="00474B9F"/>
    <w:rPr>
      <w:rFonts w:ascii="Century Gothic" w:hAnsi="Century Gothic"/>
      <w:sz w:val="20"/>
      <w:szCs w:val="20"/>
    </w:rPr>
  </w:style>
  <w:style w:type="character" w:customStyle="1" w:styleId="InTextFootChar">
    <w:name w:val="InTextFoot Char"/>
    <w:basedOn w:val="AbstractChar"/>
    <w:link w:val="InTextFoot"/>
    <w:rsid w:val="00474B9F"/>
    <w:rPr>
      <w:rFonts w:ascii="Century Gothic" w:hAnsi="Century Gothic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685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85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68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68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D68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FD68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FD68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FD68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sid w:val="00FD68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D685B"/>
    <w:rPr>
      <w:b/>
      <w:bCs/>
    </w:rPr>
  </w:style>
  <w:style w:type="character" w:styleId="Emphasis">
    <w:name w:val="Emphasis"/>
    <w:basedOn w:val="DefaultParagraphFont"/>
    <w:uiPriority w:val="20"/>
    <w:qFormat/>
    <w:rsid w:val="00FD685B"/>
    <w:rPr>
      <w:i/>
      <w:iCs/>
    </w:rPr>
  </w:style>
  <w:style w:type="paragraph" w:styleId="NoSpacing">
    <w:name w:val="No Spacing"/>
    <w:uiPriority w:val="1"/>
    <w:qFormat/>
    <w:rsid w:val="00FD6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68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68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8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85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68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68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68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D68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D685B"/>
    <w:rPr>
      <w:b/>
      <w:bCs/>
      <w:smallCaps/>
    </w:rPr>
  </w:style>
  <w:style w:type="paragraph" w:styleId="BalloonText">
    <w:name w:val="Balloon Text"/>
    <w:basedOn w:val="Normal"/>
    <w:link w:val="BalloonTextChar"/>
    <w:semiHidden/>
    <w:unhideWhenUsed/>
    <w:rsid w:val="0025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5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SNF Snap Shot</vt:lpstr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SNF Snap Shot</dc:title>
  <dc:creator>The Amazing SNF Analytics Team</dc:creator>
  <cp:keywords/>
  <cp:lastModifiedBy>Kang, Jaspreet S@CDPH</cp:lastModifiedBy>
  <cp:revision>2</cp:revision>
  <dcterms:created xsi:type="dcterms:W3CDTF">2020-10-09T21:09:00Z</dcterms:created>
  <dcterms:modified xsi:type="dcterms:W3CDTF">2020-10-12T02:34:00Z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