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r>
              <w:t>varName</w:t>
            </w:r>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r w:rsidRPr="002A2707">
              <w:rPr>
                <w:rFonts w:ascii="Courier New" w:hAnsi="Courier New" w:cs="Courier New"/>
              </w:rPr>
              <w:t>textIntroA</w:t>
            </w:r>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r w:rsidRPr="002A2707">
              <w:rPr>
                <w:rFonts w:ascii="Courier New" w:hAnsi="Courier New" w:cs="Courier New"/>
              </w:rPr>
              <w:t>textIntroC</w:t>
            </w:r>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r w:rsidRPr="002A2707">
              <w:rPr>
                <w:rFonts w:ascii="Courier New" w:hAnsi="Courier New" w:cs="Courier New"/>
              </w:rPr>
              <w:t>textNote.real</w:t>
            </w:r>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r w:rsidRPr="002A2707">
              <w:rPr>
                <w:rFonts w:ascii="Courier New" w:hAnsi="Courier New" w:cs="Courier New"/>
              </w:rPr>
              <w:t>textNote.fake</w:t>
            </w:r>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&lt;ui style=align='left'&gt;&lt;b&gt;</w:t>
            </w:r>
          </w:p>
          <w:p w14:paraId="2A18FBC5" w14:textId="77777777" w:rsidR="001A7C6B" w:rsidRDefault="001A7C6B" w:rsidP="001A7C6B">
            <w:pPr>
              <w:spacing w:after="0"/>
              <w:rPr>
                <w:rFonts w:ascii="Courier New" w:hAnsi="Courier New" w:cs="Courier New"/>
              </w:rPr>
            </w:pPr>
            <w:r w:rsidRPr="007E146A">
              <w:rPr>
                <w:rFonts w:ascii="Courier New" w:hAnsi="Courier New" w:cs="Courier New"/>
              </w:rPr>
              <w:t>California Community Burden of Disease and Cost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&lt;br&gt;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&lt;/h4&gt;&lt;/ui&gt;</w:t>
            </w:r>
          </w:p>
        </w:tc>
      </w:tr>
      <w:tr w:rsidR="001A7C6B" w14:paraId="68F67822" w14:textId="77777777" w:rsidTr="008D52FA">
        <w:tc>
          <w:tcPr>
            <w:tcW w:w="2547" w:type="dxa"/>
            <w:shd w:val="clear" w:color="auto" w:fill="002060"/>
          </w:tcPr>
          <w:p w14:paraId="542A650F" w14:textId="51023E6F" w:rsidR="001A7C6B" w:rsidRDefault="00426E26">
            <w:r>
              <w:rPr>
                <w:rFonts w:ascii="Courier New" w:hAnsi="Courier New" w:cs="Courier New"/>
              </w:rPr>
              <w:lastRenderedPageBreak/>
              <w:t>tractWarning</w:t>
            </w:r>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r w:rsidRPr="00107DE4">
              <w:rPr>
                <w:rFonts w:ascii="Courier New" w:hAnsi="Courier New" w:cs="Courier New"/>
              </w:rPr>
              <w:t>oshpdModal</w:t>
            </w:r>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r>
              <w:rPr>
                <w:rFonts w:ascii="Courier New" w:hAnsi="Courier New" w:cs="Courier New"/>
              </w:rPr>
              <w:t>education</w:t>
            </w:r>
            <w:r w:rsidRPr="003703ED">
              <w:rPr>
                <w:rFonts w:ascii="Courier New" w:hAnsi="Courier New" w:cs="Courier New"/>
              </w:rPr>
              <w:t>Modal</w:t>
            </w:r>
          </w:p>
        </w:tc>
        <w:tc>
          <w:tcPr>
            <w:tcW w:w="6803" w:type="dxa"/>
            <w:shd w:val="clear" w:color="auto" w:fill="002060"/>
          </w:tcPr>
          <w:p w14:paraId="69F7C6A1" w14:textId="15965D98" w:rsidR="00FB4825" w:rsidRDefault="00FB4825" w:rsidP="00426E26">
            <w:pPr>
              <w:spacing w:after="0"/>
              <w:rPr>
                <w:rFonts w:ascii="Courier New" w:hAnsi="Courier New" w:cs="Courier New"/>
              </w:rPr>
            </w:pPr>
            <w:r w:rsidRPr="00FB4825">
              <w:rPr>
                <w:rFonts w:ascii="Courier New" w:hAnsi="Courier New" w:cs="Courier New"/>
              </w:rPr>
              <w:t>Prior to the 8/09/2022 release, age-adjusted death rates &amp; age-adjusted YLL rates in this education trends tab were incorrect due to a coding error which have now been corrected.</w:t>
            </w:r>
          </w:p>
          <w:p w14:paraId="44914CC3" w14:textId="3954E4A6" w:rsidR="00FB4825" w:rsidRDefault="00FB4825" w:rsidP="00426E26">
            <w:pPr>
              <w:spacing w:after="0"/>
              <w:rPr>
                <w:rFonts w:ascii="Courier New" w:hAnsi="Courier New" w:cs="Courier New"/>
              </w:rPr>
            </w:pPr>
            <w:r>
              <w:rPr>
                <w:rFonts w:ascii="Courier New" w:hAnsi="Courier New" w:cs="Courier New"/>
              </w:rPr>
              <w:t>&lt;br&gt;&lt;br&gt;</w:t>
            </w:r>
          </w:p>
          <w:p w14:paraId="3DDF0306" w14:textId="6EF93875"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w:t>
            </w:r>
            <w:r w:rsidRPr="003703ED">
              <w:rPr>
                <w:rFonts w:ascii="Courier New" w:hAnsi="Courier New" w:cs="Courier New"/>
              </w:rPr>
              <w:lastRenderedPageBreak/>
              <w:t xml:space="preserve">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r w:rsidRPr="00500D4A">
              <w:rPr>
                <w:rFonts w:ascii="Courier New" w:hAnsi="Courier New" w:cs="Courier New"/>
              </w:rPr>
              <w:lastRenderedPageBreak/>
              <w:t>levelHelp</w:t>
            </w:r>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(e.g. Non-Hodgkin lymphoma, Opiod Use Disorders, Falls) &lt;b&gt;AND&lt;/b&gt; includes all conditions in the Public Health Level. &lt;/li&gt;</w:t>
            </w:r>
          </w:p>
        </w:tc>
      </w:tr>
      <w:tr w:rsidR="00901B32" w14:paraId="3AA90249" w14:textId="77777777" w:rsidTr="008D52FA">
        <w:tc>
          <w:tcPr>
            <w:tcW w:w="2547" w:type="dxa"/>
            <w:shd w:val="clear" w:color="auto" w:fill="00B0F0"/>
          </w:tcPr>
          <w:p w14:paraId="0A440DF1" w14:textId="6317AEC1" w:rsidR="00901B32" w:rsidRPr="00024BCE" w:rsidRDefault="00901B32">
            <w:pPr>
              <w:rPr>
                <w:rFonts w:ascii="Courier New" w:hAnsi="Courier New" w:cs="Courier New"/>
              </w:rPr>
            </w:pPr>
            <w:r>
              <w:rPr>
                <w:rFonts w:ascii="Courier New" w:hAnsi="Courier New" w:cs="Courier New"/>
              </w:rPr>
              <w:t>levelShortHelp</w:t>
            </w:r>
          </w:p>
        </w:tc>
        <w:tc>
          <w:tcPr>
            <w:tcW w:w="6803" w:type="dxa"/>
            <w:shd w:val="clear" w:color="auto" w:fill="00B0F0"/>
          </w:tcPr>
          <w:p w14:paraId="33EF7F66" w14:textId="440FC731" w:rsidR="00901B32" w:rsidRPr="00500D4A" w:rsidRDefault="00901B32" w:rsidP="00901B32">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w:t>
            </w:r>
            <w:r>
              <w:rPr>
                <w:rFonts w:ascii="Courier New" w:hAnsi="Courier New" w:cs="Courier New"/>
              </w:rPr>
              <w:t>, in which we call “Broad Condition Groups”</w:t>
            </w:r>
            <w:r w:rsidRPr="00500D4A">
              <w:rPr>
                <w:rFonts w:ascii="Courier New" w:hAnsi="Courier New" w:cs="Courier New"/>
              </w:rPr>
              <w:t>.&lt;/li&gt;</w:t>
            </w:r>
          </w:p>
          <w:p w14:paraId="6FD788D3" w14:textId="00C1A93C" w:rsidR="00901B32" w:rsidRPr="00024BCE" w:rsidRDefault="00901B32" w:rsidP="00901B32">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r w:rsidRPr="00024BCE">
              <w:rPr>
                <w:rFonts w:ascii="Courier New" w:hAnsi="Courier New" w:cs="Courier New"/>
              </w:rPr>
              <w:t>dxGroupsHelp</w:t>
            </w:r>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&lt;b&gt;Major Diagnostic Categories (MDC)&lt;/b&gt; group principal diagnoses into 25 mutually exclusive </w:t>
            </w:r>
            <w:r w:rsidRPr="00024BCE">
              <w:rPr>
                <w:rFonts w:ascii="Courier New" w:hAnsi="Courier New" w:cs="Courier New"/>
              </w:rPr>
              <w:lastRenderedPageBreak/>
              <w:t>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r w:rsidRPr="002A2707">
              <w:rPr>
                <w:rFonts w:ascii="Courier New" w:hAnsi="Courier New" w:cs="Courier New"/>
              </w:rPr>
              <w:lastRenderedPageBreak/>
              <w:t>measureHelp</w:t>
            </w:r>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 xml:space="preserve">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w:t>
            </w:r>
            <w:r w:rsidRPr="002A2707">
              <w:rPr>
                <w:rFonts w:ascii="Courier New" w:hAnsi="Courier New" w:cs="Courier New"/>
              </w:rPr>
              <w:lastRenderedPageBreak/>
              <w:t>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&lt;br&gt;&lt;br&gt;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&lt;/b&gt; divides the YLL 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&lt;br&gt;&lt;br&gt;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r w:rsidRPr="007A0F63">
              <w:rPr>
                <w:rFonts w:ascii="Courier New" w:hAnsi="Courier New" w:cs="Courier New"/>
              </w:rPr>
              <w:lastRenderedPageBreak/>
              <w:t>causeHelp</w:t>
            </w:r>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341EA7">
              <w:rPr>
                <w:rFonts w:ascii="Courier New" w:hAnsi="Courier New" w:cs="Courier New"/>
              </w:rPr>
              <w:t>href="</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2E5A29">
              <w:rPr>
                <w:rFonts w:ascii="Courier New" w:hAnsi="Courier New" w:cs="Courier New"/>
              </w:rPr>
              <w:t xml:space="preserve">href=" </w:t>
            </w:r>
            <w:r w:rsidRPr="002E5A29">
              <w:rPr>
                <w:rFonts w:ascii="Courier New" w:hAnsi="Courier New" w:cs="Courier New"/>
              </w:rPr>
              <w:lastRenderedPageBreak/>
              <w:t>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&lt;br&gt;&lt;br&gt;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[For our partners in Local Health Departments and in other California Department of Health Programs, fully 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&lt;br&gt;&lt;br&gt;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78D058ED" w14:textId="75440C59" w:rsidR="00A9337B" w:rsidRPr="008B0DE4" w:rsidRDefault="00A9337B" w:rsidP="00A9337B">
            <w:pPr>
              <w:spacing w:after="0"/>
              <w:rPr>
                <w:rFonts w:ascii="Courier New" w:hAnsi="Courier New" w:cs="Courier New"/>
              </w:rPr>
            </w:pPr>
            <w:r w:rsidRPr="00336D03">
              <w:rPr>
                <w:rFonts w:ascii="Courier New" w:hAnsi="Courier New" w:cs="Courier New"/>
              </w:rPr>
              <w:lastRenderedPageBreak/>
              <w:t>Our full cause list hierarchy is available &lt;a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 xml:space="preserve"> href="</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The list of detailed ICD-10 codes as they map to all conditions can be found &lt;a target="_blank" rel="noopener noreferrer"  href="icd10_to_CAUSE.</w:t>
            </w:r>
            <w:r w:rsidR="006F0616">
              <w:rPr>
                <w:rFonts w:ascii="Courier New" w:hAnsi="Courier New" w:cs="Courier New"/>
              </w:rPr>
              <w:t>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r>
              <w:rPr>
                <w:rFonts w:ascii="Courier New" w:hAnsi="Courier New" w:cs="Courier New"/>
              </w:rPr>
              <w:t>c</w:t>
            </w:r>
            <w:r w:rsidRPr="002A2707">
              <w:rPr>
                <w:rFonts w:ascii="Courier New" w:hAnsi="Courier New" w:cs="Courier New"/>
              </w:rPr>
              <w:t>utpoints</w:t>
            </w:r>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r w:rsidR="00D266F1">
              <w:rPr>
                <w:rFonts w:ascii="Courier New" w:hAnsi="Courier New" w:cs="Courier New"/>
              </w:rPr>
              <w:t xml:space="preserve">cutpoints&lt;/b&gt;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&lt;br&gt;&lt;br&gt;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&lt;br&gt;&lt;br&gt;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r w:rsidRPr="002A2707">
              <w:rPr>
                <w:rFonts w:ascii="Courier New" w:hAnsi="Courier New" w:cs="Courier New"/>
              </w:rPr>
              <w:t>cutmethodHelp</w:t>
            </w:r>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w:t>
            </w:r>
            <w:r w:rsidRPr="002A2707">
              <w:rPr>
                <w:rFonts w:ascii="Courier New" w:hAnsi="Courier New" w:cs="Courier New"/>
              </w:rPr>
              <w:lastRenderedPageBreak/>
              <w:t>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r>
              <w:rPr>
                <w:rFonts w:ascii="Courier New" w:hAnsi="Courier New" w:cs="Courier New"/>
              </w:rPr>
              <w:lastRenderedPageBreak/>
              <w:t>axisScale</w:t>
            </w:r>
            <w:r w:rsidRPr="00500D4A">
              <w:rPr>
                <w:rFonts w:ascii="Courier New" w:hAnsi="Courier New" w:cs="Courier New"/>
              </w:rPr>
              <w:t>Help</w:t>
            </w:r>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&lt;br&gt;</w:t>
            </w:r>
            <w:r w:rsidR="00456D86">
              <w:rPr>
                <w:rFonts w:ascii="Courier New" w:hAnsi="Courier New" w:cs="Courier New"/>
              </w:rPr>
              <w:t>&lt;br&gt;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r w:rsidRPr="00CE671B">
              <w:rPr>
                <w:rFonts w:ascii="Courier New" w:hAnsi="Courier New" w:cs="Courier New"/>
              </w:rPr>
              <w:t>includeBirthsHelp</w:t>
            </w:r>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 xml:space="preserve">Births, of course, are not an adverse health outcome. One may or may not want to include them in the assessment of this data. In any case the </w:t>
            </w:r>
            <w:r w:rsidRPr="00CE671B">
              <w:rPr>
                <w:rFonts w:ascii="Courier New" w:hAnsi="Courier New" w:cs="Courier New"/>
              </w:rPr>
              <w:lastRenderedPageBreak/>
              <w:t>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r>
              <w:rPr>
                <w:rFonts w:ascii="Courier New" w:hAnsi="Courier New" w:cs="Courier New"/>
              </w:rPr>
              <w:lastRenderedPageBreak/>
              <w:t>disparityCompareHelp</w:t>
            </w:r>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&lt;br&gt;&lt;br&gt;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806E3D" w14:paraId="341B3458" w14:textId="77777777" w:rsidTr="008D52FA">
        <w:tc>
          <w:tcPr>
            <w:tcW w:w="2547" w:type="dxa"/>
            <w:shd w:val="clear" w:color="auto" w:fill="00B0F0"/>
          </w:tcPr>
          <w:p w14:paraId="533E29DF" w14:textId="0282C391" w:rsidR="00806E3D" w:rsidRDefault="00806E3D">
            <w:pPr>
              <w:rPr>
                <w:rFonts w:ascii="Courier New" w:hAnsi="Courier New" w:cs="Courier New"/>
              </w:rPr>
            </w:pPr>
            <w:r>
              <w:rPr>
                <w:rFonts w:ascii="Courier New" w:hAnsi="Courier New" w:cs="Courier New"/>
              </w:rPr>
              <w:t>broadGroupHelp</w:t>
            </w:r>
          </w:p>
        </w:tc>
        <w:tc>
          <w:tcPr>
            <w:tcW w:w="6803" w:type="dxa"/>
            <w:shd w:val="clear" w:color="auto" w:fill="00B0F0"/>
          </w:tcPr>
          <w:p w14:paraId="12D9443B" w14:textId="253606D5" w:rsidR="00806E3D" w:rsidRDefault="00806E3D">
            <w:pPr>
              <w:rPr>
                <w:rFonts w:ascii="Courier New" w:hAnsi="Courier New" w:cs="Courier New"/>
              </w:rPr>
            </w:pPr>
            <w:r w:rsidRPr="00806E3D">
              <w:rPr>
                <w:rFonts w:ascii="Courier New" w:hAnsi="Courier New" w:cs="Courier New"/>
              </w:rPr>
              <w:t xml:space="preserve">Different insights can be gained by either exploring leading causes of death within All groups, or within any of these specific Broad Condition groups (Communicable, Cancer, Cardiovascular, Other Chronic, Injury). Please refer to our </w:t>
            </w:r>
            <w:r w:rsidRPr="00336D03">
              <w:rPr>
                <w:rFonts w:ascii="Courier New" w:hAnsi="Courier New" w:cs="Courier New"/>
              </w:rPr>
              <w:t>&lt;a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href="</w:t>
            </w:r>
            <w:r w:rsidRPr="00AC6AC9">
              <w:rPr>
                <w:rFonts w:ascii="Courier New" w:hAnsi="Courier New" w:cs="Courier New"/>
              </w:rPr>
              <w:t>icd10_to_condition_IMAGE</w:t>
            </w:r>
            <w:r w:rsidRPr="00336D03">
              <w:rPr>
                <w:rFonts w:ascii="Courier New" w:hAnsi="Courier New" w:cs="Courier New"/>
              </w:rPr>
              <w:t>.pdf""&gt;</w:t>
            </w:r>
            <w:r>
              <w:rPr>
                <w:rFonts w:ascii="Courier New" w:hAnsi="Courier New" w:cs="Courier New"/>
              </w:rPr>
              <w:t>full cause list hierarchy</w:t>
            </w:r>
            <w:r w:rsidRPr="00336D03">
              <w:rPr>
                <w:rFonts w:ascii="Courier New" w:hAnsi="Courier New" w:cs="Courier New"/>
              </w:rPr>
              <w:t>&lt;/a&gt;</w:t>
            </w:r>
            <w:r>
              <w:rPr>
                <w:rFonts w:ascii="Courier New" w:hAnsi="Courier New" w:cs="Courier New"/>
              </w:rPr>
              <w:t xml:space="preserve"> </w:t>
            </w:r>
            <w:r w:rsidRPr="00806E3D">
              <w:rPr>
                <w:rFonts w:ascii="Courier New" w:hAnsi="Courier New" w:cs="Courier New"/>
              </w:rPr>
              <w:t>to see what Public Health level conditions these broad groups include.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r w:rsidRPr="00A9337B">
              <w:rPr>
                <w:rFonts w:ascii="Courier New" w:hAnsi="Courier New" w:cs="Courier New"/>
              </w:rPr>
              <w:t>mapTab</w:t>
            </w:r>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xml:space="preserve">, that </w:t>
            </w:r>
            <w:r>
              <w:rPr>
                <w:rFonts w:ascii="Courier New" w:hAnsi="Courier New" w:cs="Courier New"/>
              </w:rPr>
              <w:lastRenderedPageBreak/>
              <w:t>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State-based cutpoints</w:t>
            </w:r>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r w:rsidRPr="00A9337B">
              <w:rPr>
                <w:rFonts w:ascii="Courier New" w:hAnsi="Courier New" w:cs="Courier New"/>
              </w:rPr>
              <w:lastRenderedPageBreak/>
              <w:t>conditionTab</w:t>
            </w:r>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w:t>
            </w:r>
            <w:r w:rsidRPr="002A2707">
              <w:rPr>
                <w:rFonts w:ascii="Courier New" w:hAnsi="Courier New" w:cs="Courier New"/>
              </w:rPr>
              <w:lastRenderedPageBreak/>
              <w:t xml:space="preserve">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&lt;br&gt;&lt;br&gt;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&lt;br&gt;&lt;br&gt;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r w:rsidRPr="00A9337B">
              <w:rPr>
                <w:rFonts w:ascii="Courier New" w:hAnsi="Courier New" w:cs="Courier New"/>
              </w:rPr>
              <w:lastRenderedPageBreak/>
              <w:t>conditionTableTab</w:t>
            </w:r>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r w:rsidRPr="00A9337B">
              <w:rPr>
                <w:rFonts w:ascii="Courier New" w:hAnsi="Courier New" w:cs="Courier New"/>
              </w:rPr>
              <w:t>conditionSexTab</w:t>
            </w:r>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r w:rsidRPr="008D52FA">
              <w:rPr>
                <w:rFonts w:ascii="Courier New" w:hAnsi="Courier New" w:cs="Courier New"/>
              </w:rPr>
              <w:t>rankGeoTab</w:t>
            </w:r>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&lt;br&gt;&lt;br&gt;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 xml:space="preserve">Note that higher ranking counties or communities may not be meaningfully higher from a statistical perspective; examining the confidence intervals will help determine if there is a meaningful </w:t>
            </w:r>
            <w:r w:rsidRPr="002A2707">
              <w:rPr>
                <w:rFonts w:ascii="Courier New" w:hAnsi="Courier New" w:cs="Courier New"/>
              </w:rPr>
              <w:lastRenderedPageBreak/>
              <w:t>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r w:rsidRPr="008D52FA">
              <w:rPr>
                <w:rFonts w:ascii="Courier New" w:hAnsi="Courier New" w:cs="Courier New"/>
              </w:rPr>
              <w:lastRenderedPageBreak/>
              <w:t>trendTab</w:t>
            </w:r>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2F48C1" w14:paraId="754F82B3" w14:textId="77777777" w:rsidTr="000D5B60">
        <w:tc>
          <w:tcPr>
            <w:tcW w:w="2547" w:type="dxa"/>
            <w:shd w:val="clear" w:color="auto" w:fill="FFC000"/>
          </w:tcPr>
          <w:p w14:paraId="1EB70B8D" w14:textId="2FE603F0" w:rsidR="002F48C1" w:rsidRPr="008D52FA" w:rsidRDefault="002F48C1">
            <w:pPr>
              <w:rPr>
                <w:rFonts w:ascii="Courier New" w:hAnsi="Courier New" w:cs="Courier New"/>
              </w:rPr>
            </w:pPr>
            <w:r>
              <w:rPr>
                <w:rFonts w:ascii="Courier New" w:hAnsi="Courier New" w:cs="Courier New"/>
              </w:rPr>
              <w:t>topTrendsTab</w:t>
            </w:r>
          </w:p>
        </w:tc>
        <w:tc>
          <w:tcPr>
            <w:tcW w:w="6803" w:type="dxa"/>
            <w:shd w:val="clear" w:color="auto" w:fill="FFC000"/>
          </w:tcPr>
          <w:p w14:paraId="4B7F624E" w14:textId="045DFDC7" w:rsidR="002F48C1" w:rsidRDefault="002F48C1" w:rsidP="002F48C1">
            <w:pPr>
              <w:rPr>
                <w:rFonts w:ascii="Courier New" w:hAnsi="Courier New" w:cs="Courier New"/>
              </w:rPr>
            </w:pPr>
            <w:r w:rsidRPr="002F48C1">
              <w:rPr>
                <w:rFonts w:ascii="Courier New" w:hAnsi="Courier New" w:cs="Courier New"/>
              </w:rPr>
              <w:t>This tab displays trends of leading causes of death within either a selected county or the whole state. The </w:t>
            </w:r>
            <w:r>
              <w:rPr>
                <w:rFonts w:ascii="Courier New" w:hAnsi="Courier New" w:cs="Courier New"/>
              </w:rPr>
              <w:t>&lt;b&gt;</w:t>
            </w:r>
            <w:r w:rsidRPr="002F48C1">
              <w:rPr>
                <w:rFonts w:ascii="Courier New" w:hAnsi="Courier New" w:cs="Courier New"/>
              </w:rPr>
              <w:t>Levels to show</w:t>
            </w:r>
            <w:r>
              <w:rPr>
                <w:rFonts w:ascii="Courier New" w:hAnsi="Courier New" w:cs="Courier New"/>
              </w:rPr>
              <w:t>&lt;/b&gt;</w:t>
            </w:r>
            <w:r w:rsidRPr="002F48C1">
              <w:rPr>
                <w:rFonts w:ascii="Courier New" w:hAnsi="Courier New" w:cs="Courier New"/>
              </w:rPr>
              <w:t> button switches between displaying trends of “Top Level”, also known as Broad Group, conditions (e.g. Cardiovascular</w:t>
            </w:r>
            <w:r>
              <w:rPr>
                <w:rFonts w:ascii="Courier New" w:hAnsi="Courier New" w:cs="Courier New"/>
              </w:rPr>
              <w:t>,</w:t>
            </w:r>
            <w:r w:rsidRPr="002F48C1">
              <w:rPr>
                <w:rFonts w:ascii="Courier New" w:hAnsi="Courier New" w:cs="Courier New"/>
              </w:rPr>
              <w:t xml:space="preserve"> Communicable, etc), and trends of “Public Health Level” conditions. More information about these levels can be found by clicking on the help icon.</w:t>
            </w:r>
          </w:p>
          <w:p w14:paraId="24DD7D9B" w14:textId="754D448C" w:rsidR="002F48C1" w:rsidRPr="002F48C1" w:rsidRDefault="002F48C1" w:rsidP="002F48C1">
            <w:pPr>
              <w:rPr>
                <w:rFonts w:ascii="Courier New" w:hAnsi="Courier New" w:cs="Courier New"/>
              </w:rPr>
            </w:pPr>
            <w:r>
              <w:rPr>
                <w:rFonts w:ascii="Courier New" w:hAnsi="Courier New" w:cs="Courier New"/>
              </w:rPr>
              <w:t>&lt;br&gt;&lt;br&gt;</w:t>
            </w:r>
          </w:p>
          <w:p w14:paraId="095312F4" w14:textId="304BA53F" w:rsidR="002F48C1" w:rsidRDefault="002F48C1" w:rsidP="002F48C1">
            <w:pPr>
              <w:rPr>
                <w:rFonts w:ascii="Courier New" w:hAnsi="Courier New" w:cs="Courier New"/>
              </w:rPr>
            </w:pPr>
            <w:r w:rsidRPr="002F48C1">
              <w:rPr>
                <w:rFonts w:ascii="Courier New" w:hAnsi="Courier New" w:cs="Courier New"/>
              </w:rPr>
              <w:t>If “Public Health” is selected, more options are shown to configure the chart. The </w:t>
            </w:r>
            <w:r>
              <w:rPr>
                <w:rFonts w:ascii="Courier New" w:hAnsi="Courier New" w:cs="Courier New"/>
              </w:rPr>
              <w:t>&lt;b&gt;</w:t>
            </w:r>
            <w:r w:rsidRPr="002F48C1">
              <w:rPr>
                <w:rFonts w:ascii="Courier New" w:hAnsi="Courier New" w:cs="Courier New"/>
              </w:rPr>
              <w:t>Select one or more broad condition group</w:t>
            </w:r>
            <w:r>
              <w:rPr>
                <w:rFonts w:ascii="Courier New" w:hAnsi="Courier New" w:cs="Courier New"/>
              </w:rPr>
              <w:t>&lt;/b&gt;</w:t>
            </w:r>
            <w:r w:rsidRPr="002F48C1">
              <w:rPr>
                <w:rFonts w:ascii="Courier New" w:hAnsi="Courier New" w:cs="Courier New"/>
              </w:rPr>
              <w:t> option is a multi-selectable input that allows one to filter on leading causes within any broad condition group. Selecting more than one option will display multiple charts on the page.</w:t>
            </w:r>
          </w:p>
          <w:p w14:paraId="610F3B6D" w14:textId="7139D3F8" w:rsidR="002F48C1" w:rsidRPr="002F48C1" w:rsidRDefault="002F48C1" w:rsidP="002F48C1">
            <w:pPr>
              <w:rPr>
                <w:rFonts w:ascii="Courier New" w:hAnsi="Courier New" w:cs="Courier New"/>
              </w:rPr>
            </w:pPr>
            <w:r>
              <w:rPr>
                <w:rFonts w:ascii="Courier New" w:hAnsi="Courier New" w:cs="Courier New"/>
              </w:rPr>
              <w:t>&lt;br&gt;&lt;br&gt;</w:t>
            </w:r>
          </w:p>
          <w:p w14:paraId="5F7E32FC" w14:textId="2E89D163" w:rsidR="002F48C1" w:rsidRDefault="002F48C1" w:rsidP="002F48C1">
            <w:pPr>
              <w:rPr>
                <w:rFonts w:ascii="Courier New" w:hAnsi="Courier New" w:cs="Courier New"/>
              </w:rPr>
            </w:pPr>
            <w:r w:rsidRPr="002F48C1">
              <w:rPr>
                <w:rFonts w:ascii="Courier New" w:hAnsi="Courier New" w:cs="Courier New"/>
              </w:rPr>
              <w:t>The </w:t>
            </w:r>
            <w:r>
              <w:rPr>
                <w:rFonts w:ascii="Courier New" w:hAnsi="Courier New" w:cs="Courier New"/>
              </w:rPr>
              <w:t>&lt;b&gt;</w:t>
            </w:r>
            <w:r w:rsidRPr="002F48C1">
              <w:rPr>
                <w:rFonts w:ascii="Courier New" w:hAnsi="Courier New" w:cs="Courier New"/>
              </w:rPr>
              <w:t>How Many</w:t>
            </w:r>
            <w:r>
              <w:rPr>
                <w:rFonts w:ascii="Courier New" w:hAnsi="Courier New" w:cs="Courier New"/>
              </w:rPr>
              <w:t>&lt;/b&gt;</w:t>
            </w:r>
            <w:r w:rsidRPr="002F48C1">
              <w:rPr>
                <w:rFonts w:ascii="Courier New" w:hAnsi="Courier New" w:cs="Courier New"/>
              </w:rPr>
              <w:t> button determines how many leading causes of death to display.</w:t>
            </w:r>
          </w:p>
          <w:p w14:paraId="7832966F" w14:textId="1407A552" w:rsidR="002F48C1" w:rsidRPr="002F48C1" w:rsidRDefault="002F48C1" w:rsidP="002F48C1">
            <w:pPr>
              <w:rPr>
                <w:rFonts w:ascii="Courier New" w:hAnsi="Courier New" w:cs="Courier New"/>
              </w:rPr>
            </w:pPr>
            <w:r>
              <w:rPr>
                <w:rFonts w:ascii="Courier New" w:hAnsi="Courier New" w:cs="Courier New"/>
              </w:rPr>
              <w:t>&lt;br&gt;&lt;br&gt;</w:t>
            </w:r>
          </w:p>
          <w:p w14:paraId="6F42EB73" w14:textId="1B2DAE9B" w:rsidR="002F48C1" w:rsidRPr="002A2707" w:rsidRDefault="002F48C1">
            <w:pPr>
              <w:rPr>
                <w:rFonts w:ascii="Courier New" w:hAnsi="Courier New" w:cs="Courier New"/>
              </w:rPr>
            </w:pPr>
            <w:r w:rsidRPr="002F48C1">
              <w:rPr>
                <w:rFonts w:ascii="Courier New" w:hAnsi="Courier New" w:cs="Courier New"/>
              </w:rPr>
              <w:t>Different insights can be gained by displaying the leading causes by a specific death measure through the </w:t>
            </w:r>
            <w:r>
              <w:rPr>
                <w:rFonts w:ascii="Courier New" w:hAnsi="Courier New" w:cs="Courier New"/>
              </w:rPr>
              <w:t>&lt;b&gt;</w:t>
            </w:r>
            <w:r w:rsidRPr="002F48C1">
              <w:rPr>
                <w:rFonts w:ascii="Courier New" w:hAnsi="Courier New" w:cs="Courier New"/>
              </w:rPr>
              <w:t>Measure</w:t>
            </w:r>
            <w:r>
              <w:rPr>
                <w:rFonts w:ascii="Courier New" w:hAnsi="Courier New" w:cs="Courier New"/>
              </w:rPr>
              <w:t>&lt;/b&gt;</w:t>
            </w:r>
            <w:r w:rsidRPr="002F48C1">
              <w:rPr>
                <w:rFonts w:ascii="Courier New" w:hAnsi="Courier New" w:cs="Courier New"/>
              </w:rPr>
              <w:t> dropdown, and displaying leading causes within a given year through the </w:t>
            </w:r>
            <w:r>
              <w:rPr>
                <w:rFonts w:ascii="Courier New" w:hAnsi="Courier New" w:cs="Courier New"/>
              </w:rPr>
              <w:t>&lt;b&gt;</w:t>
            </w:r>
            <w:r w:rsidRPr="002F48C1">
              <w:rPr>
                <w:rFonts w:ascii="Courier New" w:hAnsi="Courier New" w:cs="Courier New"/>
              </w:rPr>
              <w:t>Leading causes in which year</w:t>
            </w:r>
            <w:r>
              <w:rPr>
                <w:rFonts w:ascii="Courier New" w:hAnsi="Courier New" w:cs="Courier New"/>
              </w:rPr>
              <w:t>&lt;/b&gt;</w:t>
            </w:r>
            <w:r w:rsidRPr="002F48C1">
              <w:rPr>
                <w:rFonts w:ascii="Courier New" w:hAnsi="Courier New" w:cs="Courier New"/>
              </w:rPr>
              <w:t xml:space="preserve"> slider. Additionally, the time period </w:t>
            </w:r>
            <w:r w:rsidRPr="002F48C1">
              <w:rPr>
                <w:rFonts w:ascii="Courier New" w:hAnsi="Courier New" w:cs="Courier New"/>
              </w:rPr>
              <w:lastRenderedPageBreak/>
              <w:t>displayed can be adjusted through the </w:t>
            </w:r>
            <w:r>
              <w:rPr>
                <w:rFonts w:ascii="Courier New" w:hAnsi="Courier New" w:cs="Courier New"/>
              </w:rPr>
              <w:t>&lt;b&gt;</w:t>
            </w:r>
            <w:r w:rsidRPr="002F48C1">
              <w:rPr>
                <w:rFonts w:ascii="Courier New" w:hAnsi="Courier New" w:cs="Courier New"/>
              </w:rPr>
              <w:t>Year range to display</w:t>
            </w:r>
            <w:r>
              <w:rPr>
                <w:rFonts w:ascii="Courier New" w:hAnsi="Courier New" w:cs="Courier New"/>
              </w:rPr>
              <w:t>&lt;/b&gt;</w:t>
            </w:r>
            <w:r w:rsidRPr="002F48C1">
              <w:rPr>
                <w:rFonts w:ascii="Courier New" w:hAnsi="Courier New" w:cs="Courier New"/>
              </w:rPr>
              <w:t> slider.</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r w:rsidRPr="008D52FA">
              <w:rPr>
                <w:rFonts w:ascii="Courier New" w:hAnsi="Courier New" w:cs="Courier New"/>
              </w:rPr>
              <w:lastRenderedPageBreak/>
              <w:t>sdohTab</w:t>
            </w:r>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r w:rsidRPr="008D52FA">
              <w:rPr>
                <w:rFonts w:ascii="Courier New" w:hAnsi="Courier New" w:cs="Courier New"/>
              </w:rPr>
              <w:t>lifeExpectancyTab</w:t>
            </w:r>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 xml:space="preserve">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w:t>
            </w:r>
            <w:r w:rsidRPr="001D5B86">
              <w:rPr>
                <w:rFonts w:ascii="Courier New" w:hAnsi="Courier New" w:cs="Courier New"/>
              </w:rPr>
              <w:lastRenderedPageBreak/>
              <w:t>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Note that Life Expectancy estimates for the multi-race category are unreliable due to dx (deaths) and nx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r w:rsidRPr="008D52FA">
              <w:rPr>
                <w:rFonts w:ascii="Courier New" w:hAnsi="Courier New" w:cs="Courier New"/>
              </w:rPr>
              <w:lastRenderedPageBreak/>
              <w:t>ihmeTab</w:t>
            </w:r>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lastRenderedPageBreak/>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lastRenderedPageBreak/>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r w:rsidRPr="008D52FA">
              <w:rPr>
                <w:rFonts w:ascii="Courier New" w:hAnsi="Courier New" w:cs="Courier New"/>
              </w:rPr>
              <w:lastRenderedPageBreak/>
              <w:t>hospA</w:t>
            </w:r>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&lt;br&gt;&lt;br&gt;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r w:rsidRPr="008D52FA">
              <w:rPr>
                <w:rFonts w:ascii="Courier New" w:hAnsi="Courier New" w:cs="Courier New"/>
              </w:rPr>
              <w:t>hospB</w:t>
            </w:r>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xml:space="preserve">), and includes rankings based on the number of &lt;b&gt;hospitalizations&lt;/b&gt;, the average &lt;b&gt;length of stay&lt;/b&gt;, and associated &lt;b&gt;total charges&lt;/b&gt; and &lt;b&gt;median charges&lt;/b&gt;.  This chart is particularly valuable for comparing the different </w:t>
            </w:r>
            <w:r w:rsidRPr="00354FA1">
              <w:rPr>
                <w:rFonts w:ascii="Courier New" w:hAnsi="Courier New" w:cs="Courier New"/>
              </w:rPr>
              <w:lastRenderedPageBreak/>
              <w:t>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r w:rsidRPr="008D52FA">
              <w:rPr>
                <w:rFonts w:ascii="Courier New" w:hAnsi="Courier New" w:cs="Courier New"/>
              </w:rPr>
              <w:lastRenderedPageBreak/>
              <w:t>hospC</w:t>
            </w:r>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r w:rsidRPr="008D52FA">
              <w:rPr>
                <w:rFonts w:ascii="Courier New" w:hAnsi="Courier New" w:cs="Courier New"/>
              </w:rPr>
              <w:t>disparitiesTab</w:t>
            </w:r>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lastRenderedPageBreak/>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&lt;br&gt;&lt;br&gt;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&lt;br&gt;&lt;br&gt;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r w:rsidRPr="008D52FA">
              <w:rPr>
                <w:rFonts w:ascii="Courier New" w:hAnsi="Courier New" w:cs="Courier New"/>
              </w:rPr>
              <w:lastRenderedPageBreak/>
              <w:t>ageRaceFocusTab</w:t>
            </w:r>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&lt;br&gt;&lt;br&gt;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r>
              <w:rPr>
                <w:rFonts w:ascii="Courier New" w:hAnsi="Courier New" w:cs="Courier New"/>
              </w:rPr>
              <w:lastRenderedPageBreak/>
              <w:t>deathHospED</w:t>
            </w:r>
            <w:r w:rsidRPr="002524B0">
              <w:rPr>
                <w:rFonts w:ascii="Courier New" w:hAnsi="Courier New" w:cs="Courier New"/>
              </w:rPr>
              <w:t>Tab</w:t>
            </w:r>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r>
              <w:rPr>
                <w:rFonts w:ascii="Courier New" w:hAnsi="Courier New" w:cs="Courier New"/>
              </w:rPr>
              <w:t>demographicsTab</w:t>
            </w:r>
          </w:p>
        </w:tc>
        <w:tc>
          <w:tcPr>
            <w:tcW w:w="6803" w:type="dxa"/>
            <w:shd w:val="clear" w:color="auto" w:fill="FFC000"/>
          </w:tcPr>
          <w:p w14:paraId="09C9BA68" w14:textId="05F5355F" w:rsidR="006E325A" w:rsidRDefault="006E325A" w:rsidP="006E325A">
            <w:r>
              <w:t>This tab displays the</w:t>
            </w:r>
            <w:r w:rsidRPr="009E20BC">
              <w:t xml:space="preserve"> </w:t>
            </w:r>
            <w:r>
              <w:t>population composition of California or a selected county for race/ethnicity, age, sex, and for trends in these demographic characteristics over time. All charts on this tab are interactive, and hovering over any location will show corresponding numbers and percentages.</w:t>
            </w:r>
          </w:p>
          <w:p w14:paraId="2B0D2A9F" w14:textId="36C8BEB9" w:rsidR="006E325A" w:rsidRDefault="006E325A" w:rsidP="006E325A">
            <w:r>
              <w:t>&lt;br&gt;&lt;br&gt;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&lt;br&gt;&lt;br&gt;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&lt;br&gt;&lt;br&gt;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&lt;br&gt;&lt;br&gt;</w:t>
            </w:r>
          </w:p>
          <w:p w14:paraId="4DA03B2F" w14:textId="209EA5BC" w:rsidR="006E325A" w:rsidRPr="006E325A" w:rsidRDefault="006E325A">
            <w:r>
              <w:lastRenderedPageBreak/>
              <w:t>Population Trend (Bottom Right) shows trends from 2000-2020 for the total population, or grouped by selected demographic (sex, race/ethnicity, age group).</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5B60"/>
    <w:rsid w:val="001A7C6B"/>
    <w:rsid w:val="001D5B86"/>
    <w:rsid w:val="002939D0"/>
    <w:rsid w:val="002F48C1"/>
    <w:rsid w:val="00422062"/>
    <w:rsid w:val="00426E26"/>
    <w:rsid w:val="00456D86"/>
    <w:rsid w:val="00576E8F"/>
    <w:rsid w:val="00643855"/>
    <w:rsid w:val="006C7AE5"/>
    <w:rsid w:val="006E325A"/>
    <w:rsid w:val="006F0616"/>
    <w:rsid w:val="0075316A"/>
    <w:rsid w:val="007874FB"/>
    <w:rsid w:val="00806E3D"/>
    <w:rsid w:val="008D52FA"/>
    <w:rsid w:val="00901B32"/>
    <w:rsid w:val="00A27BEE"/>
    <w:rsid w:val="00A9337B"/>
    <w:rsid w:val="00CB4042"/>
    <w:rsid w:val="00D266F1"/>
    <w:rsid w:val="00DA19A6"/>
    <w:rsid w:val="00E7489E"/>
    <w:rsid w:val="00E90697"/>
    <w:rsid w:val="00FB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6285">
      <w:bodyDiv w:val="1"/>
      <w:marLeft w:val="0"/>
      <w:marRight w:val="0"/>
      <w:marTop w:val="0"/>
      <w:marBottom w:val="0"/>
      <w:divBdr>
        <w:top w:val="none" w:sz="0" w:space="0" w:color="auto"/>
        <w:left w:val="none" w:sz="0" w:space="0" w:color="auto"/>
        <w:bottom w:val="none" w:sz="0" w:space="0" w:color="auto"/>
        <w:right w:val="none" w:sz="0" w:space="0" w:color="auto"/>
      </w:divBdr>
    </w:div>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481996122">
      <w:bodyDiv w:val="1"/>
      <w:marLeft w:val="0"/>
      <w:marRight w:val="0"/>
      <w:marTop w:val="0"/>
      <w:marBottom w:val="0"/>
      <w:divBdr>
        <w:top w:val="none" w:sz="0" w:space="0" w:color="auto"/>
        <w:left w:val="none" w:sz="0" w:space="0" w:color="auto"/>
        <w:bottom w:val="none" w:sz="0" w:space="0" w:color="auto"/>
        <w:right w:val="none" w:sz="0" w:space="0" w:color="auto"/>
      </w:divBdr>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20</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22</cp:revision>
  <dcterms:created xsi:type="dcterms:W3CDTF">2021-03-23T18:51:00Z</dcterms:created>
  <dcterms:modified xsi:type="dcterms:W3CDTF">2022-08-19T06:10:00Z</dcterms:modified>
</cp:coreProperties>
</file>