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href="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lastRenderedPageBreak/>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lastRenderedPageBreak/>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w:t>
            </w:r>
            <w:r w:rsidRPr="00ED4639">
              <w:rPr>
                <w:rFonts w:ascii="Courier New" w:hAnsi="Courier New" w:cs="Courier New"/>
              </w:rPr>
              <w:lastRenderedPageBreak/>
              <w:t>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lastRenderedPageBreak/>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xml:space="preserve">; ranking on 'mean age at death' shows the </w:t>
            </w:r>
            <w:r w:rsidRPr="002A2707">
              <w:rPr>
                <w:rFonts w:ascii="Courier New" w:hAnsi="Courier New" w:cs="Courier New"/>
              </w:rPr>
              <w:lastRenderedPageBreak/>
              <w:t>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lastRenderedPageBreak/>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w:t>
            </w:r>
            <w:r w:rsidRPr="002A2707">
              <w:rPr>
                <w:rFonts w:ascii="Courier New" w:hAnsi="Courier New" w:cs="Courier New"/>
              </w:rPr>
              <w:lastRenderedPageBreak/>
              <w:t>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Note that Life Expectancy estimates for the multi-race category are unreliable due to dx (deaths) and nx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lastRenderedPageBreak/>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lastRenderedPageBreak/>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rates based on fewer than 20 deaths are excluded, </w:t>
            </w:r>
            <w:r w:rsidRPr="00ED4639">
              <w:rPr>
                <w:rFonts w:ascii="Courier New" w:hAnsi="Courier New" w:cs="Courier New"/>
              </w:rPr>
              <w:lastRenderedPageBreak/>
              <w:t>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lastRenderedPageBreak/>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422062"/>
    <w:rsid w:val="00426E26"/>
    <w:rsid w:val="00456D86"/>
    <w:rsid w:val="00576E8F"/>
    <w:rsid w:val="00643855"/>
    <w:rsid w:val="006E325A"/>
    <w:rsid w:val="0075316A"/>
    <w:rsid w:val="007874FB"/>
    <w:rsid w:val="008D52FA"/>
    <w:rsid w:val="00A27BEE"/>
    <w:rsid w:val="00A9337B"/>
    <w:rsid w:val="00CB4042"/>
    <w:rsid w:val="00D266F1"/>
    <w:rsid w:val="00DA19A6"/>
    <w:rsid w:val="00E7489E"/>
    <w:rsid w:val="00E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18</Pages>
  <Words>4672</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16</cp:revision>
  <dcterms:created xsi:type="dcterms:W3CDTF">2021-03-23T18:51:00Z</dcterms:created>
  <dcterms:modified xsi:type="dcterms:W3CDTF">2021-03-30T19:29:00Z</dcterms:modified>
</cp:coreProperties>
</file>