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homepage&lt;br/&gt;</w:t>
            </w:r>
          </w:p>
          <w:p w14:paraId="44DBA688" w14:textId="7368A455" w:rsidR="00147EAD" w:rsidRDefault="00C22E9A" w:rsidP="00147EAD">
            <w:r>
              <w:t>“Alcohol-use disorders” moved from “Other Chronic” group to “Injury” group, and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tab.&lt;br/&gt;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lastRenderedPageBreak/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F2B04"/>
    <w:rsid w:val="0014354C"/>
    <w:rsid w:val="00147EAD"/>
    <w:rsid w:val="001B0F20"/>
    <w:rsid w:val="002B637F"/>
    <w:rsid w:val="002F7588"/>
    <w:rsid w:val="00377286"/>
    <w:rsid w:val="00393A52"/>
    <w:rsid w:val="004A396D"/>
    <w:rsid w:val="004E7B6E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B41B6A"/>
    <w:rsid w:val="00C22E9A"/>
    <w:rsid w:val="00C2607E"/>
    <w:rsid w:val="00D23953"/>
    <w:rsid w:val="00ED5483"/>
    <w:rsid w:val="00F369C2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21</cp:revision>
  <dcterms:created xsi:type="dcterms:W3CDTF">2021-02-11T01:09:00Z</dcterms:created>
  <dcterms:modified xsi:type="dcterms:W3CDTF">2022-03-30T16:31:00Z</dcterms:modified>
</cp:coreProperties>
</file>