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B38D565" w:rsidR="00A41A9C" w:rsidRDefault="00A41A9C">
            <w:r>
              <w:t>2019-2021 State of Public Health Reports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F2B04"/>
    <w:rsid w:val="0014354C"/>
    <w:rsid w:val="001B0F20"/>
    <w:rsid w:val="002B637F"/>
    <w:rsid w:val="00377286"/>
    <w:rsid w:val="004A396D"/>
    <w:rsid w:val="007977D5"/>
    <w:rsid w:val="007E660A"/>
    <w:rsid w:val="008F23E5"/>
    <w:rsid w:val="00977988"/>
    <w:rsid w:val="00A41A9C"/>
    <w:rsid w:val="00A74BB5"/>
    <w:rsid w:val="00A8799F"/>
    <w:rsid w:val="00B41B6A"/>
    <w:rsid w:val="00C2607E"/>
    <w:rsid w:val="00D23953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Samuel, Michael@CDPH</cp:lastModifiedBy>
  <cp:revision>14</cp:revision>
  <dcterms:created xsi:type="dcterms:W3CDTF">2021-02-11T01:09:00Z</dcterms:created>
  <dcterms:modified xsi:type="dcterms:W3CDTF">2021-10-31T21:22:00Z</dcterms:modified>
</cp:coreProperties>
</file>