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r>
              <w:rPr>
                <w:rFonts w:ascii="Courier New" w:hAnsi="Courier New" w:cs="Courier New"/>
              </w:rPr>
              <w:t>levelShortHelp</w:t>
            </w:r>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lastRenderedPageBreak/>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 xml:space="preserve">Age-adjusted Death Rate&lt;/b&gt; is the rate that would have existed if the population had the same age distribution as a reference population. This allows for comparisons between populations with </w:t>
            </w:r>
            <w:r w:rsidRPr="002A2707">
              <w:rPr>
                <w:rFonts w:ascii="Courier New" w:hAnsi="Courier New" w:cs="Courier New"/>
              </w:rPr>
              <w:lastRenderedPageBreak/>
              <w:t>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href="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xml:space="preserve">. These modifications are </w:t>
            </w:r>
            <w:r>
              <w:rPr>
                <w:rFonts w:ascii="Courier New" w:hAnsi="Courier New" w:cs="Courier New"/>
              </w:rPr>
              <w:lastRenderedPageBreak/>
              <w:t>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w:t>
            </w:r>
            <w:r w:rsidR="006F0616" w:rsidRPr="006F0616">
              <w:rPr>
                <w:rFonts w:ascii="Courier New" w:hAnsi="Courier New" w:cs="Courier New"/>
              </w:rPr>
              <w:lastRenderedPageBreak/>
              <w:t>they map to all conditions can be found &lt;a target="_blank" rel="noopener noreferrer"  href="icd10_to_CAUSE.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lastRenderedPageBreak/>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lastRenderedPageBreak/>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w:t>
            </w:r>
            <w:r w:rsidRPr="00ED4639">
              <w:rPr>
                <w:rFonts w:ascii="Courier New" w:hAnsi="Courier New" w:cs="Courier New"/>
              </w:rPr>
              <w:lastRenderedPageBreak/>
              <w:t>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r>
              <w:rPr>
                <w:rFonts w:ascii="Courier New" w:hAnsi="Courier New" w:cs="Courier New"/>
              </w:rPr>
              <w:lastRenderedPageBreak/>
              <w:t>broadGroupHelp</w:t>
            </w:r>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href="</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lastRenderedPageBreak/>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lastRenderedPageBreak/>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w:t>
            </w:r>
            <w:r w:rsidRPr="002A2707">
              <w:rPr>
                <w:rFonts w:ascii="Courier New" w:hAnsi="Courier New" w:cs="Courier New"/>
              </w:rPr>
              <w:lastRenderedPageBreak/>
              <w:t xml:space="preserve">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w:t>
            </w:r>
            <w:r w:rsidRPr="005A149E">
              <w:rPr>
                <w:rFonts w:ascii="Courier New" w:hAnsi="Courier New" w:cs="Courier New"/>
              </w:rPr>
              <w:lastRenderedPageBreak/>
              <w:t>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lastRenderedPageBreak/>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r>
              <w:rPr>
                <w:rFonts w:ascii="Courier New" w:hAnsi="Courier New" w:cs="Courier New"/>
              </w:rPr>
              <w:t>topTrendsTab</w:t>
            </w:r>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etc),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&lt;br&gt;&lt;br&gt;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&lt;br&gt;&lt;br&gt;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&lt;br&gt;&lt;br&gt;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slider. Additionally, the time period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lastRenderedPageBreak/>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lastRenderedPageBreak/>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Note that Life Expectancy estimates for the multi-race category are unreliable due to dx (deaths) and nx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lastRenderedPageBreak/>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xml:space="preserve">),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w:t>
            </w:r>
            <w:r w:rsidRPr="00354FA1">
              <w:rPr>
                <w:rFonts w:ascii="Courier New" w:hAnsi="Courier New" w:cs="Courier New"/>
              </w:rPr>
              <w:lastRenderedPageBreak/>
              <w:t>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lastRenderedPageBreak/>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lastRenderedPageBreak/>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 xml:space="preserve">This tab displays a snapshot of cause-of-death, hospitalization, or emergency department visit rankings side-by-side for either a selected county or the whole state. The Grouping Variable tool allows users to view the data either by Age </w:t>
            </w:r>
            <w:r w:rsidRPr="002524B0">
              <w:rPr>
                <w:rFonts w:ascii="Courier New" w:hAnsi="Courier New" w:cs="Courier New"/>
              </w:rPr>
              <w:lastRenderedPageBreak/>
              <w:t>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lastRenderedPageBreak/>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266F1"/>
    <w:rsid w:val="00DA19A6"/>
    <w:rsid w:val="00E7489E"/>
    <w:rsid w:val="00E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19</Pages>
  <Words>4991</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21</cp:revision>
  <dcterms:created xsi:type="dcterms:W3CDTF">2021-03-23T18:51:00Z</dcterms:created>
  <dcterms:modified xsi:type="dcterms:W3CDTF">2022-03-30T17:57:00Z</dcterms:modified>
</cp:coreProperties>
</file>