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rPr>
          <w:shd w:val="clear"/>
        </w:rPr>
      </w:pPr>
      <w:r>
        <w:rPr>
          <w:shd w:val="clear"/>
        </w:rPr>
        <w:t xml:space="preserve">ILC3_0c_guard-phase IPCore v0.1 – RTL Architecture &amp; Link Spec (Draft)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1. Overview</w:t>
      </w:r>
    </w:p>
    <w:p>
      <w:pPr>
        <w:rPr>
          <w:shd w:val="clear"/>
        </w:rPr>
      </w:pPr>
      <w:r>
        <w:rPr>
          <w:b w:val="1"/>
          <w:shd w:val="clear"/>
        </w:rPr>
        <w:t xml:space="preserve">Purpose. </w:t>
      </w:r>
      <w:r>
        <w:rPr>
          <w:shd w:val="clear"/>
        </w:rPr>
        <w:t xml:space="preserve">This document describes the first RTL implementation of the ILC3_0c_guard-</w:t>
      </w:r>
      <w:r>
        <w:rPr>
          <w:shd w:val="clear"/>
        </w:rPr>
        <w:t xml:space="preserve">phase (ILC3_0c_gp) IPCore. The core is designed as a drop-in alternative to PAM4-based </w:t>
      </w:r>
      <w:r>
        <w:rPr>
          <w:shd w:val="clear"/>
        </w:rPr>
        <w:t xml:space="preserve">PHYs, providing approximately 3 dB SNR gain over PAM4 at the same pre-/post-FEC BER, </w:t>
      </w:r>
      <w:r>
        <w:rPr>
          <w:shd w:val="clear"/>
        </w:rPr>
        <w:t xml:space="preserve">based on system-level simulations (Q10–Q20).</w:t>
      </w:r>
    </w:p>
    <w:p>
      <w:pPr>
        <w:rPr>
          <w:shd w:val="clear"/>
        </w:rPr>
      </w:pPr>
      <w:r>
        <w:rPr>
          <w:b w:val="1"/>
          <w:shd w:val="clear"/>
        </w:rPr>
        <w:t xml:space="preserve">Scope. </w:t>
      </w:r>
      <w:r>
        <w:rPr>
          <w:shd w:val="clear"/>
        </w:rPr>
        <w:t xml:space="preserve">The current v0.1 focuses on a clean loopback-capable RTL, with a simple channel </w:t>
      </w:r>
      <w:r>
        <w:rPr>
          <w:shd w:val="clear"/>
        </w:rPr>
        <w:t xml:space="preserve">model and noise injection, suitable for IP hand-off, verification environments, and future </w:t>
      </w:r>
      <w:r>
        <w:rPr>
          <w:shd w:val="clear"/>
        </w:rPr>
        <w:t xml:space="preserve">FPGA/ESP prototypes.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2. Top-Level Block and Dataflow</w:t>
      </w:r>
    </w:p>
    <w:p>
      <w:pPr>
        <w:rPr>
          <w:shd w:val="clear"/>
        </w:rPr>
      </w:pPr>
      <w:r>
        <w:rPr>
          <w:shd w:val="clear"/>
        </w:rPr>
        <w:t xml:space="preserve">The IPCore is organized around a single top-level module:</w:t>
      </w:r>
      <w:r>
        <w:rPr>
          <w:shd w:val="clear"/>
        </w:rPr>
        <w:br/>
      </w:r>
      <w:r>
        <w:rPr>
          <w:shd w:val="clear"/>
        </w:rPr>
        <w:t xml:space="preserve">    ilc3_ipcore_top</w:t>
      </w:r>
      <w:r>
        <w:rPr>
          <w:shd w:val="clear"/>
        </w:rPr>
        <w:br/>
      </w:r>
      <w:r>
        <w:rPr>
          <w:shd w:val="clear"/>
        </w:rPr>
        <w:t xml:space="preserve">which connects an upper-layer symbol interface to a low-level amplitude (PHY) interface. </w:t>
      </w:r>
      <w:r>
        <w:rPr>
          <w:shd w:val="clear"/>
        </w:rPr>
        <w:t xml:space="preserve">The typical integration is:</w:t>
      </w:r>
      <w:r>
        <w:rPr>
          <w:shd w:val="clear"/>
        </w:rPr>
        <w:br/>
      </w:r>
      <w:r>
        <w:rPr>
          <w:shd w:val="clear"/>
        </w:rPr>
        <w:t xml:space="preserve">    [Link Layer / FEC] ⇄ [ILC3_IPCore] ⇄ [AFE / DAC / Channel / ADC]</w:t>
      </w:r>
    </w:p>
    <w:p>
      <w:pPr>
        <w:rPr>
          <w:shd w:val="clear"/>
        </w:rPr>
      </w:pPr>
      <w:r>
        <w:rPr>
          <w:shd w:val="clear"/>
        </w:rPr>
        <w:t xml:space="preserve">Main blocks inside ilc3_ipcore_top: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TX path: maps 2‑bit symbols (0,1,2,3) to ILC3_0c_gp amplitude levels and drives the </w:t>
      </w:r>
      <w:r>
        <w:rPr>
          <w:shd w:val="clear"/>
        </w:rPr>
        <w:t xml:space="preserve">serialized AMP bus.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RX path: receives quantized amplitudes from the channel/AFE, performs ILC3_0c_gp </w:t>
      </w:r>
      <w:r>
        <w:rPr>
          <w:shd w:val="clear"/>
        </w:rPr>
        <w:t xml:space="preserve">decision, and reconstructs 2‑bit symbols.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Handshake logic: simple valid/ready handshake on both symbol and amplitude </w:t>
      </w:r>
      <w:r>
        <w:rPr>
          <w:shd w:val="clear"/>
        </w:rPr>
        <w:t>interfaces.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Optional training/loopback hooks: support for deterministic patterns and internal </w:t>
      </w:r>
      <w:r>
        <w:rPr>
          <w:shd w:val="clear"/>
        </w:rPr>
        <w:t xml:space="preserve">loopback in the testbench.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3. External Interfaces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3.1 Symbol-side User Interface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Signal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Dir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Width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Description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tx_sym_in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Input symbol from </w:t>
            </w:r>
            <w:r>
              <w:rPr>
                <w:shd w:val="clear"/>
              </w:rPr>
              <w:t xml:space="preserve">upper layer </w:t>
            </w:r>
            <w:r>
              <w:rPr>
                <w:shd w:val="clear"/>
              </w:rPr>
              <w:t>(00,01,10,11).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tx_sym_valid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Asserted by upper </w:t>
            </w:r>
            <w:r>
              <w:rPr>
                <w:shd w:val="clear"/>
              </w:rPr>
              <w:t xml:space="preserve">layer when </w:t>
            </w:r>
            <w:r>
              <w:rPr>
                <w:shd w:val="clear"/>
              </w:rPr>
              <w:t xml:space="preserve">tx_sym_in is valid.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tx_sym_ready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Asserted by IPCore </w:t>
            </w:r>
            <w:r>
              <w:rPr>
                <w:shd w:val="clear"/>
              </w:rPr>
              <w:t xml:space="preserve">when it can accept a </w:t>
            </w:r>
            <w:r>
              <w:rPr>
                <w:shd w:val="clear"/>
              </w:rPr>
              <w:t xml:space="preserve">new tx_sym_in.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rx_sym_out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Decoded symbol </w:t>
            </w:r>
            <w:r>
              <w:rPr>
                <w:shd w:val="clear"/>
              </w:rPr>
              <w:t xml:space="preserve">delivered to upper </w:t>
            </w:r>
            <w:r>
              <w:rPr>
                <w:shd w:val="clear"/>
              </w:rPr>
              <w:t>layer.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rx_sym_valid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Asserted when </w:t>
            </w:r>
            <w:r>
              <w:rPr>
                <w:shd w:val="clear"/>
              </w:rPr>
              <w:t xml:space="preserve">rx_sym_out is valid.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rx_sym_ready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Upper layer is ready </w:t>
            </w:r>
            <w:r>
              <w:rPr>
                <w:shd w:val="clear"/>
              </w:rPr>
              <w:t xml:space="preserve">to consume </w:t>
            </w:r>
            <w:r>
              <w:rPr>
                <w:shd w:val="clear"/>
              </w:rPr>
              <w:t xml:space="preserve">rx_sym_out (usually </w:t>
            </w:r>
            <w:r>
              <w:rPr>
                <w:shd w:val="clear"/>
              </w:rPr>
              <w:t xml:space="preserve">tied high).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 xml:space="preserve">Handshake rule: a symbol transfer occurs on a rising clock edge when valid=1 and ready=1. </w:t>
      </w:r>
      <w:r>
        <w:rPr>
          <w:shd w:val="clear"/>
        </w:rPr>
        <w:t xml:space="preserve">The testbench uses a simple 0,1,2,3,0,1,2,3,… pattern to stress the datapath.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3.2 PHY Amplitude Interface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Signal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Dir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Width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Description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tx_amp_out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AMP_WIDTH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Signed fixed-point </w:t>
            </w:r>
            <w:r>
              <w:rPr>
                <w:shd w:val="clear"/>
              </w:rPr>
              <w:t xml:space="preserve">amplitude toward </w:t>
            </w:r>
            <w:r>
              <w:rPr>
                <w:shd w:val="clear"/>
              </w:rPr>
              <w:t xml:space="preserve">the DAC / channel.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tx_amp_valid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Asserted when </w:t>
            </w:r>
            <w:r>
              <w:rPr>
                <w:shd w:val="clear"/>
              </w:rPr>
              <w:t xml:space="preserve">tx_amp_out is valid.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tx_amp_ready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Downstream </w:t>
            </w:r>
            <w:r>
              <w:rPr>
                <w:shd w:val="clear"/>
              </w:rPr>
              <w:t xml:space="preserve">(channel/AFE) </w:t>
            </w:r>
            <w:r>
              <w:rPr>
                <w:shd w:val="clear"/>
              </w:rPr>
              <w:t xml:space="preserve">ready to accept </w:t>
            </w:r>
            <w:r>
              <w:rPr>
                <w:shd w:val="clear"/>
              </w:rPr>
              <w:t xml:space="preserve">amplitude sample.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rx_amp_in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AMP_WIDTH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Signed fixed-point </w:t>
            </w:r>
            <w:r>
              <w:rPr>
                <w:shd w:val="clear"/>
              </w:rPr>
              <w:t xml:space="preserve">amplitude from the </w:t>
            </w:r>
            <w:r>
              <w:rPr>
                <w:shd w:val="clear"/>
              </w:rPr>
              <w:t xml:space="preserve">channel / ADC.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rx_amp_valid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Asserted when </w:t>
            </w:r>
            <w:r>
              <w:rPr>
                <w:shd w:val="clear"/>
              </w:rPr>
              <w:t xml:space="preserve">rx_amp_in is valid.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rx_amp_ready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IPCore ready to </w:t>
            </w:r>
            <w:r>
              <w:rPr>
                <w:shd w:val="clear"/>
              </w:rPr>
              <w:t xml:space="preserve">accept rx_amp_in.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 xml:space="preserve">AMP_WIDTH is currently 4 bits in the reference RTL, with nominal decision levels chosen to </w:t>
      </w:r>
      <w:r>
        <w:rPr>
          <w:shd w:val="clear"/>
        </w:rPr>
        <w:t xml:space="preserve">match the Python ILC3_0c_gp simulations (e.g., ±1, ±3 LSB mapping).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4. Internal Architecture (TX/RX Cores)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4.1 TX Core – ilc3_tx_core</w:t>
      </w:r>
    </w:p>
    <w:p>
      <w:pPr>
        <w:rPr>
          <w:shd w:val="clear"/>
        </w:rPr>
      </w:pPr>
      <w:r>
        <w:rPr>
          <w:shd w:val="clear"/>
        </w:rPr>
        <w:t xml:space="preserve">Key functions: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Accepts 2‑bit symbols under valid/ready handshake.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Maps 2‑bit symbols to signed amplitude levels consistent with the ILC3_0c_gp </w:t>
      </w:r>
      <w:r>
        <w:rPr>
          <w:shd w:val="clear"/>
        </w:rPr>
        <w:t>constellation.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Provides continuous amplitude stream to the channel (symbol-synchronous, one </w:t>
      </w:r>
      <w:r>
        <w:rPr>
          <w:shd w:val="clear"/>
        </w:rPr>
        <w:t xml:space="preserve">sample per symbol).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Includes internal buffering to decouple symbol and amplitude handshakes.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4.2 RX Core – ilc3_rx_core</w:t>
      </w:r>
    </w:p>
    <w:p>
      <w:pPr>
        <w:rPr>
          <w:shd w:val="clear"/>
        </w:rPr>
      </w:pPr>
      <w:r>
        <w:rPr>
          <w:shd w:val="clear"/>
        </w:rPr>
        <w:t xml:space="preserve">Key functions: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Receives signed amplitudes from the channel/ADC under valid/ready handshake.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Applies the ILC3_0c_guard-phase decision rule (guard-phase based region slicing) to </w:t>
      </w:r>
      <w:r>
        <w:rPr>
          <w:shd w:val="clear"/>
        </w:rPr>
        <w:t xml:space="preserve">recover the 3-level symbol.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Maps 3-level decisions back to 2‑bit symbols for the upper layer.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Implements simple pipeline stages for timing closure (no DFE required; only feed-</w:t>
      </w:r>
      <w:r>
        <w:rPr>
          <w:shd w:val="clear"/>
        </w:rPr>
        <w:t xml:space="preserve">forward behavior assumed).</w:t>
      </w:r>
    </w:p>
    <w:p>
      <w:pPr>
        <w:rPr>
          <w:shd w:val="clear"/>
        </w:rPr>
      </w:pPr>
      <w:r>
        <w:rPr>
          <w:shd w:val="clear"/>
        </w:rPr>
        <w:t xml:space="preserve">Guard-phase principle: by monitoring transitions and effective ‘guard’ regions between </w:t>
      </w:r>
      <w:r>
        <w:rPr>
          <w:shd w:val="clear"/>
        </w:rPr>
        <w:t xml:space="preserve">amplitude levels, the receiver can avoid ambiguous decision regions that plague PAM4, </w:t>
      </w:r>
      <w:r>
        <w:rPr>
          <w:shd w:val="clear"/>
        </w:rPr>
        <w:t xml:space="preserve">leading to approximately 3 dB SNR gain at the same pre-/post-FEC BER when combined </w:t>
      </w:r>
      <w:r>
        <w:rPr>
          <w:shd w:val="clear"/>
        </w:rPr>
        <w:t xml:space="preserve">with a suitable FFE and block FEC.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5. Channel Model &amp; Noise Presets (Simulation Only)</w:t>
      </w:r>
    </w:p>
    <w:p>
      <w:pPr>
        <w:rPr>
          <w:shd w:val="clear"/>
        </w:rPr>
      </w:pPr>
      <w:r>
        <w:rPr>
          <w:shd w:val="clear"/>
        </w:rPr>
        <w:t xml:space="preserve">A reference channel model (ilc3_channel_model) is provided for RTL-level loopback tests. In </w:t>
      </w:r>
      <w:r>
        <w:rPr>
          <w:shd w:val="clear"/>
        </w:rPr>
        <w:t xml:space="preserve">product integration, this block is replaced by a real AFE + channel. The model supports </w:t>
      </w:r>
      <w:r>
        <w:rPr>
          <w:shd w:val="clear"/>
        </w:rPr>
        <w:t xml:space="preserve">optional noise injection: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ADD_NOISE = 0: clean loopback (baseline functional test).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ADD_NOISE = 1: strong noise (stress mode). Example result: N_SYM=10k, err_cnt≈2.5k </w:t>
      </w:r>
      <w:r>
        <w:rPr>
          <w:shd w:val="clear"/>
        </w:rPr>
        <w:t xml:space="preserve">→ BER≈2.5e-1.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Future preset (ADD_NOISE = 2): to be tuned as a ‘weak noise’ mode targeting </w:t>
      </w:r>
      <w:r>
        <w:rPr>
          <w:shd w:val="clear"/>
        </w:rPr>
        <w:t xml:space="preserve">BER≈1e-2 at the RTL level.</w:t>
      </w:r>
    </w:p>
    <w:p>
      <w:pPr>
        <w:rPr>
          <w:shd w:val="clear"/>
        </w:rPr>
      </w:pPr>
      <w:r>
        <w:rPr>
          <w:shd w:val="clear"/>
        </w:rPr>
        <w:t xml:space="preserve">These presets are qualitative. Quantitative link-budget and FEC performance are taken from </w:t>
      </w:r>
      <w:r>
        <w:rPr>
          <w:shd w:val="clear"/>
        </w:rPr>
        <w:t xml:space="preserve">the Python-based ILC3_PData simulations (Q8–Q20), which model realistic 5-tap ISI </w:t>
      </w:r>
      <w:r>
        <w:rPr>
          <w:shd w:val="clear"/>
        </w:rPr>
        <w:t xml:space="preserve">channels with FFE and block FEC.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6. Link Budget Summary vs PAM4 (Reference)</w:t>
      </w:r>
    </w:p>
    <w:p>
      <w:pPr>
        <w:rPr>
          <w:shd w:val="clear"/>
        </w:rPr>
      </w:pPr>
      <w:r>
        <w:rPr>
          <w:shd w:val="clear"/>
        </w:rPr>
        <w:t xml:space="preserve">System-level simulations (Q18–Q20) show that, for 5‑tap ISI channels (a/b/c) with FFE and </w:t>
      </w:r>
      <w:r>
        <w:rPr>
          <w:shd w:val="clear"/>
        </w:rPr>
        <w:t xml:space="preserve">a (256, 228, t=15) block FEC, ILC3_0c_gp achieves approximately 3 dB SNR gain over PAM4 </w:t>
      </w:r>
      <w:r>
        <w:rPr>
          <w:shd w:val="clear"/>
        </w:rPr>
        <w:t xml:space="preserve">at both pre-FEC and post-FEC targets: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Pre-FEC BER ≈ 1e-3: ΔSNR ≈ 2.7–2.9 dB in favor of ILC3_0c_gp.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Post-FEC BER targets 1e-6 ~ 1e-12: required SNR for ILC3_0c_gp remains ≈3 dB lower </w:t>
      </w:r>
      <w:r>
        <w:rPr>
          <w:shd w:val="clear"/>
        </w:rPr>
        <w:t xml:space="preserve">than PAM4 across channels a/b/c.</w:t>
      </w:r>
    </w:p>
    <w:p>
      <w:pPr>
        <w:rPr>
          <w:shd w:val="clear"/>
        </w:rPr>
      </w:pPr>
      <w:r>
        <w:rPr>
          <w:shd w:val="clear"/>
        </w:rPr>
        <w:t xml:space="preserve">These results justify treating ILC3_0c_gp as a PAM4-class alternative with ~3 dB link-</w:t>
      </w:r>
      <w:r>
        <w:rPr>
          <w:shd w:val="clear"/>
        </w:rPr>
        <w:t xml:space="preserve">margin improvement, without requiring DFE on the RX side.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7. Verification Environment</w:t>
      </w:r>
    </w:p>
    <w:p>
      <w:pPr>
        <w:rPr>
          <w:shd w:val="clear"/>
        </w:rPr>
      </w:pPr>
      <w:r>
        <w:rPr>
          <w:shd w:val="clear"/>
        </w:rPr>
        <w:t xml:space="preserve">Reference testbenches included in the RTL package: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tb_ilc3_loopback.v – direct core-to-core loopback (no channel), functional sanity check.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tb_ilc3_loopback_noise.v – same as above, with configurable noise in the channel model.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tb_ilc3_ipcore_loopback.v – full IPCore top + channel model loopback, with symbol-side </w:t>
      </w:r>
      <w:r>
        <w:rPr>
          <w:shd w:val="clear"/>
        </w:rPr>
        <w:t xml:space="preserve">FIFO scoreboard.</w:t>
      </w:r>
    </w:p>
    <w:p>
      <w:pPr>
        <w:rPr>
          <w:shd w:val="clear"/>
        </w:rPr>
      </w:pPr>
      <w:r>
        <w:rPr>
          <w:shd w:val="clear"/>
        </w:rPr>
        <w:t xml:space="preserve">The IPCore loopback testbench uses a deterministic pattern (0,1,2,3,…) and reports N_SYM </w:t>
      </w:r>
      <w:r>
        <w:rPr>
          <w:shd w:val="clear"/>
        </w:rPr>
        <w:t xml:space="preserve">and err_cnt. For example, N_SYM=1024, err_cnt=0 → PASS. By increasing N_SYM (e.g., to </w:t>
      </w:r>
      <w:r>
        <w:rPr>
          <w:shd w:val="clear"/>
        </w:rPr>
        <w:t xml:space="preserve">10k) and enabling noise, a rough BER estimate can be obtained at the RTL level.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8. Future Work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Add explicit configuration registers (e.g., to control training mode, noise presets, debug </w:t>
      </w:r>
      <w:r>
        <w:rPr>
          <w:shd w:val="clear"/>
        </w:rPr>
        <w:t>counters).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Connect to a real FEC block and run end-to-end RTL simulations using the same </w:t>
      </w:r>
      <w:r>
        <w:rPr>
          <w:shd w:val="clear"/>
        </w:rPr>
        <w:t xml:space="preserve">parameters as Q10–Q20.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Prepare FPGA/ESP implementation with on-board DAC/ADC loopback to validate the </w:t>
      </w:r>
      <w:r>
        <w:rPr>
          <w:shd w:val="clear"/>
        </w:rPr>
        <w:t xml:space="preserve">~3 dB gain in hardware.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Extend the architecture towards CoPBit-style multi-level/phase processing in a future </w:t>
      </w:r>
      <w:r>
        <w:rPr>
          <w:shd w:val="clear"/>
        </w:rPr>
        <w:t xml:space="preserve">IPCore family.</w:t>
      </w:r>
    </w:p>
    <w:sectPr>
      <w15:footnoteColumns w:val="1"/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0E69BA3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49F41C8B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1F7E2088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3789E1C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234724AA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39B81717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4AF4158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44B1CB16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5A8C4582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kang jung min</cp:lastModifiedBy>
  <dcterms:modified xsi:type="dcterms:W3CDTF">2013-12-23T23:15:00Z</dcterms:modified>
</cp:coreProperties>
</file>