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CC2C2" w14:textId="77777777" w:rsidR="00914D0D" w:rsidRDefault="00E77225">
      <w:pPr>
        <w:pStyle w:val="Title"/>
      </w:pPr>
      <w:r>
        <w:t>Pattern of urban forest ecosystem services across land use and onsite land cover</w:t>
      </w:r>
    </w:p>
    <w:p w14:paraId="436869C3" w14:textId="77777777" w:rsidR="00914D0D" w:rsidRDefault="00E77225">
      <w:pPr>
        <w:pStyle w:val="Author"/>
      </w:pPr>
      <w:r>
        <w:t>Jiefeng Kang, Satoshi Hirabayashi, Shozo Shibata</w:t>
      </w:r>
    </w:p>
    <w:p w14:paraId="17AE3D27" w14:textId="77777777" w:rsidR="00914D0D" w:rsidRDefault="00E77225">
      <w:pPr>
        <w:pStyle w:val="FirstParagraph"/>
      </w:pPr>
      <w:r>
        <w:rPr>
          <w:b/>
          <w:bCs/>
        </w:rPr>
        <w:t xml:space="preserve">Key words: </w:t>
      </w:r>
      <w:r>
        <w:t xml:space="preserve"> </w:t>
      </w:r>
      <w:r>
        <w:t>urban; ecosystem services; land use; land cover; green infrastructure</w:t>
      </w:r>
    </w:p>
    <w:p w14:paraId="126CB672" w14:textId="77777777" w:rsidR="00914D0D" w:rsidRDefault="00E77225" w:rsidP="003D44AE">
      <w:pPr>
        <w:pStyle w:val="Heading1"/>
        <w:jc w:val="both"/>
      </w:pPr>
      <w:bookmarkStart w:id="0" w:name="abstract"/>
      <w:r>
        <w:t>Abstract</w:t>
      </w:r>
    </w:p>
    <w:p w14:paraId="6F9FEC82" w14:textId="77777777" w:rsidR="00914D0D" w:rsidRDefault="00E77225" w:rsidP="003D44AE">
      <w:pPr>
        <w:pStyle w:val="FirstParagraph"/>
        <w:jc w:val="both"/>
      </w:pPr>
      <w:r>
        <w:t>The demand for urban ecosystem services increases with the rapid growth of urban population. Urban forest is a crucial ecosystem provider in cities. To achieve a better estimati</w:t>
      </w:r>
      <w:r>
        <w:t>on of urban ecosystem services, the understanding of the link between heterogeneity and ecosystem services within cities is needed. And other than street trees and forest remnant, the contribution of dispersed green space should also be taken into account.</w:t>
      </w:r>
      <w:r>
        <w:t xml:space="preserve"> In this study, a ground-based sample quadrat investigation of trees across a sequence of land types in Kyoto City was applied. Tree values and ecosystem services was further calculated using a customized i-Tree Eco tool. The ecosystem services calculated </w:t>
      </w:r>
      <w:r>
        <w:t>includes carbon storage and sequestration, air pollutants removal, and runoff reduction. Ecosystem services of different land types were compared at both quadrat and single-tree level. We found no significant difference across land use for all the ecosyste</w:t>
      </w:r>
      <w:r>
        <w:t>m services at quadrat level. However, ecosystem services are different across both land use and onsite land cover classes at single-tree level; the interaction effect of land use and onsite land cover is also found significant. We performed a species-speci</w:t>
      </w:r>
      <w:r>
        <w:t>fic analysis and found that the pattern of ecosystem services across land types varies with both the service tested and species. Our results of the comparison of ecosystem service across land types indicate the heterogeneity within a city should be conside</w:t>
      </w:r>
      <w:r>
        <w:t>red when estimating urban ecosystem services.</w:t>
      </w:r>
    </w:p>
    <w:p w14:paraId="654120CC" w14:textId="77777777" w:rsidR="00914D0D" w:rsidRDefault="00E77225" w:rsidP="003D44AE">
      <w:pPr>
        <w:pStyle w:val="Heading1"/>
        <w:jc w:val="both"/>
      </w:pPr>
      <w:bookmarkStart w:id="1" w:name="introduction"/>
      <w:bookmarkEnd w:id="0"/>
      <w:r>
        <w:t>Introduction</w:t>
      </w:r>
    </w:p>
    <w:p w14:paraId="0E942FC4" w14:textId="77777777" w:rsidR="00914D0D" w:rsidRDefault="00E77225" w:rsidP="003D44AE">
      <w:pPr>
        <w:pStyle w:val="FirstParagraph"/>
        <w:jc w:val="both"/>
      </w:pPr>
      <w:r>
        <w:t>The world’s urban population is expected to increase from 55.71% in 2019 [1] to 68% by 2050 [2], thus a growth of ecosystem services in cities would ensue. The relation between demand and supply of</w:t>
      </w:r>
      <w:r>
        <w:t xml:space="preserve"> ecosystem services varies with scale. Locally generated ecosystem services are more closely related to the living quality of the resident and some of them is irreplaceable by other distant sources (for example, mitigation of heat island effect) [3]. And c</w:t>
      </w:r>
      <w:r>
        <w:t>onsidering the numerous population size in cities, the social and economic value of ecosystem services within cities can be surprisingly high [4]. Besides, a recent global assessment highlighted how massive urbanization is impacting biodiversity and ecosys</w:t>
      </w:r>
      <w:r>
        <w:t>tems around the world negatively [5]. Therefore, an improvement of urban ecosystem services could potentially benefit city residents and mitigate global change.</w:t>
      </w:r>
    </w:p>
    <w:p w14:paraId="65F93D21" w14:textId="77777777" w:rsidR="00914D0D" w:rsidRDefault="00E77225" w:rsidP="003D44AE">
      <w:pPr>
        <w:pStyle w:val="BodyText"/>
        <w:jc w:val="both"/>
      </w:pPr>
      <w:r>
        <w:lastRenderedPageBreak/>
        <w:t>Yet compared to other ecosystems, the research for urban ecosystem services is relatively modes</w:t>
      </w:r>
      <w:r>
        <w:t>t [3],  and most of the urban ecosystem services studies, as well as the implementation of the research findings into land use policy, are in North America, Europe, and China [6,7]. For example, Kremer et al. estimated ecosystem services in New York City w</w:t>
      </w:r>
      <w:r>
        <w:t>ith a fine resolution method, considering land use, soil distribution, and population distribution [8]. Larondelle and Lauf mapped ecosystem services demand and supply at the scale of block in Berlin [9].  While urban ecosystem services research in Japan h</w:t>
      </w:r>
      <w:r>
        <w:t>as been less addressed. A pilot study of Japan city evaluated the ecosystem services of street trees in Kawasaki City of Japan using i-Tree [10]. A similar approach was applied to estimate the energy conservation and health benefit of air pollution removal</w:t>
      </w:r>
      <w:r>
        <w:t xml:space="preserve"> of street trees in Kyoto City [11,12], and monetary value of street trees in Suita City [13].</w:t>
      </w:r>
    </w:p>
    <w:p w14:paraId="25AB0D68" w14:textId="77777777" w:rsidR="00914D0D" w:rsidRDefault="00E77225" w:rsidP="003D44AE">
      <w:pPr>
        <w:pStyle w:val="BodyText"/>
        <w:jc w:val="both"/>
      </w:pPr>
      <w:r>
        <w:t xml:space="preserve">Ecosystem services are estimated with a sequence of methods, including indicators and valuation.  With the former, indicators are used to quantify the state and </w:t>
      </w:r>
      <w:r>
        <w:t>change of the objects of interest. Some of the commonly used indicators are crop yield for food production, carbon storage and carbon sequestration for climate change mitigation, and runoff reduction for hydrological regulation. Regarding the latter, two m</w:t>
      </w:r>
      <w:r>
        <w:t>ethods were applied to estimate ecosystem services monetary value.  One is traditional economic method using firsthand data, including stated preference method and revealed preference method. Though the empirical, field-based method can provide more accura</w:t>
      </w:r>
      <w:r>
        <w:t>te results [14], it is time consuming and limited on scale.  Therefore, the other method, value transfer (or ‘benefit transfer’) is widely used in ecosystem evaluation [15], for which the monetary value estimation of one location (the ‘reference ecosystem’</w:t>
      </w:r>
      <w:r>
        <w:t>) is transferred to another (the ‘target location’) [16].  Value transfer method is frequently applied in regional services estimation based on the area of land use/land cover and per unite area ecosystem service value. In these studies, urban ecosystem is</w:t>
      </w:r>
      <w:r>
        <w:t xml:space="preserve"> categorized as ‘urban area’ or ‘built-up area,’ and the ecosystem service of the category is estimated with a constant per unit area ecosystem service value. Particularly, the per unit area ecosystem service value for urban ecosystem from Costanza et al. </w:t>
      </w:r>
      <w:r>
        <w:t>[17] has been widely applied. For instance, the value was used in the study of San Antonio River Basin of Texas [18] and Nigeria [19]. And some other research modify the value based on local context [20–22]. However, the land use/land cover based value tra</w:t>
      </w:r>
      <w:r>
        <w:t>nsfer method could cause uncertainty in urban ecosystem service estimation that it ignores the high heterogeneity in cities and rapid change of land use/land cover and management intensity [6,15]. To get a more specific per unit area ecosystem service valu</w:t>
      </w:r>
      <w:r>
        <w:t>e for urban ecosystem, within-city research and inter-city comparison research are needed.</w:t>
      </w:r>
    </w:p>
    <w:p w14:paraId="2E2E1045" w14:textId="77777777" w:rsidR="00914D0D" w:rsidRDefault="00E77225" w:rsidP="003D44AE">
      <w:pPr>
        <w:pStyle w:val="BodyText"/>
        <w:jc w:val="both"/>
      </w:pPr>
      <w:r>
        <w:t>Among the service providers in urban ecosystem (e.g., forest patches, waterways and lakes, parks, brownfields, urban agriculture [6,23,24]), urban forest is one of t</w:t>
      </w:r>
      <w:r>
        <w:t>he foremost. As a crucial local ecosystem services provider in cities, urban forest functions in many services like carbon storage and sequestration, noise reduction, air quality improvement, energy conservation, and recreation [3,25]. However, the ecosyst</w:t>
      </w:r>
      <w:r>
        <w:t xml:space="preserve">em services of urban forest might have been underestimated since many </w:t>
      </w:r>
      <w:r>
        <w:lastRenderedPageBreak/>
        <w:t>previous research focuse on remnant forest or street trees (e.g., [26,27]), partially due to data availability. While the dispersed green spaces such as private gardens have been less st</w:t>
      </w:r>
      <w:r>
        <w:t>udied, despite the importance of them to urban ecosystem services has been proved [23,24,28].</w:t>
      </w:r>
    </w:p>
    <w:p w14:paraId="3832F777" w14:textId="77777777" w:rsidR="00914D0D" w:rsidRDefault="00E77225" w:rsidP="003D44AE">
      <w:pPr>
        <w:pStyle w:val="BodyText"/>
        <w:jc w:val="both"/>
      </w:pPr>
      <w:r>
        <w:t>To estimate the ecosystem services of urban forest more precisely, i-Tree Eco has been applied worldwide in more than one hundred countries. Developed by United S</w:t>
      </w:r>
      <w:r>
        <w:t>tates Department of Agriculture, i-Tree Eco allows users to calculate several ecosystem services (carbon storage and sequestration, pollutants removal, runoff reduction, etc.) of each tree with field investigation data of tree species, size, and condition.</w:t>
      </w:r>
      <w:r>
        <w:t xml:space="preserve"> Though i-Tree Eco enhance users to manage urban forest more accurately, even at a single-tree level, one limitations is that being guided by the automatically generated report of the tool, most research using i-Tree Eco only presented the results of infer</w:t>
      </w:r>
      <w:r>
        <w:t>red total ecosystem services of the whole research area (e.g., see [29]) or results by species [30,31]. These results, however, provide little information on the link between within-city heterogeneity and urban ecosystem services. Only a few research repor</w:t>
      </w:r>
      <w:r>
        <w:t>ted ecosystem services across land use/land cover within cities [32,23 ].</w:t>
      </w:r>
    </w:p>
    <w:p w14:paraId="164C6640" w14:textId="77777777" w:rsidR="00914D0D" w:rsidRDefault="00E77225" w:rsidP="003D44AE">
      <w:pPr>
        <w:pStyle w:val="BodyText"/>
        <w:jc w:val="both"/>
      </w:pPr>
      <w:r>
        <w:t>Land classification represents the heterogeneity of a city, driving by both socio-economic and bio-physical factors, and in return, shaping socio-economic and bio-physical environmen</w:t>
      </w:r>
      <w:r>
        <w:t>t of a city [33]. The main objective of this article is to link land classification and ecosystem services within urban ecosystem, taking Kyoto City as a case study. To achieve that goal, a pre-stratified sampling method based on the area of land use class</w:t>
      </w:r>
      <w:r>
        <w:t>es was applied for field data collection, then i-Tree Eco tool was used to calculate the urban forest structure, tree compensatory value, and ecosystem services. The ecosystem services, including carbon storage and sequestration, air pollutants removal, an</w:t>
      </w:r>
      <w:r>
        <w:t>d runoff reduction, were estimated for each tree and further grouped by quadrat. We compared ecosystem services at both quadrat level and single-tree level across land classification types. And for a better understanding of the link between heterogeneity a</w:t>
      </w:r>
      <w:r>
        <w:t>nd ecosystem service pattern, we compared the results of Kyoto City with research of other cities.</w:t>
      </w:r>
    </w:p>
    <w:p w14:paraId="0BFB6CCF" w14:textId="77777777" w:rsidR="00914D0D" w:rsidRDefault="00E77225" w:rsidP="003D44AE">
      <w:pPr>
        <w:pStyle w:val="Heading1"/>
        <w:jc w:val="both"/>
      </w:pPr>
      <w:bookmarkStart w:id="2" w:name="method"/>
      <w:bookmarkEnd w:id="1"/>
      <w:r>
        <w:t>Method</w:t>
      </w:r>
    </w:p>
    <w:p w14:paraId="478A0695" w14:textId="77777777" w:rsidR="00914D0D" w:rsidRDefault="00E77225" w:rsidP="003D44AE">
      <w:pPr>
        <w:pStyle w:val="Heading2"/>
        <w:jc w:val="both"/>
      </w:pPr>
      <w:bookmarkStart w:id="3" w:name="study-area"/>
      <w:r>
        <w:t>Study area</w:t>
      </w:r>
    </w:p>
    <w:p w14:paraId="152B639D" w14:textId="77777777" w:rsidR="00914D0D" w:rsidRDefault="00E77225" w:rsidP="003D44AE">
      <w:pPr>
        <w:pStyle w:val="FirstParagraph"/>
        <w:jc w:val="both"/>
      </w:pPr>
      <w:r>
        <w:t>Kyoto City (35°19′16″N-34°52′30″N, 135°33′33″E-135°52′43″E), the capital of Kyoto Prefecture, is located in Kyoto Basin of Kansai region, H</w:t>
      </w:r>
      <w:r>
        <w:t>onshu island, Japan, with an area of 828 square kilometers. The city is dominated by a humid subtropical climate with hot, humid summers, and cold, dry winters. It is one of ‘Cities designated by government ordinance of Japan’ with a population of 1.47 mil</w:t>
      </w:r>
      <w:r>
        <w:t>lion (0.73 million households) in 2019. The area of the built-up area of the city is 144 square kilometers.</w:t>
      </w:r>
    </w:p>
    <w:p w14:paraId="3C993D93" w14:textId="77777777" w:rsidR="00914D0D" w:rsidRDefault="00E77225" w:rsidP="003D44AE">
      <w:pPr>
        <w:pStyle w:val="Heading2"/>
        <w:jc w:val="both"/>
      </w:pPr>
      <w:bookmarkStart w:id="4" w:name="tree-data-collection"/>
      <w:bookmarkEnd w:id="3"/>
      <w:r>
        <w:lastRenderedPageBreak/>
        <w:t>Tree data collection</w:t>
      </w:r>
    </w:p>
    <w:p w14:paraId="5DDC0B70" w14:textId="77777777" w:rsidR="00914D0D" w:rsidRDefault="00E77225" w:rsidP="003D44AE">
      <w:pPr>
        <w:pStyle w:val="FirstParagraph"/>
        <w:jc w:val="both"/>
      </w:pPr>
      <w:r>
        <w:t>For field investigation, 200 quadrats (20m × 20m) were established, including the alternative ones, by stratified sampling meth</w:t>
      </w:r>
      <w:r>
        <w:t>od based on the area of the land use classes [34]. According to the urban planning system and City Planning Law of Japan, urban land use is categorized into 12 classes, with a regulation on the architectural form and use of the buildings constructed. We ag</w:t>
      </w:r>
      <w:r>
        <w:t xml:space="preserve">gregated them into 6 classes: </w:t>
      </w:r>
      <w:r>
        <w:rPr>
          <w:i/>
          <w:iCs/>
        </w:rPr>
        <w:t>Com</w:t>
      </w:r>
      <w:r>
        <w:t xml:space="preserve"> (Commercial zone), </w:t>
      </w:r>
      <w:r>
        <w:rPr>
          <w:i/>
          <w:iCs/>
        </w:rPr>
        <w:t>ComNeigh</w:t>
      </w:r>
      <w:r>
        <w:t xml:space="preserve"> (Neighborhood commercial zone), </w:t>
      </w:r>
      <w:r>
        <w:rPr>
          <w:i/>
          <w:iCs/>
        </w:rPr>
        <w:t>Ind</w:t>
      </w:r>
      <w:r>
        <w:t xml:space="preserve"> (Industrial zone), </w:t>
      </w:r>
      <w:r>
        <w:rPr>
          <w:i/>
          <w:iCs/>
        </w:rPr>
        <w:t>ResOther</w:t>
      </w:r>
      <w:r>
        <w:t xml:space="preserve"> (Other residential zone), </w:t>
      </w:r>
      <w:r>
        <w:rPr>
          <w:i/>
          <w:iCs/>
        </w:rPr>
        <w:t>ResHigh</w:t>
      </w:r>
      <w:r>
        <w:t xml:space="preserve"> (mid/high-rise residential zone), and </w:t>
      </w:r>
      <w:r>
        <w:rPr>
          <w:i/>
          <w:iCs/>
        </w:rPr>
        <w:t>ResLow</w:t>
      </w:r>
      <w:r>
        <w:t xml:space="preserve"> (Low-rise residential zone). The commercial area of</w:t>
      </w:r>
      <w:r>
        <w:t xml:space="preserve"> Kyoto City is mainly located in the city center, and industrial area in the west and south. The field investigation was conducted between May and August in 2019. The number of the quadrats investigated (n = 175) of each land use class is shown in Figure 1</w:t>
      </w:r>
      <w:r>
        <w:t xml:space="preserve"> and Table 1.</w:t>
      </w:r>
    </w:p>
    <w:p w14:paraId="5DAFBC20" w14:textId="77777777" w:rsidR="00914D0D" w:rsidRDefault="00E77225" w:rsidP="003D44AE">
      <w:pPr>
        <w:pStyle w:val="CaptionedFigure"/>
        <w:jc w:val="both"/>
      </w:pPr>
      <w:r>
        <w:rPr>
          <w:noProof/>
        </w:rPr>
        <w:lastRenderedPageBreak/>
        <w:drawing>
          <wp:inline distT="0" distB="0" distL="0" distR="0" wp14:anchorId="13E30A01" wp14:editId="0803862F">
            <wp:extent cx="5334000" cy="5430281"/>
            <wp:effectExtent l="0" t="0" r="0" b="0"/>
            <wp:docPr id="1" name="Picture" descr="Figure 1: Land use of Kyoto City and distribution of quadrats"/>
            <wp:cNvGraphicFramePr/>
            <a:graphic xmlns:a="http://schemas.openxmlformats.org/drawingml/2006/main">
              <a:graphicData uri="http://schemas.openxmlformats.org/drawingml/2006/picture">
                <pic:pic xmlns:pic="http://schemas.openxmlformats.org/drawingml/2006/picture">
                  <pic:nvPicPr>
                    <pic:cNvPr id="0" name="Picture" descr="Manuscript/Map.png"/>
                    <pic:cNvPicPr>
                      <a:picLocks noChangeAspect="1" noChangeArrowheads="1"/>
                    </pic:cNvPicPr>
                  </pic:nvPicPr>
                  <pic:blipFill>
                    <a:blip r:embed="rId7"/>
                    <a:stretch>
                      <a:fillRect/>
                    </a:stretch>
                  </pic:blipFill>
                  <pic:spPr bwMode="auto">
                    <a:xfrm>
                      <a:off x="0" y="0"/>
                      <a:ext cx="5334000" cy="5430281"/>
                    </a:xfrm>
                    <a:prstGeom prst="rect">
                      <a:avLst/>
                    </a:prstGeom>
                    <a:noFill/>
                    <a:ln w="9525">
                      <a:noFill/>
                      <a:headEnd/>
                      <a:tailEnd/>
                    </a:ln>
                  </pic:spPr>
                </pic:pic>
              </a:graphicData>
            </a:graphic>
          </wp:inline>
        </w:drawing>
      </w:r>
    </w:p>
    <w:p w14:paraId="39D0FBCE" w14:textId="270086CE" w:rsidR="00914D0D" w:rsidRDefault="00E77225" w:rsidP="003D44AE">
      <w:pPr>
        <w:pStyle w:val="ImageCaption"/>
        <w:jc w:val="both"/>
      </w:pPr>
      <w:r>
        <w:t>Figure 1: Land use of Kyoto City and distribution of quadrats</w:t>
      </w:r>
    </w:p>
    <w:p w14:paraId="5A4049FA" w14:textId="77777777" w:rsidR="003D44AE" w:rsidRDefault="003D44AE" w:rsidP="003D44AE">
      <w:pPr>
        <w:pStyle w:val="ImageCaption"/>
        <w:jc w:val="both"/>
      </w:pPr>
    </w:p>
    <w:p w14:paraId="2158E20F" w14:textId="77777777" w:rsidR="00914D0D" w:rsidRDefault="00E77225" w:rsidP="003D44AE">
      <w:pPr>
        <w:pStyle w:val="TableCaption"/>
        <w:jc w:val="both"/>
      </w:pPr>
      <w:r>
        <w:t>Table 1: Sample quadrats by stritied sampling method in this research</w:t>
      </w:r>
    </w:p>
    <w:tbl>
      <w:tblPr>
        <w:tblStyle w:val="Table"/>
        <w:tblW w:w="0" w:type="pct"/>
        <w:tblLook w:val="0020" w:firstRow="1" w:lastRow="0" w:firstColumn="0" w:lastColumn="0" w:noHBand="0" w:noVBand="0"/>
      </w:tblPr>
      <w:tblGrid>
        <w:gridCol w:w="1682"/>
        <w:gridCol w:w="1185"/>
        <w:gridCol w:w="2105"/>
        <w:gridCol w:w="2280"/>
      </w:tblGrid>
      <w:tr w:rsidR="00914D0D" w14:paraId="356DE22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9E51337" w14:textId="77777777" w:rsidR="00914D0D" w:rsidRDefault="00E77225" w:rsidP="003D44AE">
            <w:pPr>
              <w:pStyle w:val="Compact"/>
              <w:jc w:val="both"/>
            </w:pPr>
            <w:r>
              <w:t>Land use class</w:t>
            </w:r>
          </w:p>
        </w:tc>
        <w:tc>
          <w:tcPr>
            <w:tcW w:w="0" w:type="auto"/>
          </w:tcPr>
          <w:p w14:paraId="141F26E9" w14:textId="77777777" w:rsidR="00914D0D" w:rsidRDefault="00E77225" w:rsidP="003D44AE">
            <w:pPr>
              <w:pStyle w:val="Compact"/>
              <w:jc w:val="both"/>
            </w:pPr>
            <w:r>
              <w:t>Area (ha)</w:t>
            </w:r>
          </w:p>
        </w:tc>
        <w:tc>
          <w:tcPr>
            <w:tcW w:w="0" w:type="auto"/>
          </w:tcPr>
          <w:p w14:paraId="0A246AC6" w14:textId="77777777" w:rsidR="00914D0D" w:rsidRDefault="00E77225" w:rsidP="003D44AE">
            <w:pPr>
              <w:pStyle w:val="Compact"/>
              <w:jc w:val="both"/>
            </w:pPr>
            <w:r>
              <w:t>Proportion of area</w:t>
            </w:r>
          </w:p>
        </w:tc>
        <w:tc>
          <w:tcPr>
            <w:tcW w:w="0" w:type="auto"/>
          </w:tcPr>
          <w:p w14:paraId="3220F543" w14:textId="77777777" w:rsidR="00914D0D" w:rsidRDefault="00E77225" w:rsidP="003D44AE">
            <w:pPr>
              <w:pStyle w:val="Compact"/>
              <w:jc w:val="both"/>
            </w:pPr>
            <w:r>
              <w:t>Number of quadrats</w:t>
            </w:r>
          </w:p>
        </w:tc>
      </w:tr>
      <w:tr w:rsidR="00914D0D" w14:paraId="2BB07456" w14:textId="77777777">
        <w:tc>
          <w:tcPr>
            <w:tcW w:w="0" w:type="auto"/>
          </w:tcPr>
          <w:p w14:paraId="538AEC8E" w14:textId="77777777" w:rsidR="00914D0D" w:rsidRDefault="00E77225" w:rsidP="003D44AE">
            <w:pPr>
              <w:pStyle w:val="Compact"/>
              <w:jc w:val="both"/>
            </w:pPr>
            <w:r>
              <w:t>Com</w:t>
            </w:r>
          </w:p>
        </w:tc>
        <w:tc>
          <w:tcPr>
            <w:tcW w:w="0" w:type="auto"/>
          </w:tcPr>
          <w:p w14:paraId="13A1E85E" w14:textId="77777777" w:rsidR="00914D0D" w:rsidRDefault="00E77225" w:rsidP="003D44AE">
            <w:pPr>
              <w:pStyle w:val="Compact"/>
              <w:jc w:val="both"/>
            </w:pPr>
            <w:r>
              <w:t>1009.13</w:t>
            </w:r>
          </w:p>
        </w:tc>
        <w:tc>
          <w:tcPr>
            <w:tcW w:w="0" w:type="auto"/>
          </w:tcPr>
          <w:p w14:paraId="455C1D63" w14:textId="77777777" w:rsidR="00914D0D" w:rsidRDefault="00E77225" w:rsidP="003D44AE">
            <w:pPr>
              <w:pStyle w:val="Compact"/>
              <w:jc w:val="both"/>
            </w:pPr>
            <w:r>
              <w:t>7%</w:t>
            </w:r>
          </w:p>
        </w:tc>
        <w:tc>
          <w:tcPr>
            <w:tcW w:w="0" w:type="auto"/>
          </w:tcPr>
          <w:p w14:paraId="79E0447D" w14:textId="77777777" w:rsidR="00914D0D" w:rsidRDefault="00E77225" w:rsidP="003D44AE">
            <w:pPr>
              <w:pStyle w:val="Compact"/>
              <w:jc w:val="both"/>
            </w:pPr>
            <w:r>
              <w:t>12</w:t>
            </w:r>
          </w:p>
        </w:tc>
      </w:tr>
      <w:tr w:rsidR="00914D0D" w14:paraId="79CCBB31" w14:textId="77777777">
        <w:tc>
          <w:tcPr>
            <w:tcW w:w="0" w:type="auto"/>
          </w:tcPr>
          <w:p w14:paraId="2B6BC3B6" w14:textId="77777777" w:rsidR="00914D0D" w:rsidRDefault="00E77225" w:rsidP="003D44AE">
            <w:pPr>
              <w:pStyle w:val="Compact"/>
              <w:jc w:val="both"/>
            </w:pPr>
            <w:r>
              <w:t>ComNeigh</w:t>
            </w:r>
          </w:p>
        </w:tc>
        <w:tc>
          <w:tcPr>
            <w:tcW w:w="0" w:type="auto"/>
          </w:tcPr>
          <w:p w14:paraId="603FE6FF" w14:textId="77777777" w:rsidR="00914D0D" w:rsidRDefault="00E77225" w:rsidP="003D44AE">
            <w:pPr>
              <w:pStyle w:val="Compact"/>
              <w:jc w:val="both"/>
            </w:pPr>
            <w:r>
              <w:t>864.12</w:t>
            </w:r>
          </w:p>
        </w:tc>
        <w:tc>
          <w:tcPr>
            <w:tcW w:w="0" w:type="auto"/>
          </w:tcPr>
          <w:p w14:paraId="0E8DA23A" w14:textId="77777777" w:rsidR="00914D0D" w:rsidRDefault="00E77225" w:rsidP="003D44AE">
            <w:pPr>
              <w:pStyle w:val="Compact"/>
              <w:jc w:val="both"/>
            </w:pPr>
            <w:r>
              <w:t>5%</w:t>
            </w:r>
          </w:p>
        </w:tc>
        <w:tc>
          <w:tcPr>
            <w:tcW w:w="0" w:type="auto"/>
          </w:tcPr>
          <w:p w14:paraId="6A953986" w14:textId="77777777" w:rsidR="00914D0D" w:rsidRDefault="00E77225" w:rsidP="003D44AE">
            <w:pPr>
              <w:pStyle w:val="Compact"/>
              <w:jc w:val="both"/>
            </w:pPr>
            <w:r>
              <w:t>9</w:t>
            </w:r>
          </w:p>
        </w:tc>
      </w:tr>
      <w:tr w:rsidR="00914D0D" w14:paraId="361E39FA" w14:textId="77777777">
        <w:tc>
          <w:tcPr>
            <w:tcW w:w="0" w:type="auto"/>
          </w:tcPr>
          <w:p w14:paraId="3E364E1F" w14:textId="77777777" w:rsidR="00914D0D" w:rsidRDefault="00E77225" w:rsidP="003D44AE">
            <w:pPr>
              <w:pStyle w:val="Compact"/>
              <w:jc w:val="both"/>
            </w:pPr>
            <w:r>
              <w:t>Ind</w:t>
            </w:r>
          </w:p>
        </w:tc>
        <w:tc>
          <w:tcPr>
            <w:tcW w:w="0" w:type="auto"/>
          </w:tcPr>
          <w:p w14:paraId="445FD6E6" w14:textId="77777777" w:rsidR="00914D0D" w:rsidRDefault="00E77225" w:rsidP="003D44AE">
            <w:pPr>
              <w:pStyle w:val="Compact"/>
              <w:jc w:val="both"/>
            </w:pPr>
            <w:r>
              <w:t>3212.86</w:t>
            </w:r>
          </w:p>
        </w:tc>
        <w:tc>
          <w:tcPr>
            <w:tcW w:w="0" w:type="auto"/>
          </w:tcPr>
          <w:p w14:paraId="2BC41504" w14:textId="77777777" w:rsidR="00914D0D" w:rsidRDefault="00E77225" w:rsidP="003D44AE">
            <w:pPr>
              <w:pStyle w:val="Compact"/>
              <w:jc w:val="both"/>
            </w:pPr>
            <w:r>
              <w:t>22%</w:t>
            </w:r>
          </w:p>
        </w:tc>
        <w:tc>
          <w:tcPr>
            <w:tcW w:w="0" w:type="auto"/>
          </w:tcPr>
          <w:p w14:paraId="1C66FDAB" w14:textId="77777777" w:rsidR="00914D0D" w:rsidRDefault="00E77225" w:rsidP="003D44AE">
            <w:pPr>
              <w:pStyle w:val="Compact"/>
              <w:jc w:val="both"/>
            </w:pPr>
            <w:r>
              <w:t>23</w:t>
            </w:r>
          </w:p>
        </w:tc>
      </w:tr>
      <w:tr w:rsidR="00914D0D" w14:paraId="4EDD44EC" w14:textId="77777777">
        <w:tc>
          <w:tcPr>
            <w:tcW w:w="0" w:type="auto"/>
          </w:tcPr>
          <w:p w14:paraId="40A2EFC8" w14:textId="77777777" w:rsidR="00914D0D" w:rsidRDefault="00E77225" w:rsidP="003D44AE">
            <w:pPr>
              <w:pStyle w:val="Compact"/>
              <w:jc w:val="both"/>
            </w:pPr>
            <w:r>
              <w:t>ResOther</w:t>
            </w:r>
          </w:p>
        </w:tc>
        <w:tc>
          <w:tcPr>
            <w:tcW w:w="0" w:type="auto"/>
          </w:tcPr>
          <w:p w14:paraId="45D59BD4" w14:textId="77777777" w:rsidR="00914D0D" w:rsidRDefault="00E77225" w:rsidP="003D44AE">
            <w:pPr>
              <w:pStyle w:val="Compact"/>
              <w:jc w:val="both"/>
            </w:pPr>
            <w:r>
              <w:t>3113.02</w:t>
            </w:r>
          </w:p>
        </w:tc>
        <w:tc>
          <w:tcPr>
            <w:tcW w:w="0" w:type="auto"/>
          </w:tcPr>
          <w:p w14:paraId="2EC7FB7E" w14:textId="77777777" w:rsidR="00914D0D" w:rsidRDefault="00E77225" w:rsidP="003D44AE">
            <w:pPr>
              <w:pStyle w:val="Compact"/>
              <w:jc w:val="both"/>
            </w:pPr>
            <w:r>
              <w:t>21%</w:t>
            </w:r>
          </w:p>
        </w:tc>
        <w:tc>
          <w:tcPr>
            <w:tcW w:w="0" w:type="auto"/>
          </w:tcPr>
          <w:p w14:paraId="4907E4B1" w14:textId="77777777" w:rsidR="00914D0D" w:rsidRDefault="00E77225" w:rsidP="003D44AE">
            <w:pPr>
              <w:pStyle w:val="Compact"/>
              <w:jc w:val="both"/>
            </w:pPr>
            <w:r>
              <w:t>34</w:t>
            </w:r>
          </w:p>
        </w:tc>
      </w:tr>
      <w:tr w:rsidR="00914D0D" w14:paraId="40623560" w14:textId="77777777">
        <w:tc>
          <w:tcPr>
            <w:tcW w:w="0" w:type="auto"/>
          </w:tcPr>
          <w:p w14:paraId="19A9FDC9" w14:textId="77777777" w:rsidR="00914D0D" w:rsidRDefault="00E77225" w:rsidP="003D44AE">
            <w:pPr>
              <w:pStyle w:val="Compact"/>
              <w:jc w:val="both"/>
            </w:pPr>
            <w:r>
              <w:t>ResHigh</w:t>
            </w:r>
          </w:p>
        </w:tc>
        <w:tc>
          <w:tcPr>
            <w:tcW w:w="0" w:type="auto"/>
          </w:tcPr>
          <w:p w14:paraId="2979B8A6" w14:textId="77777777" w:rsidR="00914D0D" w:rsidRDefault="00E77225" w:rsidP="003D44AE">
            <w:pPr>
              <w:pStyle w:val="Compact"/>
              <w:jc w:val="both"/>
            </w:pPr>
            <w:r>
              <w:t>3026.83</w:t>
            </w:r>
          </w:p>
        </w:tc>
        <w:tc>
          <w:tcPr>
            <w:tcW w:w="0" w:type="auto"/>
          </w:tcPr>
          <w:p w14:paraId="3DAD8DB9" w14:textId="77777777" w:rsidR="00914D0D" w:rsidRDefault="00E77225" w:rsidP="003D44AE">
            <w:pPr>
              <w:pStyle w:val="Compact"/>
              <w:jc w:val="both"/>
            </w:pPr>
            <w:r>
              <w:t>21%</w:t>
            </w:r>
          </w:p>
        </w:tc>
        <w:tc>
          <w:tcPr>
            <w:tcW w:w="0" w:type="auto"/>
          </w:tcPr>
          <w:p w14:paraId="4622CEBE" w14:textId="77777777" w:rsidR="00914D0D" w:rsidRDefault="00E77225" w:rsidP="003D44AE">
            <w:pPr>
              <w:pStyle w:val="Compact"/>
              <w:jc w:val="both"/>
            </w:pPr>
            <w:r>
              <w:t>38</w:t>
            </w:r>
          </w:p>
        </w:tc>
      </w:tr>
      <w:tr w:rsidR="00914D0D" w14:paraId="2C29BB21" w14:textId="77777777">
        <w:tc>
          <w:tcPr>
            <w:tcW w:w="0" w:type="auto"/>
          </w:tcPr>
          <w:p w14:paraId="12A6825D" w14:textId="77777777" w:rsidR="00914D0D" w:rsidRDefault="00E77225" w:rsidP="003D44AE">
            <w:pPr>
              <w:pStyle w:val="Compact"/>
              <w:jc w:val="both"/>
            </w:pPr>
            <w:r>
              <w:t>ResLow</w:t>
            </w:r>
          </w:p>
        </w:tc>
        <w:tc>
          <w:tcPr>
            <w:tcW w:w="0" w:type="auto"/>
          </w:tcPr>
          <w:p w14:paraId="18E3DF23" w14:textId="77777777" w:rsidR="00914D0D" w:rsidRDefault="00E77225" w:rsidP="003D44AE">
            <w:pPr>
              <w:pStyle w:val="Compact"/>
              <w:jc w:val="both"/>
            </w:pPr>
            <w:r>
              <w:t>3518.92</w:t>
            </w:r>
          </w:p>
        </w:tc>
        <w:tc>
          <w:tcPr>
            <w:tcW w:w="0" w:type="auto"/>
          </w:tcPr>
          <w:p w14:paraId="78F401C6" w14:textId="77777777" w:rsidR="00914D0D" w:rsidRDefault="00E77225" w:rsidP="003D44AE">
            <w:pPr>
              <w:pStyle w:val="Compact"/>
              <w:jc w:val="both"/>
            </w:pPr>
            <w:r>
              <w:t>24%</w:t>
            </w:r>
          </w:p>
        </w:tc>
        <w:tc>
          <w:tcPr>
            <w:tcW w:w="0" w:type="auto"/>
          </w:tcPr>
          <w:p w14:paraId="43F514BF" w14:textId="77777777" w:rsidR="00914D0D" w:rsidRDefault="00E77225" w:rsidP="003D44AE">
            <w:pPr>
              <w:pStyle w:val="Compact"/>
              <w:jc w:val="both"/>
            </w:pPr>
            <w:r>
              <w:t>35</w:t>
            </w:r>
          </w:p>
        </w:tc>
      </w:tr>
    </w:tbl>
    <w:p w14:paraId="57FCAF5D" w14:textId="77777777" w:rsidR="00914D0D" w:rsidRDefault="00E77225" w:rsidP="003D44AE">
      <w:pPr>
        <w:pStyle w:val="BodyText"/>
        <w:jc w:val="both"/>
      </w:pPr>
      <w:r>
        <w:lastRenderedPageBreak/>
        <w:t xml:space="preserve">Following i-Tree Eco workbook [35], the information of the quadrats and trees was collected. </w:t>
      </w:r>
      <w:r>
        <w:t>For each quadrat, we took photos of the surrounding environment and the vegetation, and recorded the type of onsite land cover. The ‘onsite land cover’ is not sub-classification of land use, but the ‘actual’ land cover of a quadrat. The types of onsite lan</w:t>
      </w:r>
      <w:r>
        <w:t xml:space="preserve">d cover classes in this research is a combination of default land cover options in i-Tree Eco tool and user-defined ones, including: </w:t>
      </w:r>
      <w:r>
        <w:rPr>
          <w:i/>
          <w:iCs/>
        </w:rPr>
        <w:t>ComInd</w:t>
      </w:r>
      <w:r>
        <w:t xml:space="preserve"> (large commercial building &amp; industrial building), </w:t>
      </w:r>
      <w:r>
        <w:rPr>
          <w:i/>
          <w:iCs/>
        </w:rPr>
        <w:t>ComNeiBld</w:t>
      </w:r>
      <w:r>
        <w:t xml:space="preserve"> (neighborhood commercial building), </w:t>
      </w:r>
      <w:r>
        <w:rPr>
          <w:i/>
          <w:iCs/>
        </w:rPr>
        <w:t>Trans</w:t>
      </w:r>
      <w:r>
        <w:t xml:space="preserve"> (transportati</w:t>
      </w:r>
      <w:r>
        <w:t xml:space="preserve">on), </w:t>
      </w:r>
      <w:r>
        <w:rPr>
          <w:i/>
          <w:iCs/>
        </w:rPr>
        <w:t>Insti</w:t>
      </w:r>
      <w:r>
        <w:t xml:space="preserve"> (institution), </w:t>
      </w:r>
      <w:r>
        <w:rPr>
          <w:i/>
          <w:iCs/>
        </w:rPr>
        <w:t>MulFamiRes</w:t>
      </w:r>
      <w:r>
        <w:t xml:space="preserve"> (multi-family residential area), </w:t>
      </w:r>
      <w:r>
        <w:rPr>
          <w:i/>
          <w:iCs/>
        </w:rPr>
        <w:t>LowResBld</w:t>
      </w:r>
      <w:r>
        <w:t xml:space="preserve"> (low-rise residential building), </w:t>
      </w:r>
      <w:r>
        <w:rPr>
          <w:i/>
          <w:iCs/>
        </w:rPr>
        <w:t>Park</w:t>
      </w:r>
      <w:r>
        <w:t xml:space="preserve">, </w:t>
      </w:r>
      <w:r>
        <w:rPr>
          <w:i/>
          <w:iCs/>
        </w:rPr>
        <w:t>TemShr</w:t>
      </w:r>
      <w:r>
        <w:t xml:space="preserve"> (temple and shrine), </w:t>
      </w:r>
      <w:r>
        <w:rPr>
          <w:i/>
          <w:iCs/>
        </w:rPr>
        <w:t>Golf</w:t>
      </w:r>
      <w:r>
        <w:t xml:space="preserve">, </w:t>
      </w:r>
      <w:r>
        <w:rPr>
          <w:i/>
          <w:iCs/>
        </w:rPr>
        <w:t>Vacant</w:t>
      </w:r>
      <w:r>
        <w:t xml:space="preserve">, </w:t>
      </w:r>
      <w:r>
        <w:rPr>
          <w:i/>
          <w:iCs/>
        </w:rPr>
        <w:t>Water</w:t>
      </w:r>
      <w:r>
        <w:t xml:space="preserve">, </w:t>
      </w:r>
      <w:r>
        <w:rPr>
          <w:i/>
          <w:iCs/>
        </w:rPr>
        <w:t>Agri</w:t>
      </w:r>
      <w:r>
        <w:t xml:space="preserve"> (agriculture), and </w:t>
      </w:r>
      <w:r>
        <w:rPr>
          <w:i/>
          <w:iCs/>
        </w:rPr>
        <w:t>Cemetery</w:t>
      </w:r>
      <w:r>
        <w:t>. Information of each tree in a quadrat, including speci</w:t>
      </w:r>
      <w:r>
        <w:t>es, height, diameter at breast height (DBH), canopy missing percentage, crown size, crown health condition, and crown light exposure, were collected. A total of 1400 trees (of 141 species) was recorded in the 175 quadrats.</w:t>
      </w:r>
    </w:p>
    <w:p w14:paraId="13E05C7A" w14:textId="77777777" w:rsidR="00914D0D" w:rsidRDefault="00E77225" w:rsidP="003D44AE">
      <w:pPr>
        <w:pStyle w:val="Heading2"/>
        <w:jc w:val="both"/>
      </w:pPr>
      <w:bookmarkStart w:id="5" w:name="Xffe1abb28fee7bc5e334bd24e04b7e594fe405d"/>
      <w:bookmarkEnd w:id="4"/>
      <w:r>
        <w:t>Calculation of ecosystem services</w:t>
      </w:r>
      <w:r>
        <w:t xml:space="preserve"> and tree value</w:t>
      </w:r>
    </w:p>
    <w:p w14:paraId="2148780F" w14:textId="77777777" w:rsidR="00914D0D" w:rsidRDefault="00E77225" w:rsidP="003D44AE">
      <w:pPr>
        <w:pStyle w:val="FirstParagraph"/>
        <w:jc w:val="both"/>
      </w:pPr>
      <w:r>
        <w:t xml:space="preserve">i-Tree model has been widely used to help managers and researchers to quantify urban forest structure, ecosystem services, and tree value.  We calculated three values of each tree: compensatory value, representing compensation for the loss </w:t>
      </w:r>
      <w:r>
        <w:t>of a tree [36]; monetary value of carbon storage, representing the cumulative result of net carbon sequestration for years; annual ecosystem services, including carbon sequestration, air pollutants removal, and runoff reduction. The ecosystem services of e</w:t>
      </w:r>
      <w:r>
        <w:t>ach tree (hereafter, ‘single-tree ecosystem services’) were then grouped by quadrat and add up to calculate the ecosystem services of a quadrat (hereafter, ‘quadrat ecosystem services’). We will briefly introduce the method for structure and ecosystem serv</w:t>
      </w:r>
      <w:r>
        <w:t>ices calculation, and valuation of tree value in the following sections; for more details refer to i-Tree method documentation [37]. To improve the accuracy of results, a modified i-Tree model with local parameters of Kyoto City was applied (see [12] for m</w:t>
      </w:r>
      <w:r>
        <w:t>odel details and parameters list).</w:t>
      </w:r>
    </w:p>
    <w:p w14:paraId="743292B7" w14:textId="77777777" w:rsidR="00914D0D" w:rsidRDefault="00E77225" w:rsidP="003D44AE">
      <w:pPr>
        <w:pStyle w:val="BodyText"/>
        <w:jc w:val="both"/>
      </w:pPr>
      <w:r>
        <w:rPr>
          <w:b/>
          <w:bCs/>
        </w:rPr>
        <w:t>Compensatory value</w:t>
      </w:r>
      <w:r>
        <w:t xml:space="preserve"> Compensatory value of trees is estimated using the guideline of Council of Tree and Landscape Appraisers [38] in i-Tree Eco [37]. Compensatory value of a tree is determined by replacement cost, DBH, and</w:t>
      </w:r>
      <w:r>
        <w:t xml:space="preserve"> a location-specific per unit trunk area cost. For palm trees, the cost to clear trunk is also considered. The values of the these parameters have been compiled for numerous stats in the US; while fo toher countries, an average value of repalcement cost an</w:t>
      </w:r>
      <w:r>
        <w:t>d per unit trunk area cost is applied.</w:t>
      </w:r>
    </w:p>
    <w:p w14:paraId="53336A52" w14:textId="77777777" w:rsidR="00914D0D" w:rsidRDefault="00E77225" w:rsidP="003D44AE">
      <w:pPr>
        <w:pStyle w:val="BodyText"/>
        <w:jc w:val="both"/>
      </w:pPr>
      <w:r>
        <w:rPr>
          <w:b/>
          <w:bCs/>
        </w:rPr>
        <w:t>Structure index</w:t>
      </w:r>
      <w:r>
        <w:t xml:space="preserve"> Leaf area is estimated based on species, total height, crown base height, crow width and percent crown missing. Leaf biomass is calculated based on leaf area with species-specific convert factor. Total</w:t>
      </w:r>
      <w:r>
        <w:t xml:space="preserve"> biomass for each tree is calculated using species_specific allometric equations from the literature with DBH and total height.</w:t>
      </w:r>
    </w:p>
    <w:p w14:paraId="76829EBB" w14:textId="77777777" w:rsidR="00914D0D" w:rsidRDefault="00E77225" w:rsidP="003D44AE">
      <w:pPr>
        <w:pStyle w:val="BodyText"/>
        <w:jc w:val="both"/>
      </w:pPr>
      <w:r>
        <w:rPr>
          <w:b/>
          <w:bCs/>
        </w:rPr>
        <w:t>Carbon storage and carbon sequestration</w:t>
      </w:r>
      <w:r>
        <w:t xml:space="preserve"> Carbon storage is estimated based on biomass and carbon content. For evergreen and palm </w:t>
      </w:r>
      <w:r>
        <w:t xml:space="preserve">species, leaf biomass is added. </w:t>
      </w:r>
      <w:r>
        <w:lastRenderedPageBreak/>
        <w:t>And carbon sequestration is estimated based on growth rate, which is also calculated with the parameters mentioned above and growth adjustment factor of crown health and crown light exposure. i-Tree Eco’s default value for c</w:t>
      </w:r>
      <w:r>
        <w:t xml:space="preserve">arbon is 188 dollars per ton carbon, while the social cost for carbon in Japan is 10,600 Yen (about 96 dollar) per ton from Japanese government document [39]. Considering results comparability with other research, we used 188 dollars per ton carbon in our </w:t>
      </w:r>
      <w:r>
        <w:t>customized i-Tree Eco.</w:t>
      </w:r>
    </w:p>
    <w:p w14:paraId="0C106F10" w14:textId="77777777" w:rsidR="00914D0D" w:rsidRDefault="00E77225" w:rsidP="003D44AE">
      <w:pPr>
        <w:pStyle w:val="BodyText"/>
        <w:jc w:val="both"/>
      </w:pPr>
      <w:r>
        <w:rPr>
          <w:b/>
          <w:bCs/>
        </w:rPr>
        <w:t>Air pollution removal and health benefit</w:t>
      </w:r>
      <w:r>
        <w:t xml:space="preserve"> Air pollution removal is estimated using percent tree cover and leaf area index. The pollutants estimated include nitrogen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ozone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particulate matter less than 2.5 µm (</w:t>
      </w:r>
      <m:oMath>
        <m:r>
          <w:rPr>
            <w:rFonts w:ascii="Cambria Math" w:hAnsi="Cambria Math"/>
          </w:rPr>
          <m:t>P</m:t>
        </m:r>
        <m:r>
          <w:rPr>
            <w:rFonts w:ascii="Cambria Math" w:hAnsi="Cambria Math"/>
          </w:rPr>
          <m:t>M</m:t>
        </m:r>
        <m:r>
          <w:rPr>
            <w:rFonts w:ascii="Cambria Math" w:hAnsi="Cambria Math"/>
          </w:rPr>
          <m:t>2.5</m:t>
        </m:r>
      </m:oMath>
      <w:r>
        <w:t>), and sulfur dioxide (</w:t>
      </w:r>
      <m:oMath>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2</m:t>
            </m:r>
          </m:sub>
        </m:sSub>
      </m:oMath>
      <w:r>
        <w:t>). In the locations supported more sufficiently in i-Tree Eco (e.g., cities in the US and Canada), the tree data is merged with local pre-processed weather and air pollution concentration data for the calculation of polluta</w:t>
      </w:r>
      <w:r>
        <w:t>nts removal. While in this case, since Kyoto City is not officially supported by default, we input the local weather data from local monitor stations manually. The valuation of air pollutants removal is estimated based on the cost reduction of avoided adve</w:t>
      </w:r>
      <w:r>
        <w:t xml:space="preserve">rse health incidences caused by exposure to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PM</m:t>
        </m:r>
        <m:r>
          <w:rPr>
            <w:rFonts w:ascii="Cambria Math" w:hAnsi="Cambria Math"/>
          </w:rPr>
          <m:t>2.5</m:t>
        </m:r>
      </m:oMath>
      <w:r>
        <w:t xml:space="preserve"> with BenMAP method developed by the US Environmental Protection Agency, connecting medical records and air quality measurements across the US.</w:t>
      </w:r>
    </w:p>
    <w:p w14:paraId="6D81677E" w14:textId="77777777" w:rsidR="00914D0D" w:rsidRDefault="00E77225" w:rsidP="003D44AE">
      <w:pPr>
        <w:pStyle w:val="BodyText"/>
        <w:jc w:val="both"/>
      </w:pPr>
      <w:r>
        <w:rPr>
          <w:b/>
          <w:bCs/>
        </w:rPr>
        <w:t>Runoff reduction</w:t>
      </w:r>
      <w:r>
        <w:t xml:space="preserve"> Runoff reduction in i-</w:t>
      </w:r>
      <w:r>
        <w:t>Tree Eco is estimated based on the difference between the runoff with current tree cover and that without trees [40]. In the simulation, rainfall interception of trees and runoff are calculated mainly by precipitation, leaf area index, and infiltration wit</w:t>
      </w:r>
      <w:r>
        <w:t xml:space="preserve">h a time step of hour. The storm water control facilities cost in the US is 2.36 US dollars per </w:t>
      </w:r>
      <m:oMath>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while that estimation of Suita City, Japan is 719 yen per </w:t>
      </w:r>
      <m:oMath>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To achieve a better results comparability with other research, the former was applied in our </w:t>
      </w:r>
      <w:r>
        <w:t>research for the valuation of runoff reduction.</w:t>
      </w:r>
    </w:p>
    <w:p w14:paraId="186C2CD6" w14:textId="77777777" w:rsidR="00914D0D" w:rsidRDefault="00E77225" w:rsidP="003D44AE">
      <w:pPr>
        <w:pStyle w:val="Heading2"/>
        <w:jc w:val="both"/>
      </w:pPr>
      <w:bookmarkStart w:id="6" w:name="data-analysis"/>
      <w:bookmarkEnd w:id="5"/>
      <w:r>
        <w:t>Data analysis</w:t>
      </w:r>
    </w:p>
    <w:p w14:paraId="0900BC20" w14:textId="77777777" w:rsidR="00914D0D" w:rsidRDefault="00E77225" w:rsidP="003D44AE">
      <w:pPr>
        <w:pStyle w:val="FirstParagraph"/>
        <w:jc w:val="both"/>
      </w:pPr>
      <w:r>
        <w:t>The distribution of DBH across land use classes were illustrated for a outline of the the age structure of the trees in the city. Then for quadrat ecosystem services, one-way analysis of varianc</w:t>
      </w:r>
      <w:r>
        <w:t>e (ANOVA) was used to analyze the differences among land use classes. For ecosystem at single-tree level, ANOVA was used to analyze the differences among land use classes and onsite land cover classes respectively. For the statistical group comparison wher</w:t>
      </w:r>
      <w:r>
        <w:t>e significant difference is deteceted, the Tukey’s HSD is applied for a post hoc pairwise comparison [41]. Further more, interaction effect of land use and onsite land cover on single-tree ecosystem services was tested by ANOVA.</w:t>
      </w:r>
    </w:p>
    <w:p w14:paraId="7C3DDBCE" w14:textId="77777777" w:rsidR="00914D0D" w:rsidRDefault="00E77225" w:rsidP="003D44AE">
      <w:pPr>
        <w:pStyle w:val="BodyText"/>
        <w:jc w:val="both"/>
      </w:pPr>
      <w:r>
        <w:t>Finally, a species-specific</w:t>
      </w:r>
      <w:r>
        <w:t xml:space="preserve"> analysis was used to compare the single-tree ecosystem services across land classification by species. To achieve a robust result, only widespread species presenting across a sequence of land use classes or onsite land cover classes with at least 3 indivi</w:t>
      </w:r>
      <w:r>
        <w:t xml:space="preserve">duals for each land classification are analyzed. The target species widespread land use classes include Acer palmatum, Ginkgo biloba, </w:t>
      </w:r>
      <w:r>
        <w:lastRenderedPageBreak/>
        <w:t>Ligustrum lucidum, Nandina domestica, Osmanthus fragrans, Podocarpus macrophyllus, Prunus x blireana, Quercus x alvordiana</w:t>
      </w:r>
      <w:r>
        <w:t>, and Zelkova serrata, and those widespread onsite land cover include Cinnamomum camphora, Ligustrum lucidum, Osmanthus fragrans, Prunus x blireana, Quercus x alvordiana, Quercus myrsinifolia, and Zelkova serrata. For each target species, ANOVA and Tukey’s</w:t>
      </w:r>
      <w:r>
        <w:t xml:space="preserve"> HSD were applied to compare single-tree ecosystem services across land use and onsite land cover classes.</w:t>
      </w:r>
    </w:p>
    <w:p w14:paraId="6C267946" w14:textId="77777777" w:rsidR="00914D0D" w:rsidRDefault="00E77225" w:rsidP="003D44AE">
      <w:pPr>
        <w:pStyle w:val="BodyText"/>
        <w:jc w:val="both"/>
      </w:pPr>
      <w:r>
        <w:t xml:space="preserve">All the analysis was conducted in R (version 4.0.3), and difference was considered significant as </w:t>
      </w:r>
      <w:r>
        <w:rPr>
          <w:i/>
          <w:iCs/>
        </w:rPr>
        <w:t>p</w:t>
      </w:r>
      <w:r>
        <w:t xml:space="preserve">&lt;0.05. The </w:t>
      </w:r>
      <m:oMath>
        <m:r>
          <w:rPr>
            <w:rFonts w:ascii="Cambria Math" w:hAnsi="Cambria Math"/>
          </w:rPr>
          <m:t>aov</m:t>
        </m:r>
      </m:oMath>
      <w:r>
        <w:t xml:space="preserve"> </w:t>
      </w:r>
      <w:r>
        <w:t xml:space="preserve">function was applied for ANOVA test and </w:t>
      </w:r>
      <m:oMath>
        <m:r>
          <w:rPr>
            <w:rFonts w:ascii="Cambria Math" w:hAnsi="Cambria Math"/>
          </w:rPr>
          <m:t>TukeyHSD</m:t>
        </m:r>
      </m:oMath>
      <w:r>
        <w:t xml:space="preserve"> function was used for the post hoc comparison.</w:t>
      </w:r>
    </w:p>
    <w:p w14:paraId="1B0773FC" w14:textId="77777777" w:rsidR="00914D0D" w:rsidRDefault="00E77225" w:rsidP="003D44AE">
      <w:pPr>
        <w:pStyle w:val="Heading1"/>
        <w:jc w:val="both"/>
      </w:pPr>
      <w:bookmarkStart w:id="7" w:name="results"/>
      <w:bookmarkEnd w:id="2"/>
      <w:bookmarkEnd w:id="6"/>
      <w:r>
        <w:t>Results</w:t>
      </w:r>
    </w:p>
    <w:p w14:paraId="07F94046" w14:textId="77777777" w:rsidR="00914D0D" w:rsidRDefault="00E77225" w:rsidP="003D44AE">
      <w:pPr>
        <w:pStyle w:val="Heading2"/>
        <w:jc w:val="both"/>
      </w:pPr>
      <w:bookmarkStart w:id="8" w:name="dbh-strcuture"/>
      <w:r>
        <w:t>DBH strcuture</w:t>
      </w:r>
    </w:p>
    <w:p w14:paraId="002379FA" w14:textId="77777777" w:rsidR="00914D0D" w:rsidRDefault="00E77225" w:rsidP="003D44AE">
      <w:pPr>
        <w:pStyle w:val="FirstParagraph"/>
        <w:jc w:val="both"/>
      </w:pPr>
      <w:r>
        <w:t xml:space="preserve">From the perspective of land use, younger trees with DBH </w:t>
      </w:r>
      <m:oMath>
        <m:r>
          <m:rPr>
            <m:sty m:val="p"/>
          </m:rPr>
          <w:rPr>
            <w:rFonts w:ascii="Cambria Math" w:hAnsi="Cambria Math"/>
          </w:rPr>
          <m:t>≤</m:t>
        </m:r>
      </m:oMath>
      <w:r>
        <w:t xml:space="preserve"> </w:t>
      </w:r>
      <w:r>
        <w:t>15 cm account for a large proportion across the land use classes (0% to 0%). Industrial zone has more mature trees with DBH &gt; 15 cm than others (Figure 2), probably reflecting the low manage intensity of Industrial zone. And probably constrained by both pl</w:t>
      </w:r>
      <w:r>
        <w:t xml:space="preserve">anting goals and limited space, Neighborhood commercial zone is characterized with larger proportion of younger trees with DBH </w:t>
      </w:r>
      <m:oMath>
        <m:r>
          <m:rPr>
            <m:sty m:val="p"/>
          </m:rPr>
          <w:rPr>
            <w:rFonts w:ascii="Cambria Math" w:hAnsi="Cambria Math"/>
          </w:rPr>
          <m:t>≤</m:t>
        </m:r>
      </m:oMath>
      <w:r>
        <w:t xml:space="preserve"> 15 cm. From the perspective of onsite land cover, the variance is larger that large commercial building &amp; industrial building a</w:t>
      </w:r>
      <w:r>
        <w:t xml:space="preserve">nd agriculture area have extremely higher proportion of younger trees with DBH </w:t>
      </w:r>
      <m:oMath>
        <m:r>
          <m:rPr>
            <m:sty m:val="p"/>
          </m:rPr>
          <w:rPr>
            <w:rFonts w:ascii="Cambria Math" w:hAnsi="Cambria Math"/>
          </w:rPr>
          <m:t>≤</m:t>
        </m:r>
      </m:oMath>
      <w:r>
        <w:t xml:space="preserve"> 30 cm, followed by transportation and park. While institute and cemetery have higher proportion of mature trees with DBH &gt; 30 cm.</w:t>
      </w:r>
    </w:p>
    <w:p w14:paraId="6C0B164D" w14:textId="77777777" w:rsidR="00914D0D" w:rsidRDefault="00E77225" w:rsidP="003D44AE">
      <w:pPr>
        <w:pStyle w:val="CaptionedFigure"/>
        <w:jc w:val="both"/>
      </w:pPr>
      <w:r>
        <w:rPr>
          <w:noProof/>
        </w:rPr>
        <w:lastRenderedPageBreak/>
        <w:drawing>
          <wp:inline distT="0" distB="0" distL="0" distR="0" wp14:anchorId="0A3F66EF" wp14:editId="3D5C9898">
            <wp:extent cx="4620126" cy="3696101"/>
            <wp:effectExtent l="0" t="0" r="0" b="0"/>
            <wp:docPr id="2" name="Picture" descr="Figure 2: DBH structure across land use and onsite land cover classes"/>
            <wp:cNvGraphicFramePr/>
            <a:graphic xmlns:a="http://schemas.openxmlformats.org/drawingml/2006/main">
              <a:graphicData uri="http://schemas.openxmlformats.org/drawingml/2006/picture">
                <pic:pic xmlns:pic="http://schemas.openxmlformats.org/drawingml/2006/picture">
                  <pic:nvPicPr>
                    <pic:cNvPr id="0" name="Picture" descr="KES_article_files/figure-docx/DBH-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06387CE" w14:textId="77777777" w:rsidR="00914D0D" w:rsidRDefault="00E77225" w:rsidP="003D44AE">
      <w:pPr>
        <w:pStyle w:val="ImageCaption"/>
        <w:jc w:val="both"/>
      </w:pPr>
      <w:r>
        <w:t>Figure 2: DBH structure across land use and</w:t>
      </w:r>
      <w:r>
        <w:t xml:space="preserve"> onsite land cover classes</w:t>
      </w:r>
    </w:p>
    <w:p w14:paraId="055DA70E" w14:textId="77777777" w:rsidR="00914D0D" w:rsidRDefault="00E77225" w:rsidP="003D44AE">
      <w:pPr>
        <w:pStyle w:val="Heading2"/>
        <w:jc w:val="both"/>
      </w:pPr>
      <w:bookmarkStart w:id="9" w:name="tree-value"/>
      <w:bookmarkEnd w:id="8"/>
      <w:r>
        <w:t>Tree value</w:t>
      </w:r>
    </w:p>
    <w:p w14:paraId="74DE86EC" w14:textId="77777777" w:rsidR="00914D0D" w:rsidRDefault="00E77225" w:rsidP="003D44AE">
      <w:pPr>
        <w:pStyle w:val="FirstParagraph"/>
        <w:jc w:val="both"/>
      </w:pPr>
      <w:r>
        <w:t xml:space="preserve">The sum and average number of quadrat annual ecosystem service values, carbon storage value, and compensatory value were calculated (Table 2). The annual ecosystem service value is 30% as much as carbon storage value. </w:t>
      </w:r>
      <w:r>
        <w:t>While the compensatory value of trees is 121 times of annual ecosystem services.</w:t>
      </w:r>
    </w:p>
    <w:p w14:paraId="17EAF4D9" w14:textId="77777777" w:rsidR="00914D0D" w:rsidRDefault="00E77225" w:rsidP="003D44AE">
      <w:pPr>
        <w:pStyle w:val="TableCaption"/>
        <w:jc w:val="both"/>
      </w:pPr>
      <w:r>
        <w:t>Table 2: Valuation of ecosystem services and compensatory value (unit: dollars)</w:t>
      </w:r>
    </w:p>
    <w:tbl>
      <w:tblPr>
        <w:tblStyle w:val="Table"/>
        <w:tblW w:w="0" w:type="pct"/>
        <w:jc w:val="center"/>
        <w:tblLook w:val="0020" w:firstRow="1" w:lastRow="0" w:firstColumn="0" w:lastColumn="0" w:noHBand="0" w:noVBand="0"/>
      </w:tblPr>
      <w:tblGrid>
        <w:gridCol w:w="2963"/>
        <w:gridCol w:w="1063"/>
        <w:gridCol w:w="1914"/>
      </w:tblGrid>
      <w:tr w:rsidR="00914D0D" w14:paraId="7DB6BAC3" w14:textId="77777777" w:rsidTr="003D44AE">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auto"/>
            </w:tcBorders>
          </w:tcPr>
          <w:p w14:paraId="2BBFE5C0" w14:textId="77777777" w:rsidR="00914D0D" w:rsidRDefault="00E77225" w:rsidP="003D44AE">
            <w:pPr>
              <w:pStyle w:val="Compact"/>
              <w:jc w:val="both"/>
            </w:pPr>
            <w:r>
              <w:t>Item</w:t>
            </w:r>
          </w:p>
        </w:tc>
        <w:tc>
          <w:tcPr>
            <w:tcW w:w="0" w:type="auto"/>
            <w:tcBorders>
              <w:top w:val="single" w:sz="4" w:space="0" w:color="auto"/>
            </w:tcBorders>
          </w:tcPr>
          <w:p w14:paraId="7BDDC413" w14:textId="77777777" w:rsidR="00914D0D" w:rsidRDefault="00E77225" w:rsidP="003D44AE">
            <w:pPr>
              <w:pStyle w:val="Compact"/>
              <w:jc w:val="center"/>
            </w:pPr>
            <w:r>
              <w:t>Sum</w:t>
            </w:r>
          </w:p>
        </w:tc>
        <w:tc>
          <w:tcPr>
            <w:tcW w:w="0" w:type="auto"/>
            <w:tcBorders>
              <w:top w:val="single" w:sz="4" w:space="0" w:color="auto"/>
            </w:tcBorders>
          </w:tcPr>
          <w:p w14:paraId="05B7F821" w14:textId="77777777" w:rsidR="00914D0D" w:rsidRDefault="00E77225" w:rsidP="003D44AE">
            <w:pPr>
              <w:pStyle w:val="Compact"/>
              <w:jc w:val="center"/>
            </w:pPr>
            <w:r>
              <w:t>Quadrat average</w:t>
            </w:r>
          </w:p>
        </w:tc>
      </w:tr>
      <w:tr w:rsidR="00914D0D" w14:paraId="490E6859" w14:textId="77777777" w:rsidTr="003D44AE">
        <w:trPr>
          <w:jc w:val="center"/>
        </w:trPr>
        <w:tc>
          <w:tcPr>
            <w:tcW w:w="0" w:type="auto"/>
          </w:tcPr>
          <w:p w14:paraId="6627D48E" w14:textId="77777777" w:rsidR="00914D0D" w:rsidRDefault="00E77225" w:rsidP="003D44AE">
            <w:pPr>
              <w:pStyle w:val="Compact"/>
              <w:jc w:val="both"/>
            </w:pPr>
            <w:r>
              <w:t>Annual ecosystem services</w:t>
            </w:r>
          </w:p>
        </w:tc>
        <w:tc>
          <w:tcPr>
            <w:tcW w:w="0" w:type="auto"/>
          </w:tcPr>
          <w:p w14:paraId="21124665" w14:textId="77777777" w:rsidR="00914D0D" w:rsidRDefault="00E77225" w:rsidP="003D44AE">
            <w:pPr>
              <w:pStyle w:val="Compact"/>
              <w:jc w:val="right"/>
            </w:pPr>
            <w:r>
              <w:t>4,285</w:t>
            </w:r>
          </w:p>
        </w:tc>
        <w:tc>
          <w:tcPr>
            <w:tcW w:w="0" w:type="auto"/>
          </w:tcPr>
          <w:p w14:paraId="55235F5D" w14:textId="77777777" w:rsidR="00914D0D" w:rsidRDefault="00E77225" w:rsidP="003D44AE">
            <w:pPr>
              <w:pStyle w:val="Compact"/>
              <w:jc w:val="right"/>
            </w:pPr>
            <w:r>
              <w:t>28</w:t>
            </w:r>
          </w:p>
        </w:tc>
      </w:tr>
      <w:tr w:rsidR="00914D0D" w14:paraId="7E4C83FF" w14:textId="77777777" w:rsidTr="003D44AE">
        <w:trPr>
          <w:jc w:val="center"/>
        </w:trPr>
        <w:tc>
          <w:tcPr>
            <w:tcW w:w="0" w:type="auto"/>
          </w:tcPr>
          <w:p w14:paraId="48C5F7F2" w14:textId="77777777" w:rsidR="00914D0D" w:rsidRDefault="00E77225" w:rsidP="003D44AE">
            <w:pPr>
              <w:pStyle w:val="Compact"/>
              <w:jc w:val="both"/>
            </w:pPr>
            <w:r>
              <w:t>Carbon storage</w:t>
            </w:r>
          </w:p>
        </w:tc>
        <w:tc>
          <w:tcPr>
            <w:tcW w:w="0" w:type="auto"/>
          </w:tcPr>
          <w:p w14:paraId="6DC5E20B" w14:textId="77777777" w:rsidR="00914D0D" w:rsidRDefault="00E77225" w:rsidP="003D44AE">
            <w:pPr>
              <w:pStyle w:val="Compact"/>
              <w:jc w:val="right"/>
            </w:pPr>
            <w:r>
              <w:t>14,339</w:t>
            </w:r>
          </w:p>
        </w:tc>
        <w:tc>
          <w:tcPr>
            <w:tcW w:w="0" w:type="auto"/>
          </w:tcPr>
          <w:p w14:paraId="5B7DA5BF" w14:textId="77777777" w:rsidR="00914D0D" w:rsidRDefault="00E77225" w:rsidP="003D44AE">
            <w:pPr>
              <w:pStyle w:val="Compact"/>
              <w:jc w:val="right"/>
            </w:pPr>
            <w:r>
              <w:t>95</w:t>
            </w:r>
          </w:p>
        </w:tc>
      </w:tr>
      <w:tr w:rsidR="00914D0D" w14:paraId="146298EB" w14:textId="77777777" w:rsidTr="003D44AE">
        <w:trPr>
          <w:jc w:val="center"/>
        </w:trPr>
        <w:tc>
          <w:tcPr>
            <w:tcW w:w="0" w:type="auto"/>
            <w:tcBorders>
              <w:bottom w:val="single" w:sz="4" w:space="0" w:color="auto"/>
            </w:tcBorders>
          </w:tcPr>
          <w:p w14:paraId="5870D841" w14:textId="77777777" w:rsidR="00914D0D" w:rsidRDefault="00E77225" w:rsidP="003D44AE">
            <w:pPr>
              <w:pStyle w:val="Compact"/>
              <w:jc w:val="both"/>
            </w:pPr>
            <w:r>
              <w:t>Compesa</w:t>
            </w:r>
            <w:r>
              <w:t>tory value</w:t>
            </w:r>
          </w:p>
        </w:tc>
        <w:tc>
          <w:tcPr>
            <w:tcW w:w="0" w:type="auto"/>
            <w:tcBorders>
              <w:bottom w:val="single" w:sz="4" w:space="0" w:color="auto"/>
            </w:tcBorders>
          </w:tcPr>
          <w:p w14:paraId="7C2510F3" w14:textId="77777777" w:rsidR="00914D0D" w:rsidRDefault="00E77225" w:rsidP="003D44AE">
            <w:pPr>
              <w:pStyle w:val="Compact"/>
              <w:jc w:val="right"/>
            </w:pPr>
            <w:r>
              <w:t>518,712</w:t>
            </w:r>
          </w:p>
        </w:tc>
        <w:tc>
          <w:tcPr>
            <w:tcW w:w="0" w:type="auto"/>
            <w:tcBorders>
              <w:bottom w:val="single" w:sz="4" w:space="0" w:color="auto"/>
            </w:tcBorders>
          </w:tcPr>
          <w:p w14:paraId="3508243A" w14:textId="77777777" w:rsidR="00914D0D" w:rsidRDefault="00E77225" w:rsidP="003D44AE">
            <w:pPr>
              <w:pStyle w:val="Compact"/>
              <w:jc w:val="right"/>
            </w:pPr>
            <w:r>
              <w:t>3,435</w:t>
            </w:r>
          </w:p>
        </w:tc>
      </w:tr>
    </w:tbl>
    <w:p w14:paraId="25912CAA" w14:textId="77777777" w:rsidR="00914D0D" w:rsidRDefault="00E77225" w:rsidP="003D44AE">
      <w:pPr>
        <w:pStyle w:val="BodyText"/>
        <w:jc w:val="both"/>
      </w:pPr>
      <w:r>
        <w:t xml:space="preserve">Regarding the composition of annual ecosystem service values (Figure 3),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removal value account for about half of the total value, followed by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w:r>
        <w:t xml:space="preserve">removal, carbon sequestration, and runoff reduction value. While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removal and </w:t>
      </w:r>
      <m:oMath>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removal values only account for a small fraction of the total annual ecosystem service value.</w:t>
      </w:r>
    </w:p>
    <w:p w14:paraId="4D6B3F90" w14:textId="11E97B2C" w:rsidR="00914D0D" w:rsidRDefault="003D44AE" w:rsidP="003D44AE">
      <w:pPr>
        <w:pStyle w:val="CaptionedFigure"/>
        <w:jc w:val="both"/>
      </w:pPr>
      <w:r>
        <w:rPr>
          <w:noProof/>
        </w:rPr>
        <w:lastRenderedPageBreak/>
        <w:drawing>
          <wp:inline distT="0" distB="0" distL="0" distR="0" wp14:anchorId="452712A9" wp14:editId="6334513F">
            <wp:extent cx="5486400" cy="4261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261485"/>
                    </a:xfrm>
                    <a:prstGeom prst="rect">
                      <a:avLst/>
                    </a:prstGeom>
                  </pic:spPr>
                </pic:pic>
              </a:graphicData>
            </a:graphic>
          </wp:inline>
        </w:drawing>
      </w:r>
    </w:p>
    <w:p w14:paraId="26724DEE" w14:textId="77777777" w:rsidR="00914D0D" w:rsidRDefault="00E77225" w:rsidP="003D44AE">
      <w:pPr>
        <w:pStyle w:val="ImageCaption"/>
        <w:jc w:val="both"/>
      </w:pPr>
      <w:commentRangeStart w:id="10"/>
      <w:r>
        <w:t>Figure 3: Valuation of quadrat ecosystem services across land use class</w:t>
      </w:r>
      <w:r>
        <w:t>es</w:t>
      </w:r>
      <w:commentRangeEnd w:id="10"/>
      <w:r w:rsidR="003D44AE">
        <w:rPr>
          <w:rStyle w:val="CommentReference"/>
          <w:i w:val="0"/>
        </w:rPr>
        <w:commentReference w:id="10"/>
      </w:r>
    </w:p>
    <w:p w14:paraId="0A247C68" w14:textId="77777777" w:rsidR="00914D0D" w:rsidRDefault="00E77225" w:rsidP="003D44AE">
      <w:pPr>
        <w:pStyle w:val="BodyText"/>
        <w:jc w:val="both"/>
      </w:pPr>
      <w:r>
        <w:t>But it should be noted that, though ecosystem services valuation can be used for inter-ecosystem-services comparison, the monetary value varies with valuation method. Thus researchers should pay attention to indicators of ecosystem services as well, rat</w:t>
      </w:r>
      <w:r>
        <w:t xml:space="preserve">her than focusing on valuation only. </w:t>
      </w:r>
    </w:p>
    <w:p w14:paraId="34C54633" w14:textId="77777777" w:rsidR="00914D0D" w:rsidRDefault="00E77225" w:rsidP="003D44AE">
      <w:pPr>
        <w:pStyle w:val="Heading2"/>
        <w:jc w:val="both"/>
      </w:pPr>
      <w:bookmarkStart w:id="11" w:name="Xa3826810163dbe0dd8d3163ca312af287d05134"/>
      <w:bookmarkEnd w:id="9"/>
      <w:r>
        <w:t>Quadrat ecosystem services across land use</w:t>
      </w:r>
    </w:p>
    <w:p w14:paraId="0F22D0A5" w14:textId="77777777" w:rsidR="00914D0D" w:rsidRDefault="00E77225" w:rsidP="003D44AE">
      <w:pPr>
        <w:pStyle w:val="FirstParagraph"/>
        <w:jc w:val="both"/>
      </w:pPr>
      <w:r>
        <w:t>No significant difference was found for quadrat ecosystem services across land use classes (Figure 4(a)).</w:t>
      </w:r>
    </w:p>
    <w:p w14:paraId="45AB13AC" w14:textId="4AE052BB" w:rsidR="00914D0D" w:rsidRDefault="003D44AE" w:rsidP="003D44AE">
      <w:pPr>
        <w:pStyle w:val="CaptionedFigure"/>
        <w:jc w:val="both"/>
      </w:pPr>
      <w:r>
        <w:rPr>
          <w:noProof/>
        </w:rPr>
        <w:lastRenderedPageBreak/>
        <w:drawing>
          <wp:inline distT="0" distB="0" distL="0" distR="0" wp14:anchorId="1AD2BC0F" wp14:editId="3FFBA245">
            <wp:extent cx="5486400" cy="3587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87115"/>
                    </a:xfrm>
                    <a:prstGeom prst="rect">
                      <a:avLst/>
                    </a:prstGeom>
                  </pic:spPr>
                </pic:pic>
              </a:graphicData>
            </a:graphic>
          </wp:inline>
        </w:drawing>
      </w:r>
    </w:p>
    <w:p w14:paraId="4F1E7D22" w14:textId="77777777" w:rsidR="00914D0D" w:rsidRDefault="00E77225" w:rsidP="003D44AE">
      <w:pPr>
        <w:pStyle w:val="ImageCaption"/>
        <w:jc w:val="both"/>
      </w:pPr>
      <w:r>
        <w:t>Figure 4: Comparison of ecosystem services across land classes: (a)</w:t>
      </w:r>
      <w:r>
        <w:t xml:space="preserve"> quadrat ecosystem services across land use classes; (b) single-tree ecosystem services across land use classes; (c) single-tree ecosystem services across onsite land cover classes. The units for the ecosystem services are: kg for carbon sequestration, g f</w:t>
      </w:r>
      <w:r>
        <w:t>or air pollutants removal, m3 for runoff reduction.</w:t>
      </w:r>
    </w:p>
    <w:p w14:paraId="5FB35E69" w14:textId="77777777" w:rsidR="00914D0D" w:rsidRDefault="00E77225" w:rsidP="003D44AE">
      <w:pPr>
        <w:pStyle w:val="Heading2"/>
        <w:jc w:val="both"/>
      </w:pPr>
      <w:bookmarkStart w:id="12" w:name="Xfe19bab7d1100585e945c9454198c5c97e7b797"/>
      <w:bookmarkEnd w:id="11"/>
      <w:r>
        <w:t>Single-tree ecosystem services across land use and onsite land cover</w:t>
      </w:r>
    </w:p>
    <w:p w14:paraId="7F39D2E8" w14:textId="77777777" w:rsidR="00914D0D" w:rsidRDefault="00E77225" w:rsidP="003D44AE">
      <w:pPr>
        <w:pStyle w:val="FirstParagraph"/>
        <w:jc w:val="both"/>
      </w:pPr>
      <w:r>
        <w:t xml:space="preserve">Different from quadrat ecosystem services, the differences for all the ecosystem services at single-tree level across land use classes </w:t>
      </w:r>
      <w:r>
        <w:t>(Figure 4(b)) are significant; so are those across onsite land cover classes (Figure 4(c)). Post hoc comparison for land use indicates that the single-tree carbon sequestration in Industrial zone is higher than that in Other residential zone (</w:t>
      </w:r>
      <w:r>
        <w:rPr>
          <w:i/>
          <w:iCs/>
        </w:rPr>
        <w:t>p</w:t>
      </w:r>
      <w:r>
        <w:t xml:space="preserve">&lt;0.05), and </w:t>
      </w:r>
      <w:r>
        <w:t>higher in Other residential zone than that in Low-rise residential zone (</w:t>
      </w:r>
      <w:r>
        <w:rPr>
          <w:i/>
          <w:iCs/>
        </w:rPr>
        <w:t>p</w:t>
      </w:r>
      <w:r>
        <w:t>&lt;0.01). Trees in Other residential zone have higher air pollutants removal and runoff reduction than those in some other zones like Neighborhood commercial zone, High-rise residentia</w:t>
      </w:r>
      <w:r>
        <w:t>l zone, and low-rise residential zone. From the perspective of onsite land cover, the trees in vacant area have higher value in annual ecosystem services overall.</w:t>
      </w:r>
    </w:p>
    <w:p w14:paraId="685D1CA5" w14:textId="77777777" w:rsidR="00914D0D" w:rsidRDefault="00E77225" w:rsidP="003D44AE">
      <w:pPr>
        <w:pStyle w:val="BodyText"/>
        <w:jc w:val="both"/>
      </w:pPr>
      <w:r>
        <w:t xml:space="preserve">The degree of freedom, </w:t>
      </w:r>
      <w:r>
        <w:rPr>
          <w:i/>
          <w:iCs/>
        </w:rPr>
        <w:t>F</w:t>
      </w:r>
      <w:r>
        <w:t xml:space="preserve"> value and </w:t>
      </w:r>
      <w:r>
        <w:rPr>
          <w:i/>
          <w:iCs/>
        </w:rPr>
        <w:t>p</w:t>
      </w:r>
      <w:r>
        <w:t xml:space="preserve"> value for test of interaction effects of land use classe</w:t>
      </w:r>
      <w:r>
        <w:t>s and onsite land cover classes for single-tree ecosystem services are presented in Table 3. The interaction effect are significant, as are main effect of land use and main effect of onsite land cover for all the ecosystem services at sing-tree level.</w:t>
      </w:r>
    </w:p>
    <w:p w14:paraId="5720C446" w14:textId="77777777" w:rsidR="00914D0D" w:rsidRDefault="00E77225" w:rsidP="003D44AE">
      <w:pPr>
        <w:pStyle w:val="TableCaption"/>
        <w:jc w:val="both"/>
      </w:pPr>
      <w:r>
        <w:lastRenderedPageBreak/>
        <w:t>Table 3: ANOVA with interaction effects of land use classes and onsite land cover classes on ecosystem services</w:t>
      </w:r>
    </w:p>
    <w:tbl>
      <w:tblPr>
        <w:tblStyle w:val="Table"/>
        <w:tblW w:w="0" w:type="pct"/>
        <w:jc w:val="center"/>
        <w:tblLook w:val="0020" w:firstRow="1" w:lastRow="0" w:firstColumn="0" w:lastColumn="0" w:noHBand="0" w:noVBand="0"/>
      </w:tblPr>
      <w:tblGrid>
        <w:gridCol w:w="2395"/>
        <w:gridCol w:w="1971"/>
        <w:gridCol w:w="482"/>
        <w:gridCol w:w="951"/>
        <w:gridCol w:w="930"/>
      </w:tblGrid>
      <w:tr w:rsidR="00914D0D" w14:paraId="259D4C0C" w14:textId="77777777" w:rsidTr="003D44AE">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auto"/>
            </w:tcBorders>
          </w:tcPr>
          <w:p w14:paraId="1F16A592" w14:textId="77777777" w:rsidR="00914D0D" w:rsidRDefault="00E77225" w:rsidP="003D44AE">
            <w:pPr>
              <w:pStyle w:val="Compact"/>
              <w:jc w:val="both"/>
            </w:pPr>
            <w:r>
              <w:t>Ecosystem Service</w:t>
            </w:r>
          </w:p>
        </w:tc>
        <w:tc>
          <w:tcPr>
            <w:tcW w:w="0" w:type="auto"/>
            <w:tcBorders>
              <w:top w:val="single" w:sz="4" w:space="0" w:color="auto"/>
            </w:tcBorders>
          </w:tcPr>
          <w:p w14:paraId="42DA9A58" w14:textId="77777777" w:rsidR="00914D0D" w:rsidRDefault="00E77225" w:rsidP="003D44AE">
            <w:pPr>
              <w:pStyle w:val="Compact"/>
              <w:jc w:val="both"/>
            </w:pPr>
            <w:r>
              <w:t>Factor</w:t>
            </w:r>
          </w:p>
        </w:tc>
        <w:tc>
          <w:tcPr>
            <w:tcW w:w="0" w:type="auto"/>
            <w:tcBorders>
              <w:top w:val="single" w:sz="4" w:space="0" w:color="auto"/>
            </w:tcBorders>
          </w:tcPr>
          <w:p w14:paraId="576006AC" w14:textId="77777777" w:rsidR="00914D0D" w:rsidRDefault="00E77225" w:rsidP="003D44AE">
            <w:pPr>
              <w:pStyle w:val="Compact"/>
              <w:jc w:val="both"/>
            </w:pPr>
            <w:r>
              <w:t>Df</w:t>
            </w:r>
          </w:p>
        </w:tc>
        <w:tc>
          <w:tcPr>
            <w:tcW w:w="0" w:type="auto"/>
            <w:tcBorders>
              <w:top w:val="single" w:sz="4" w:space="0" w:color="auto"/>
            </w:tcBorders>
          </w:tcPr>
          <w:p w14:paraId="19ECD31F" w14:textId="77777777" w:rsidR="00914D0D" w:rsidRDefault="00E77225" w:rsidP="003D44AE">
            <w:pPr>
              <w:pStyle w:val="Compact"/>
              <w:jc w:val="both"/>
            </w:pPr>
            <w:r>
              <w:t>F value</w:t>
            </w:r>
          </w:p>
        </w:tc>
        <w:tc>
          <w:tcPr>
            <w:tcW w:w="0" w:type="auto"/>
            <w:tcBorders>
              <w:top w:val="single" w:sz="4" w:space="0" w:color="auto"/>
            </w:tcBorders>
          </w:tcPr>
          <w:p w14:paraId="2D6C0F8C" w14:textId="77777777" w:rsidR="00914D0D" w:rsidRDefault="00E77225" w:rsidP="003D44AE">
            <w:pPr>
              <w:pStyle w:val="Compact"/>
              <w:jc w:val="both"/>
            </w:pPr>
            <w:r>
              <w:t>Pr(&gt;F)</w:t>
            </w:r>
          </w:p>
        </w:tc>
      </w:tr>
      <w:tr w:rsidR="00914D0D" w14:paraId="45AFD577" w14:textId="77777777" w:rsidTr="003D44AE">
        <w:trPr>
          <w:jc w:val="center"/>
        </w:trPr>
        <w:tc>
          <w:tcPr>
            <w:tcW w:w="0" w:type="auto"/>
          </w:tcPr>
          <w:p w14:paraId="1E7B2833" w14:textId="77777777" w:rsidR="00914D0D" w:rsidRDefault="00E77225" w:rsidP="003D44AE">
            <w:pPr>
              <w:pStyle w:val="Compact"/>
              <w:jc w:val="both"/>
            </w:pPr>
            <w:r>
              <w:t>carbon sequestration</w:t>
            </w:r>
          </w:p>
        </w:tc>
        <w:tc>
          <w:tcPr>
            <w:tcW w:w="0" w:type="auto"/>
          </w:tcPr>
          <w:p w14:paraId="75C1FD13" w14:textId="77777777" w:rsidR="00914D0D" w:rsidRDefault="00E77225" w:rsidP="003D44AE">
            <w:pPr>
              <w:pStyle w:val="Compact"/>
              <w:jc w:val="both"/>
            </w:pPr>
            <w:r>
              <w:t>land use</w:t>
            </w:r>
          </w:p>
        </w:tc>
        <w:tc>
          <w:tcPr>
            <w:tcW w:w="0" w:type="auto"/>
          </w:tcPr>
          <w:p w14:paraId="2E16A5DC" w14:textId="77777777" w:rsidR="00914D0D" w:rsidRDefault="00E77225" w:rsidP="003D44AE">
            <w:pPr>
              <w:pStyle w:val="Compact"/>
              <w:jc w:val="both"/>
            </w:pPr>
            <w:r>
              <w:t>5</w:t>
            </w:r>
          </w:p>
        </w:tc>
        <w:tc>
          <w:tcPr>
            <w:tcW w:w="0" w:type="auto"/>
          </w:tcPr>
          <w:p w14:paraId="35E5A863" w14:textId="77777777" w:rsidR="00914D0D" w:rsidRDefault="00E77225" w:rsidP="003D44AE">
            <w:pPr>
              <w:pStyle w:val="Compact"/>
              <w:jc w:val="both"/>
            </w:pPr>
            <w:r>
              <w:t>5.76</w:t>
            </w:r>
          </w:p>
        </w:tc>
        <w:tc>
          <w:tcPr>
            <w:tcW w:w="0" w:type="auto"/>
          </w:tcPr>
          <w:p w14:paraId="4679B209" w14:textId="77777777" w:rsidR="00914D0D" w:rsidRDefault="00E77225" w:rsidP="003D44AE">
            <w:pPr>
              <w:pStyle w:val="Compact"/>
              <w:jc w:val="both"/>
            </w:pPr>
            <w:r>
              <w:t>&lt;0.001</w:t>
            </w:r>
          </w:p>
        </w:tc>
      </w:tr>
      <w:tr w:rsidR="00914D0D" w14:paraId="5F7AA428" w14:textId="77777777" w:rsidTr="003D44AE">
        <w:trPr>
          <w:jc w:val="center"/>
        </w:trPr>
        <w:tc>
          <w:tcPr>
            <w:tcW w:w="0" w:type="auto"/>
          </w:tcPr>
          <w:p w14:paraId="059D1A0A" w14:textId="77777777" w:rsidR="00914D0D" w:rsidRDefault="00914D0D" w:rsidP="003D44AE">
            <w:pPr>
              <w:jc w:val="both"/>
            </w:pPr>
          </w:p>
        </w:tc>
        <w:tc>
          <w:tcPr>
            <w:tcW w:w="0" w:type="auto"/>
          </w:tcPr>
          <w:p w14:paraId="76FCA302" w14:textId="77777777" w:rsidR="00914D0D" w:rsidRDefault="00E77225" w:rsidP="003D44AE">
            <w:pPr>
              <w:pStyle w:val="Compact"/>
              <w:jc w:val="both"/>
            </w:pPr>
            <w:r>
              <w:t>onsite land cover</w:t>
            </w:r>
          </w:p>
        </w:tc>
        <w:tc>
          <w:tcPr>
            <w:tcW w:w="0" w:type="auto"/>
          </w:tcPr>
          <w:p w14:paraId="55067877" w14:textId="77777777" w:rsidR="00914D0D" w:rsidRDefault="00E77225" w:rsidP="003D44AE">
            <w:pPr>
              <w:pStyle w:val="Compact"/>
              <w:jc w:val="both"/>
            </w:pPr>
            <w:r>
              <w:t>6</w:t>
            </w:r>
          </w:p>
        </w:tc>
        <w:tc>
          <w:tcPr>
            <w:tcW w:w="0" w:type="auto"/>
          </w:tcPr>
          <w:p w14:paraId="74484711" w14:textId="77777777" w:rsidR="00914D0D" w:rsidRDefault="00E77225" w:rsidP="003D44AE">
            <w:pPr>
              <w:pStyle w:val="Compact"/>
              <w:jc w:val="both"/>
            </w:pPr>
            <w:r>
              <w:t>46.15</w:t>
            </w:r>
          </w:p>
        </w:tc>
        <w:tc>
          <w:tcPr>
            <w:tcW w:w="0" w:type="auto"/>
          </w:tcPr>
          <w:p w14:paraId="13DB4F37" w14:textId="77777777" w:rsidR="00914D0D" w:rsidRDefault="00E77225" w:rsidP="003D44AE">
            <w:pPr>
              <w:pStyle w:val="Compact"/>
              <w:jc w:val="both"/>
            </w:pPr>
            <w:r>
              <w:t>&lt;0.001</w:t>
            </w:r>
          </w:p>
        </w:tc>
      </w:tr>
      <w:tr w:rsidR="00914D0D" w14:paraId="682E7741" w14:textId="77777777" w:rsidTr="003D44AE">
        <w:trPr>
          <w:jc w:val="center"/>
        </w:trPr>
        <w:tc>
          <w:tcPr>
            <w:tcW w:w="0" w:type="auto"/>
          </w:tcPr>
          <w:p w14:paraId="7EF86EB1" w14:textId="77777777" w:rsidR="00914D0D" w:rsidRDefault="00914D0D" w:rsidP="003D44AE">
            <w:pPr>
              <w:jc w:val="both"/>
            </w:pPr>
          </w:p>
        </w:tc>
        <w:tc>
          <w:tcPr>
            <w:tcW w:w="0" w:type="auto"/>
          </w:tcPr>
          <w:p w14:paraId="1BBB662D" w14:textId="77777777" w:rsidR="00914D0D" w:rsidRDefault="00E77225" w:rsidP="003D44AE">
            <w:pPr>
              <w:pStyle w:val="Compact"/>
              <w:jc w:val="both"/>
            </w:pPr>
            <w:r>
              <w:t>interaction</w:t>
            </w:r>
          </w:p>
        </w:tc>
        <w:tc>
          <w:tcPr>
            <w:tcW w:w="0" w:type="auto"/>
          </w:tcPr>
          <w:p w14:paraId="7F4B9925" w14:textId="77777777" w:rsidR="00914D0D" w:rsidRDefault="00E77225" w:rsidP="003D44AE">
            <w:pPr>
              <w:pStyle w:val="Compact"/>
              <w:jc w:val="both"/>
            </w:pPr>
            <w:r>
              <w:t>17</w:t>
            </w:r>
          </w:p>
        </w:tc>
        <w:tc>
          <w:tcPr>
            <w:tcW w:w="0" w:type="auto"/>
          </w:tcPr>
          <w:p w14:paraId="123F279D" w14:textId="77777777" w:rsidR="00914D0D" w:rsidRDefault="00E77225" w:rsidP="003D44AE">
            <w:pPr>
              <w:pStyle w:val="Compact"/>
              <w:jc w:val="both"/>
            </w:pPr>
            <w:r>
              <w:t>5.17</w:t>
            </w:r>
          </w:p>
        </w:tc>
        <w:tc>
          <w:tcPr>
            <w:tcW w:w="0" w:type="auto"/>
          </w:tcPr>
          <w:p w14:paraId="1BDF7F97" w14:textId="77777777" w:rsidR="00914D0D" w:rsidRDefault="00E77225" w:rsidP="003D44AE">
            <w:pPr>
              <w:pStyle w:val="Compact"/>
              <w:jc w:val="both"/>
            </w:pPr>
            <w:r>
              <w:t>&lt;0.001</w:t>
            </w:r>
          </w:p>
        </w:tc>
      </w:tr>
      <w:tr w:rsidR="00914D0D" w14:paraId="59660D07" w14:textId="77777777" w:rsidTr="003D44AE">
        <w:trPr>
          <w:jc w:val="center"/>
        </w:trPr>
        <w:tc>
          <w:tcPr>
            <w:tcW w:w="0" w:type="auto"/>
          </w:tcPr>
          <w:p w14:paraId="59A1E9AE" w14:textId="77777777" w:rsidR="00914D0D" w:rsidRDefault="00E77225" w:rsidP="003D44AE">
            <w:pPr>
              <w:pStyle w:val="Compact"/>
              <w:jc w:val="both"/>
            </w:pPr>
            <w:r>
              <w:t>NO2 removal</w:t>
            </w:r>
          </w:p>
        </w:tc>
        <w:tc>
          <w:tcPr>
            <w:tcW w:w="0" w:type="auto"/>
          </w:tcPr>
          <w:p w14:paraId="338E95B9" w14:textId="77777777" w:rsidR="00914D0D" w:rsidRDefault="00E77225" w:rsidP="003D44AE">
            <w:pPr>
              <w:pStyle w:val="Compact"/>
              <w:jc w:val="both"/>
            </w:pPr>
            <w:r>
              <w:t>land use</w:t>
            </w:r>
          </w:p>
        </w:tc>
        <w:tc>
          <w:tcPr>
            <w:tcW w:w="0" w:type="auto"/>
          </w:tcPr>
          <w:p w14:paraId="0012A810" w14:textId="77777777" w:rsidR="00914D0D" w:rsidRDefault="00E77225" w:rsidP="003D44AE">
            <w:pPr>
              <w:pStyle w:val="Compact"/>
              <w:jc w:val="both"/>
            </w:pPr>
            <w:r>
              <w:t>5</w:t>
            </w:r>
          </w:p>
        </w:tc>
        <w:tc>
          <w:tcPr>
            <w:tcW w:w="0" w:type="auto"/>
          </w:tcPr>
          <w:p w14:paraId="66C616B9" w14:textId="77777777" w:rsidR="00914D0D" w:rsidRDefault="00E77225" w:rsidP="003D44AE">
            <w:pPr>
              <w:pStyle w:val="Compact"/>
              <w:jc w:val="both"/>
            </w:pPr>
            <w:r>
              <w:t>8.50</w:t>
            </w:r>
          </w:p>
        </w:tc>
        <w:tc>
          <w:tcPr>
            <w:tcW w:w="0" w:type="auto"/>
          </w:tcPr>
          <w:p w14:paraId="586297CA" w14:textId="77777777" w:rsidR="00914D0D" w:rsidRDefault="00E77225" w:rsidP="003D44AE">
            <w:pPr>
              <w:pStyle w:val="Compact"/>
              <w:jc w:val="both"/>
            </w:pPr>
            <w:r>
              <w:t>&lt;0.001</w:t>
            </w:r>
          </w:p>
        </w:tc>
      </w:tr>
      <w:tr w:rsidR="00914D0D" w14:paraId="5B0C2E94" w14:textId="77777777" w:rsidTr="003D44AE">
        <w:trPr>
          <w:jc w:val="center"/>
        </w:trPr>
        <w:tc>
          <w:tcPr>
            <w:tcW w:w="0" w:type="auto"/>
          </w:tcPr>
          <w:p w14:paraId="3B0EADEB" w14:textId="77777777" w:rsidR="00914D0D" w:rsidRDefault="00914D0D" w:rsidP="003D44AE">
            <w:pPr>
              <w:jc w:val="both"/>
            </w:pPr>
          </w:p>
        </w:tc>
        <w:tc>
          <w:tcPr>
            <w:tcW w:w="0" w:type="auto"/>
          </w:tcPr>
          <w:p w14:paraId="3D32EB2F" w14:textId="77777777" w:rsidR="00914D0D" w:rsidRDefault="00E77225" w:rsidP="003D44AE">
            <w:pPr>
              <w:pStyle w:val="Compact"/>
              <w:jc w:val="both"/>
            </w:pPr>
            <w:r>
              <w:t>onsite land cover</w:t>
            </w:r>
          </w:p>
        </w:tc>
        <w:tc>
          <w:tcPr>
            <w:tcW w:w="0" w:type="auto"/>
          </w:tcPr>
          <w:p w14:paraId="6575499B" w14:textId="77777777" w:rsidR="00914D0D" w:rsidRDefault="00E77225" w:rsidP="003D44AE">
            <w:pPr>
              <w:pStyle w:val="Compact"/>
              <w:jc w:val="both"/>
            </w:pPr>
            <w:r>
              <w:t>6</w:t>
            </w:r>
          </w:p>
        </w:tc>
        <w:tc>
          <w:tcPr>
            <w:tcW w:w="0" w:type="auto"/>
          </w:tcPr>
          <w:p w14:paraId="5F95AFD9" w14:textId="77777777" w:rsidR="00914D0D" w:rsidRDefault="00E77225" w:rsidP="003D44AE">
            <w:pPr>
              <w:pStyle w:val="Compact"/>
              <w:jc w:val="both"/>
            </w:pPr>
            <w:r>
              <w:t>34.25</w:t>
            </w:r>
          </w:p>
        </w:tc>
        <w:tc>
          <w:tcPr>
            <w:tcW w:w="0" w:type="auto"/>
          </w:tcPr>
          <w:p w14:paraId="0C88114B" w14:textId="77777777" w:rsidR="00914D0D" w:rsidRDefault="00E77225" w:rsidP="003D44AE">
            <w:pPr>
              <w:pStyle w:val="Compact"/>
              <w:jc w:val="both"/>
            </w:pPr>
            <w:r>
              <w:t>&lt;0.001</w:t>
            </w:r>
          </w:p>
        </w:tc>
      </w:tr>
      <w:tr w:rsidR="00914D0D" w14:paraId="67612C5C" w14:textId="77777777" w:rsidTr="003D44AE">
        <w:trPr>
          <w:jc w:val="center"/>
        </w:trPr>
        <w:tc>
          <w:tcPr>
            <w:tcW w:w="0" w:type="auto"/>
          </w:tcPr>
          <w:p w14:paraId="7D63D6C7" w14:textId="77777777" w:rsidR="00914D0D" w:rsidRDefault="00914D0D" w:rsidP="003D44AE">
            <w:pPr>
              <w:jc w:val="both"/>
            </w:pPr>
          </w:p>
        </w:tc>
        <w:tc>
          <w:tcPr>
            <w:tcW w:w="0" w:type="auto"/>
          </w:tcPr>
          <w:p w14:paraId="7A338986" w14:textId="77777777" w:rsidR="00914D0D" w:rsidRDefault="00E77225" w:rsidP="003D44AE">
            <w:pPr>
              <w:pStyle w:val="Compact"/>
              <w:jc w:val="both"/>
            </w:pPr>
            <w:r>
              <w:t>interaction</w:t>
            </w:r>
          </w:p>
        </w:tc>
        <w:tc>
          <w:tcPr>
            <w:tcW w:w="0" w:type="auto"/>
          </w:tcPr>
          <w:p w14:paraId="262FD5FD" w14:textId="77777777" w:rsidR="00914D0D" w:rsidRDefault="00E77225" w:rsidP="003D44AE">
            <w:pPr>
              <w:pStyle w:val="Compact"/>
              <w:jc w:val="both"/>
            </w:pPr>
            <w:r>
              <w:t>17</w:t>
            </w:r>
          </w:p>
        </w:tc>
        <w:tc>
          <w:tcPr>
            <w:tcW w:w="0" w:type="auto"/>
          </w:tcPr>
          <w:p w14:paraId="14310B94" w14:textId="77777777" w:rsidR="00914D0D" w:rsidRDefault="00E77225" w:rsidP="003D44AE">
            <w:pPr>
              <w:pStyle w:val="Compact"/>
              <w:jc w:val="both"/>
            </w:pPr>
            <w:r>
              <w:t>5.09</w:t>
            </w:r>
          </w:p>
        </w:tc>
        <w:tc>
          <w:tcPr>
            <w:tcW w:w="0" w:type="auto"/>
          </w:tcPr>
          <w:p w14:paraId="3895D6E0" w14:textId="77777777" w:rsidR="00914D0D" w:rsidRDefault="00E77225" w:rsidP="003D44AE">
            <w:pPr>
              <w:pStyle w:val="Compact"/>
              <w:jc w:val="both"/>
            </w:pPr>
            <w:r>
              <w:t>&lt;0.001</w:t>
            </w:r>
          </w:p>
        </w:tc>
      </w:tr>
      <w:tr w:rsidR="00914D0D" w14:paraId="24C7451B" w14:textId="77777777" w:rsidTr="003D44AE">
        <w:trPr>
          <w:jc w:val="center"/>
        </w:trPr>
        <w:tc>
          <w:tcPr>
            <w:tcW w:w="0" w:type="auto"/>
          </w:tcPr>
          <w:p w14:paraId="15EFAF39" w14:textId="77777777" w:rsidR="00914D0D" w:rsidRDefault="00E77225" w:rsidP="003D44AE">
            <w:pPr>
              <w:pStyle w:val="Compact"/>
              <w:jc w:val="both"/>
            </w:pPr>
            <w:r>
              <w:t>O3 removal</w:t>
            </w:r>
          </w:p>
        </w:tc>
        <w:tc>
          <w:tcPr>
            <w:tcW w:w="0" w:type="auto"/>
          </w:tcPr>
          <w:p w14:paraId="2721E378" w14:textId="77777777" w:rsidR="00914D0D" w:rsidRDefault="00E77225" w:rsidP="003D44AE">
            <w:pPr>
              <w:pStyle w:val="Compact"/>
              <w:jc w:val="both"/>
            </w:pPr>
            <w:r>
              <w:t>land use</w:t>
            </w:r>
          </w:p>
        </w:tc>
        <w:tc>
          <w:tcPr>
            <w:tcW w:w="0" w:type="auto"/>
          </w:tcPr>
          <w:p w14:paraId="5A202A30" w14:textId="77777777" w:rsidR="00914D0D" w:rsidRDefault="00E77225" w:rsidP="003D44AE">
            <w:pPr>
              <w:pStyle w:val="Compact"/>
              <w:jc w:val="both"/>
            </w:pPr>
            <w:r>
              <w:t>5</w:t>
            </w:r>
          </w:p>
        </w:tc>
        <w:tc>
          <w:tcPr>
            <w:tcW w:w="0" w:type="auto"/>
          </w:tcPr>
          <w:p w14:paraId="1EFF6B1A" w14:textId="77777777" w:rsidR="00914D0D" w:rsidRDefault="00E77225" w:rsidP="003D44AE">
            <w:pPr>
              <w:pStyle w:val="Compact"/>
              <w:jc w:val="both"/>
            </w:pPr>
            <w:r>
              <w:t>8.53</w:t>
            </w:r>
          </w:p>
        </w:tc>
        <w:tc>
          <w:tcPr>
            <w:tcW w:w="0" w:type="auto"/>
          </w:tcPr>
          <w:p w14:paraId="47BC7AFE" w14:textId="77777777" w:rsidR="00914D0D" w:rsidRDefault="00E77225" w:rsidP="003D44AE">
            <w:pPr>
              <w:pStyle w:val="Compact"/>
              <w:jc w:val="both"/>
            </w:pPr>
            <w:r>
              <w:t>&lt;0.001</w:t>
            </w:r>
          </w:p>
        </w:tc>
      </w:tr>
      <w:tr w:rsidR="00914D0D" w14:paraId="2CEA899D" w14:textId="77777777" w:rsidTr="003D44AE">
        <w:trPr>
          <w:jc w:val="center"/>
        </w:trPr>
        <w:tc>
          <w:tcPr>
            <w:tcW w:w="0" w:type="auto"/>
          </w:tcPr>
          <w:p w14:paraId="0BB2E6B1" w14:textId="77777777" w:rsidR="00914D0D" w:rsidRDefault="00914D0D" w:rsidP="003D44AE">
            <w:pPr>
              <w:jc w:val="both"/>
            </w:pPr>
          </w:p>
        </w:tc>
        <w:tc>
          <w:tcPr>
            <w:tcW w:w="0" w:type="auto"/>
          </w:tcPr>
          <w:p w14:paraId="6948CB85" w14:textId="77777777" w:rsidR="00914D0D" w:rsidRDefault="00E77225" w:rsidP="003D44AE">
            <w:pPr>
              <w:pStyle w:val="Compact"/>
              <w:jc w:val="both"/>
            </w:pPr>
            <w:r>
              <w:t>onsite land cover</w:t>
            </w:r>
          </w:p>
        </w:tc>
        <w:tc>
          <w:tcPr>
            <w:tcW w:w="0" w:type="auto"/>
          </w:tcPr>
          <w:p w14:paraId="28B4A880" w14:textId="77777777" w:rsidR="00914D0D" w:rsidRDefault="00E77225" w:rsidP="003D44AE">
            <w:pPr>
              <w:pStyle w:val="Compact"/>
              <w:jc w:val="both"/>
            </w:pPr>
            <w:r>
              <w:t>6</w:t>
            </w:r>
          </w:p>
        </w:tc>
        <w:tc>
          <w:tcPr>
            <w:tcW w:w="0" w:type="auto"/>
          </w:tcPr>
          <w:p w14:paraId="35B101A7" w14:textId="77777777" w:rsidR="00914D0D" w:rsidRDefault="00E77225" w:rsidP="003D44AE">
            <w:pPr>
              <w:pStyle w:val="Compact"/>
              <w:jc w:val="both"/>
            </w:pPr>
            <w:r>
              <w:t>36.70</w:t>
            </w:r>
          </w:p>
        </w:tc>
        <w:tc>
          <w:tcPr>
            <w:tcW w:w="0" w:type="auto"/>
          </w:tcPr>
          <w:p w14:paraId="629944A0" w14:textId="77777777" w:rsidR="00914D0D" w:rsidRDefault="00E77225" w:rsidP="003D44AE">
            <w:pPr>
              <w:pStyle w:val="Compact"/>
              <w:jc w:val="both"/>
            </w:pPr>
            <w:r>
              <w:t>&lt;0.001</w:t>
            </w:r>
          </w:p>
        </w:tc>
      </w:tr>
      <w:tr w:rsidR="00914D0D" w14:paraId="04DB568D" w14:textId="77777777" w:rsidTr="003D44AE">
        <w:trPr>
          <w:jc w:val="center"/>
        </w:trPr>
        <w:tc>
          <w:tcPr>
            <w:tcW w:w="0" w:type="auto"/>
          </w:tcPr>
          <w:p w14:paraId="3CAE1D8F" w14:textId="77777777" w:rsidR="00914D0D" w:rsidRDefault="00914D0D" w:rsidP="003D44AE">
            <w:pPr>
              <w:jc w:val="both"/>
            </w:pPr>
          </w:p>
        </w:tc>
        <w:tc>
          <w:tcPr>
            <w:tcW w:w="0" w:type="auto"/>
          </w:tcPr>
          <w:p w14:paraId="7EB0C266" w14:textId="77777777" w:rsidR="00914D0D" w:rsidRDefault="00E77225" w:rsidP="003D44AE">
            <w:pPr>
              <w:pStyle w:val="Compact"/>
              <w:jc w:val="both"/>
            </w:pPr>
            <w:r>
              <w:t>interaction</w:t>
            </w:r>
          </w:p>
        </w:tc>
        <w:tc>
          <w:tcPr>
            <w:tcW w:w="0" w:type="auto"/>
          </w:tcPr>
          <w:p w14:paraId="5E1EBFE2" w14:textId="77777777" w:rsidR="00914D0D" w:rsidRDefault="00E77225" w:rsidP="003D44AE">
            <w:pPr>
              <w:pStyle w:val="Compact"/>
              <w:jc w:val="both"/>
            </w:pPr>
            <w:r>
              <w:t>17</w:t>
            </w:r>
          </w:p>
        </w:tc>
        <w:tc>
          <w:tcPr>
            <w:tcW w:w="0" w:type="auto"/>
          </w:tcPr>
          <w:p w14:paraId="5CB4329E" w14:textId="77777777" w:rsidR="00914D0D" w:rsidRDefault="00E77225" w:rsidP="003D44AE">
            <w:pPr>
              <w:pStyle w:val="Compact"/>
              <w:jc w:val="both"/>
            </w:pPr>
            <w:r>
              <w:t>5.22</w:t>
            </w:r>
          </w:p>
        </w:tc>
        <w:tc>
          <w:tcPr>
            <w:tcW w:w="0" w:type="auto"/>
          </w:tcPr>
          <w:p w14:paraId="0806B85C" w14:textId="77777777" w:rsidR="00914D0D" w:rsidRDefault="00E77225" w:rsidP="003D44AE">
            <w:pPr>
              <w:pStyle w:val="Compact"/>
              <w:jc w:val="both"/>
            </w:pPr>
            <w:r>
              <w:t>&lt;0.001</w:t>
            </w:r>
          </w:p>
        </w:tc>
      </w:tr>
      <w:tr w:rsidR="00914D0D" w14:paraId="54CC064E" w14:textId="77777777" w:rsidTr="003D44AE">
        <w:trPr>
          <w:jc w:val="center"/>
        </w:trPr>
        <w:tc>
          <w:tcPr>
            <w:tcW w:w="0" w:type="auto"/>
          </w:tcPr>
          <w:p w14:paraId="6D940A61" w14:textId="77777777" w:rsidR="00914D0D" w:rsidRDefault="00E77225" w:rsidP="003D44AE">
            <w:pPr>
              <w:pStyle w:val="Compact"/>
              <w:jc w:val="both"/>
            </w:pPr>
            <w:r>
              <w:t>PM2.5 removal</w:t>
            </w:r>
          </w:p>
        </w:tc>
        <w:tc>
          <w:tcPr>
            <w:tcW w:w="0" w:type="auto"/>
          </w:tcPr>
          <w:p w14:paraId="635F1D0D" w14:textId="77777777" w:rsidR="00914D0D" w:rsidRDefault="00E77225" w:rsidP="003D44AE">
            <w:pPr>
              <w:pStyle w:val="Compact"/>
              <w:jc w:val="both"/>
            </w:pPr>
            <w:r>
              <w:t>land use</w:t>
            </w:r>
          </w:p>
        </w:tc>
        <w:tc>
          <w:tcPr>
            <w:tcW w:w="0" w:type="auto"/>
          </w:tcPr>
          <w:p w14:paraId="52EA78A1" w14:textId="77777777" w:rsidR="00914D0D" w:rsidRDefault="00E77225" w:rsidP="003D44AE">
            <w:pPr>
              <w:pStyle w:val="Compact"/>
              <w:jc w:val="both"/>
            </w:pPr>
            <w:r>
              <w:t>5</w:t>
            </w:r>
          </w:p>
        </w:tc>
        <w:tc>
          <w:tcPr>
            <w:tcW w:w="0" w:type="auto"/>
          </w:tcPr>
          <w:p w14:paraId="08228A77" w14:textId="77777777" w:rsidR="00914D0D" w:rsidRDefault="00E77225" w:rsidP="003D44AE">
            <w:pPr>
              <w:pStyle w:val="Compact"/>
              <w:jc w:val="both"/>
            </w:pPr>
            <w:r>
              <w:t>8.07</w:t>
            </w:r>
          </w:p>
        </w:tc>
        <w:tc>
          <w:tcPr>
            <w:tcW w:w="0" w:type="auto"/>
          </w:tcPr>
          <w:p w14:paraId="30269FC5" w14:textId="77777777" w:rsidR="00914D0D" w:rsidRDefault="00E77225" w:rsidP="003D44AE">
            <w:pPr>
              <w:pStyle w:val="Compact"/>
              <w:jc w:val="both"/>
            </w:pPr>
            <w:r>
              <w:t>&lt;0.001</w:t>
            </w:r>
          </w:p>
        </w:tc>
      </w:tr>
      <w:tr w:rsidR="00914D0D" w14:paraId="44596A7B" w14:textId="77777777" w:rsidTr="003D44AE">
        <w:trPr>
          <w:jc w:val="center"/>
        </w:trPr>
        <w:tc>
          <w:tcPr>
            <w:tcW w:w="0" w:type="auto"/>
          </w:tcPr>
          <w:p w14:paraId="321AD1F4" w14:textId="77777777" w:rsidR="00914D0D" w:rsidRDefault="00914D0D" w:rsidP="003D44AE">
            <w:pPr>
              <w:jc w:val="both"/>
            </w:pPr>
          </w:p>
        </w:tc>
        <w:tc>
          <w:tcPr>
            <w:tcW w:w="0" w:type="auto"/>
          </w:tcPr>
          <w:p w14:paraId="49F53B88" w14:textId="77777777" w:rsidR="00914D0D" w:rsidRDefault="00E77225" w:rsidP="003D44AE">
            <w:pPr>
              <w:pStyle w:val="Compact"/>
              <w:jc w:val="both"/>
            </w:pPr>
            <w:r>
              <w:t>onsite land cover</w:t>
            </w:r>
          </w:p>
        </w:tc>
        <w:tc>
          <w:tcPr>
            <w:tcW w:w="0" w:type="auto"/>
          </w:tcPr>
          <w:p w14:paraId="5FF9AB98" w14:textId="77777777" w:rsidR="00914D0D" w:rsidRDefault="00E77225" w:rsidP="003D44AE">
            <w:pPr>
              <w:pStyle w:val="Compact"/>
              <w:jc w:val="both"/>
            </w:pPr>
            <w:r>
              <w:t>6</w:t>
            </w:r>
          </w:p>
        </w:tc>
        <w:tc>
          <w:tcPr>
            <w:tcW w:w="0" w:type="auto"/>
          </w:tcPr>
          <w:p w14:paraId="0838C23C" w14:textId="77777777" w:rsidR="00914D0D" w:rsidRDefault="00E77225" w:rsidP="003D44AE">
            <w:pPr>
              <w:pStyle w:val="Compact"/>
              <w:jc w:val="both"/>
            </w:pPr>
            <w:r>
              <w:t>37.90</w:t>
            </w:r>
          </w:p>
        </w:tc>
        <w:tc>
          <w:tcPr>
            <w:tcW w:w="0" w:type="auto"/>
          </w:tcPr>
          <w:p w14:paraId="04802D60" w14:textId="77777777" w:rsidR="00914D0D" w:rsidRDefault="00E77225" w:rsidP="003D44AE">
            <w:pPr>
              <w:pStyle w:val="Compact"/>
              <w:jc w:val="both"/>
            </w:pPr>
            <w:r>
              <w:t>&lt;0.001</w:t>
            </w:r>
          </w:p>
        </w:tc>
      </w:tr>
      <w:tr w:rsidR="00914D0D" w14:paraId="54853DFE" w14:textId="77777777" w:rsidTr="003D44AE">
        <w:trPr>
          <w:jc w:val="center"/>
        </w:trPr>
        <w:tc>
          <w:tcPr>
            <w:tcW w:w="0" w:type="auto"/>
          </w:tcPr>
          <w:p w14:paraId="3556C9C6" w14:textId="77777777" w:rsidR="00914D0D" w:rsidRDefault="00914D0D" w:rsidP="003D44AE">
            <w:pPr>
              <w:jc w:val="both"/>
            </w:pPr>
          </w:p>
        </w:tc>
        <w:tc>
          <w:tcPr>
            <w:tcW w:w="0" w:type="auto"/>
          </w:tcPr>
          <w:p w14:paraId="5D8789A5" w14:textId="77777777" w:rsidR="00914D0D" w:rsidRDefault="00E77225" w:rsidP="003D44AE">
            <w:pPr>
              <w:pStyle w:val="Compact"/>
              <w:jc w:val="both"/>
            </w:pPr>
            <w:r>
              <w:t>interaction</w:t>
            </w:r>
          </w:p>
        </w:tc>
        <w:tc>
          <w:tcPr>
            <w:tcW w:w="0" w:type="auto"/>
          </w:tcPr>
          <w:p w14:paraId="33B85B2E" w14:textId="77777777" w:rsidR="00914D0D" w:rsidRDefault="00E77225" w:rsidP="003D44AE">
            <w:pPr>
              <w:pStyle w:val="Compact"/>
              <w:jc w:val="both"/>
            </w:pPr>
            <w:r>
              <w:t>17</w:t>
            </w:r>
          </w:p>
        </w:tc>
        <w:tc>
          <w:tcPr>
            <w:tcW w:w="0" w:type="auto"/>
          </w:tcPr>
          <w:p w14:paraId="428EBE31" w14:textId="77777777" w:rsidR="00914D0D" w:rsidRDefault="00E77225" w:rsidP="003D44AE">
            <w:pPr>
              <w:pStyle w:val="Compact"/>
              <w:jc w:val="both"/>
            </w:pPr>
            <w:r>
              <w:t>5.20</w:t>
            </w:r>
          </w:p>
        </w:tc>
        <w:tc>
          <w:tcPr>
            <w:tcW w:w="0" w:type="auto"/>
          </w:tcPr>
          <w:p w14:paraId="79232667" w14:textId="77777777" w:rsidR="00914D0D" w:rsidRDefault="00E77225" w:rsidP="003D44AE">
            <w:pPr>
              <w:pStyle w:val="Compact"/>
              <w:jc w:val="both"/>
            </w:pPr>
            <w:r>
              <w:t>&lt;0.001</w:t>
            </w:r>
          </w:p>
        </w:tc>
      </w:tr>
      <w:tr w:rsidR="00914D0D" w14:paraId="4DE9FD8B" w14:textId="77777777" w:rsidTr="003D44AE">
        <w:trPr>
          <w:jc w:val="center"/>
        </w:trPr>
        <w:tc>
          <w:tcPr>
            <w:tcW w:w="0" w:type="auto"/>
          </w:tcPr>
          <w:p w14:paraId="16A82DCA" w14:textId="77777777" w:rsidR="00914D0D" w:rsidRDefault="00E77225" w:rsidP="003D44AE">
            <w:pPr>
              <w:pStyle w:val="Compact"/>
              <w:jc w:val="both"/>
            </w:pPr>
            <w:r>
              <w:t>SO2 removal</w:t>
            </w:r>
          </w:p>
        </w:tc>
        <w:tc>
          <w:tcPr>
            <w:tcW w:w="0" w:type="auto"/>
          </w:tcPr>
          <w:p w14:paraId="4CF1632B" w14:textId="77777777" w:rsidR="00914D0D" w:rsidRDefault="00E77225" w:rsidP="003D44AE">
            <w:pPr>
              <w:pStyle w:val="Compact"/>
              <w:jc w:val="both"/>
            </w:pPr>
            <w:r>
              <w:t>land use</w:t>
            </w:r>
          </w:p>
        </w:tc>
        <w:tc>
          <w:tcPr>
            <w:tcW w:w="0" w:type="auto"/>
          </w:tcPr>
          <w:p w14:paraId="637638B8" w14:textId="77777777" w:rsidR="00914D0D" w:rsidRDefault="00E77225" w:rsidP="003D44AE">
            <w:pPr>
              <w:pStyle w:val="Compact"/>
              <w:jc w:val="both"/>
            </w:pPr>
            <w:r>
              <w:t>5</w:t>
            </w:r>
          </w:p>
        </w:tc>
        <w:tc>
          <w:tcPr>
            <w:tcW w:w="0" w:type="auto"/>
          </w:tcPr>
          <w:p w14:paraId="496ACB5A" w14:textId="77777777" w:rsidR="00914D0D" w:rsidRDefault="00E77225" w:rsidP="003D44AE">
            <w:pPr>
              <w:pStyle w:val="Compact"/>
              <w:jc w:val="both"/>
            </w:pPr>
            <w:r>
              <w:t>8.55</w:t>
            </w:r>
          </w:p>
        </w:tc>
        <w:tc>
          <w:tcPr>
            <w:tcW w:w="0" w:type="auto"/>
          </w:tcPr>
          <w:p w14:paraId="210813BD" w14:textId="77777777" w:rsidR="00914D0D" w:rsidRDefault="00E77225" w:rsidP="003D44AE">
            <w:pPr>
              <w:pStyle w:val="Compact"/>
              <w:jc w:val="both"/>
            </w:pPr>
            <w:r>
              <w:t>&lt;0.001</w:t>
            </w:r>
          </w:p>
        </w:tc>
      </w:tr>
      <w:tr w:rsidR="00914D0D" w14:paraId="3A47027E" w14:textId="77777777" w:rsidTr="003D44AE">
        <w:trPr>
          <w:jc w:val="center"/>
        </w:trPr>
        <w:tc>
          <w:tcPr>
            <w:tcW w:w="0" w:type="auto"/>
          </w:tcPr>
          <w:p w14:paraId="24B0AD11" w14:textId="77777777" w:rsidR="00914D0D" w:rsidRDefault="00914D0D" w:rsidP="003D44AE">
            <w:pPr>
              <w:jc w:val="both"/>
            </w:pPr>
          </w:p>
        </w:tc>
        <w:tc>
          <w:tcPr>
            <w:tcW w:w="0" w:type="auto"/>
          </w:tcPr>
          <w:p w14:paraId="28EC2A69" w14:textId="77777777" w:rsidR="00914D0D" w:rsidRDefault="00E77225" w:rsidP="003D44AE">
            <w:pPr>
              <w:pStyle w:val="Compact"/>
              <w:jc w:val="both"/>
            </w:pPr>
            <w:r>
              <w:t>onsite land cover</w:t>
            </w:r>
          </w:p>
        </w:tc>
        <w:tc>
          <w:tcPr>
            <w:tcW w:w="0" w:type="auto"/>
          </w:tcPr>
          <w:p w14:paraId="0723D1B2" w14:textId="77777777" w:rsidR="00914D0D" w:rsidRDefault="00E77225" w:rsidP="003D44AE">
            <w:pPr>
              <w:pStyle w:val="Compact"/>
              <w:jc w:val="both"/>
            </w:pPr>
            <w:r>
              <w:t>6</w:t>
            </w:r>
          </w:p>
        </w:tc>
        <w:tc>
          <w:tcPr>
            <w:tcW w:w="0" w:type="auto"/>
          </w:tcPr>
          <w:p w14:paraId="04303B16" w14:textId="77777777" w:rsidR="00914D0D" w:rsidRDefault="00E77225" w:rsidP="003D44AE">
            <w:pPr>
              <w:pStyle w:val="Compact"/>
              <w:jc w:val="both"/>
            </w:pPr>
            <w:r>
              <w:t>36.07</w:t>
            </w:r>
          </w:p>
        </w:tc>
        <w:tc>
          <w:tcPr>
            <w:tcW w:w="0" w:type="auto"/>
          </w:tcPr>
          <w:p w14:paraId="49576EEB" w14:textId="77777777" w:rsidR="00914D0D" w:rsidRDefault="00E77225" w:rsidP="003D44AE">
            <w:pPr>
              <w:pStyle w:val="Compact"/>
              <w:jc w:val="both"/>
            </w:pPr>
            <w:r>
              <w:t>&lt;0.001</w:t>
            </w:r>
          </w:p>
        </w:tc>
      </w:tr>
      <w:tr w:rsidR="00914D0D" w14:paraId="0F9152CB" w14:textId="77777777" w:rsidTr="003D44AE">
        <w:trPr>
          <w:jc w:val="center"/>
        </w:trPr>
        <w:tc>
          <w:tcPr>
            <w:tcW w:w="0" w:type="auto"/>
          </w:tcPr>
          <w:p w14:paraId="51375C70" w14:textId="77777777" w:rsidR="00914D0D" w:rsidRDefault="00914D0D" w:rsidP="003D44AE">
            <w:pPr>
              <w:jc w:val="both"/>
            </w:pPr>
          </w:p>
        </w:tc>
        <w:tc>
          <w:tcPr>
            <w:tcW w:w="0" w:type="auto"/>
          </w:tcPr>
          <w:p w14:paraId="53E20529" w14:textId="77777777" w:rsidR="00914D0D" w:rsidRDefault="00E77225" w:rsidP="003D44AE">
            <w:pPr>
              <w:pStyle w:val="Compact"/>
              <w:jc w:val="both"/>
            </w:pPr>
            <w:r>
              <w:t>interaction</w:t>
            </w:r>
          </w:p>
        </w:tc>
        <w:tc>
          <w:tcPr>
            <w:tcW w:w="0" w:type="auto"/>
          </w:tcPr>
          <w:p w14:paraId="20ECD2E2" w14:textId="77777777" w:rsidR="00914D0D" w:rsidRDefault="00E77225" w:rsidP="003D44AE">
            <w:pPr>
              <w:pStyle w:val="Compact"/>
              <w:jc w:val="both"/>
            </w:pPr>
            <w:r>
              <w:t>17</w:t>
            </w:r>
          </w:p>
        </w:tc>
        <w:tc>
          <w:tcPr>
            <w:tcW w:w="0" w:type="auto"/>
          </w:tcPr>
          <w:p w14:paraId="3862EB8A" w14:textId="77777777" w:rsidR="00914D0D" w:rsidRDefault="00E77225" w:rsidP="003D44AE">
            <w:pPr>
              <w:pStyle w:val="Compact"/>
              <w:jc w:val="both"/>
            </w:pPr>
            <w:r>
              <w:t>5.19</w:t>
            </w:r>
          </w:p>
        </w:tc>
        <w:tc>
          <w:tcPr>
            <w:tcW w:w="0" w:type="auto"/>
          </w:tcPr>
          <w:p w14:paraId="45F2D2E4" w14:textId="77777777" w:rsidR="00914D0D" w:rsidRDefault="00E77225" w:rsidP="003D44AE">
            <w:pPr>
              <w:pStyle w:val="Compact"/>
              <w:jc w:val="both"/>
            </w:pPr>
            <w:r>
              <w:t>&lt;0.001</w:t>
            </w:r>
          </w:p>
        </w:tc>
      </w:tr>
      <w:tr w:rsidR="00914D0D" w14:paraId="553AEF84" w14:textId="77777777" w:rsidTr="003D44AE">
        <w:trPr>
          <w:jc w:val="center"/>
        </w:trPr>
        <w:tc>
          <w:tcPr>
            <w:tcW w:w="0" w:type="auto"/>
          </w:tcPr>
          <w:p w14:paraId="5521E0AE" w14:textId="77777777" w:rsidR="00914D0D" w:rsidRDefault="00E77225" w:rsidP="003D44AE">
            <w:pPr>
              <w:pStyle w:val="Compact"/>
              <w:jc w:val="both"/>
            </w:pPr>
            <w:r>
              <w:t>runoff reduction</w:t>
            </w:r>
          </w:p>
        </w:tc>
        <w:tc>
          <w:tcPr>
            <w:tcW w:w="0" w:type="auto"/>
          </w:tcPr>
          <w:p w14:paraId="0FB55020" w14:textId="77777777" w:rsidR="00914D0D" w:rsidRDefault="00E77225" w:rsidP="003D44AE">
            <w:pPr>
              <w:pStyle w:val="Compact"/>
              <w:jc w:val="both"/>
            </w:pPr>
            <w:r>
              <w:t>land use</w:t>
            </w:r>
          </w:p>
        </w:tc>
        <w:tc>
          <w:tcPr>
            <w:tcW w:w="0" w:type="auto"/>
          </w:tcPr>
          <w:p w14:paraId="39CF9818" w14:textId="77777777" w:rsidR="00914D0D" w:rsidRDefault="00E77225" w:rsidP="003D44AE">
            <w:pPr>
              <w:pStyle w:val="Compact"/>
              <w:jc w:val="both"/>
            </w:pPr>
            <w:r>
              <w:t>5</w:t>
            </w:r>
          </w:p>
        </w:tc>
        <w:tc>
          <w:tcPr>
            <w:tcW w:w="0" w:type="auto"/>
          </w:tcPr>
          <w:p w14:paraId="6C0A9A98" w14:textId="77777777" w:rsidR="00914D0D" w:rsidRDefault="00E77225" w:rsidP="003D44AE">
            <w:pPr>
              <w:pStyle w:val="Compact"/>
              <w:jc w:val="both"/>
            </w:pPr>
            <w:r>
              <w:t>8.05</w:t>
            </w:r>
          </w:p>
        </w:tc>
        <w:tc>
          <w:tcPr>
            <w:tcW w:w="0" w:type="auto"/>
          </w:tcPr>
          <w:p w14:paraId="6DD9BD2A" w14:textId="77777777" w:rsidR="00914D0D" w:rsidRDefault="00E77225" w:rsidP="003D44AE">
            <w:pPr>
              <w:pStyle w:val="Compact"/>
              <w:jc w:val="both"/>
            </w:pPr>
            <w:r>
              <w:t>&lt;0.001</w:t>
            </w:r>
          </w:p>
        </w:tc>
      </w:tr>
      <w:tr w:rsidR="00914D0D" w14:paraId="7B8F807A" w14:textId="77777777" w:rsidTr="003D44AE">
        <w:trPr>
          <w:jc w:val="center"/>
        </w:trPr>
        <w:tc>
          <w:tcPr>
            <w:tcW w:w="0" w:type="auto"/>
          </w:tcPr>
          <w:p w14:paraId="51036D26" w14:textId="77777777" w:rsidR="00914D0D" w:rsidRDefault="00914D0D" w:rsidP="003D44AE">
            <w:pPr>
              <w:jc w:val="both"/>
            </w:pPr>
          </w:p>
        </w:tc>
        <w:tc>
          <w:tcPr>
            <w:tcW w:w="0" w:type="auto"/>
          </w:tcPr>
          <w:p w14:paraId="0B7F2E9D" w14:textId="77777777" w:rsidR="00914D0D" w:rsidRDefault="00E77225" w:rsidP="003D44AE">
            <w:pPr>
              <w:pStyle w:val="Compact"/>
              <w:jc w:val="both"/>
            </w:pPr>
            <w:r>
              <w:t>onsite land cover</w:t>
            </w:r>
          </w:p>
        </w:tc>
        <w:tc>
          <w:tcPr>
            <w:tcW w:w="0" w:type="auto"/>
          </w:tcPr>
          <w:p w14:paraId="292BEE6A" w14:textId="77777777" w:rsidR="00914D0D" w:rsidRDefault="00E77225" w:rsidP="003D44AE">
            <w:pPr>
              <w:pStyle w:val="Compact"/>
              <w:jc w:val="both"/>
            </w:pPr>
            <w:r>
              <w:t>6</w:t>
            </w:r>
          </w:p>
        </w:tc>
        <w:tc>
          <w:tcPr>
            <w:tcW w:w="0" w:type="auto"/>
          </w:tcPr>
          <w:p w14:paraId="156626E3" w14:textId="77777777" w:rsidR="00914D0D" w:rsidRDefault="00E77225" w:rsidP="003D44AE">
            <w:pPr>
              <w:pStyle w:val="Compact"/>
              <w:jc w:val="both"/>
            </w:pPr>
            <w:r>
              <w:t>37.89</w:t>
            </w:r>
          </w:p>
        </w:tc>
        <w:tc>
          <w:tcPr>
            <w:tcW w:w="0" w:type="auto"/>
          </w:tcPr>
          <w:p w14:paraId="0AEE85CB" w14:textId="77777777" w:rsidR="00914D0D" w:rsidRDefault="00E77225" w:rsidP="003D44AE">
            <w:pPr>
              <w:pStyle w:val="Compact"/>
              <w:jc w:val="both"/>
            </w:pPr>
            <w:r>
              <w:t>&lt;0.001</w:t>
            </w:r>
          </w:p>
        </w:tc>
      </w:tr>
      <w:tr w:rsidR="00914D0D" w14:paraId="5CD806B2" w14:textId="77777777" w:rsidTr="003D44AE">
        <w:trPr>
          <w:jc w:val="center"/>
        </w:trPr>
        <w:tc>
          <w:tcPr>
            <w:tcW w:w="0" w:type="auto"/>
            <w:tcBorders>
              <w:bottom w:val="single" w:sz="4" w:space="0" w:color="auto"/>
            </w:tcBorders>
          </w:tcPr>
          <w:p w14:paraId="4B40D051" w14:textId="77777777" w:rsidR="00914D0D" w:rsidRDefault="00914D0D" w:rsidP="003D44AE">
            <w:pPr>
              <w:jc w:val="both"/>
            </w:pPr>
          </w:p>
        </w:tc>
        <w:tc>
          <w:tcPr>
            <w:tcW w:w="0" w:type="auto"/>
            <w:tcBorders>
              <w:bottom w:val="single" w:sz="4" w:space="0" w:color="auto"/>
            </w:tcBorders>
          </w:tcPr>
          <w:p w14:paraId="108480FB" w14:textId="77777777" w:rsidR="00914D0D" w:rsidRDefault="00E77225" w:rsidP="003D44AE">
            <w:pPr>
              <w:pStyle w:val="Compact"/>
              <w:jc w:val="both"/>
            </w:pPr>
            <w:r>
              <w:t>interaction</w:t>
            </w:r>
          </w:p>
        </w:tc>
        <w:tc>
          <w:tcPr>
            <w:tcW w:w="0" w:type="auto"/>
            <w:tcBorders>
              <w:bottom w:val="single" w:sz="4" w:space="0" w:color="auto"/>
            </w:tcBorders>
          </w:tcPr>
          <w:p w14:paraId="4654D096" w14:textId="77777777" w:rsidR="00914D0D" w:rsidRDefault="00E77225" w:rsidP="003D44AE">
            <w:pPr>
              <w:pStyle w:val="Compact"/>
              <w:jc w:val="both"/>
            </w:pPr>
            <w:r>
              <w:t>17</w:t>
            </w:r>
          </w:p>
        </w:tc>
        <w:tc>
          <w:tcPr>
            <w:tcW w:w="0" w:type="auto"/>
            <w:tcBorders>
              <w:bottom w:val="single" w:sz="4" w:space="0" w:color="auto"/>
            </w:tcBorders>
          </w:tcPr>
          <w:p w14:paraId="3ED2D532" w14:textId="77777777" w:rsidR="00914D0D" w:rsidRDefault="00E77225" w:rsidP="003D44AE">
            <w:pPr>
              <w:pStyle w:val="Compact"/>
              <w:jc w:val="both"/>
            </w:pPr>
            <w:r>
              <w:t>5.20</w:t>
            </w:r>
          </w:p>
        </w:tc>
        <w:tc>
          <w:tcPr>
            <w:tcW w:w="0" w:type="auto"/>
            <w:tcBorders>
              <w:bottom w:val="single" w:sz="4" w:space="0" w:color="auto"/>
            </w:tcBorders>
          </w:tcPr>
          <w:p w14:paraId="3949BCAD" w14:textId="77777777" w:rsidR="00914D0D" w:rsidRDefault="00E77225" w:rsidP="003D44AE">
            <w:pPr>
              <w:pStyle w:val="Compact"/>
              <w:jc w:val="both"/>
            </w:pPr>
            <w:r>
              <w:t>&lt;0.001</w:t>
            </w:r>
          </w:p>
        </w:tc>
      </w:tr>
    </w:tbl>
    <w:p w14:paraId="6685D04D" w14:textId="77777777" w:rsidR="00914D0D" w:rsidRDefault="00E77225" w:rsidP="003D44AE">
      <w:pPr>
        <w:pStyle w:val="Heading2"/>
        <w:jc w:val="both"/>
      </w:pPr>
      <w:bookmarkStart w:id="13" w:name="species-specific-analysis"/>
      <w:bookmarkEnd w:id="12"/>
      <w:r>
        <w:t>Species-specific analysis</w:t>
      </w:r>
    </w:p>
    <w:p w14:paraId="3694FA8E" w14:textId="77777777" w:rsidR="00914D0D" w:rsidRDefault="00E77225" w:rsidP="003D44AE">
      <w:pPr>
        <w:pStyle w:val="FirstParagraph"/>
        <w:jc w:val="both"/>
      </w:pPr>
      <w:r>
        <w:t xml:space="preserve">The results of species-specific comparison of ecosystem services across land use classes by ANOVA (Table 4) indicate that the pattern of single-tree ecosystem services across land use classes could be different for certain species. For example, </w:t>
      </w:r>
      <w:r>
        <w:rPr>
          <w:i/>
          <w:iCs/>
        </w:rPr>
        <w:t>Acer palmat</w:t>
      </w:r>
      <w:r>
        <w:rPr>
          <w:i/>
          <w:iCs/>
        </w:rPr>
        <w:t>um</w:t>
      </w:r>
      <w:r>
        <w:t xml:space="preserve"> shows significant difference across land use classes in air pollutants removal and runoff reduction while not for carbon sequestration. And pattern of comparison of ecosystem services across land use types varies with species. For example, the ecosystem</w:t>
      </w:r>
      <w:r>
        <w:t xml:space="preserve"> services of </w:t>
      </w:r>
      <w:r>
        <w:rPr>
          <w:i/>
          <w:iCs/>
        </w:rPr>
        <w:t>Ligustrum lucidum</w:t>
      </w:r>
      <w:r>
        <w:t xml:space="preserve"> are higher in Industrial zone than in the others, while ecosystem services of </w:t>
      </w:r>
      <w:r>
        <w:rPr>
          <w:i/>
          <w:iCs/>
        </w:rPr>
        <w:t>Acer palmatum</w:t>
      </w:r>
      <w:r>
        <w:t xml:space="preserve"> is relative higher in Other Residential zone. The results of species-specific comparison of ecosystem services across onsite land cov</w:t>
      </w:r>
      <w:r>
        <w:t>er classes by ANOVA (Table 5) also show similar characters.</w:t>
      </w:r>
    </w:p>
    <w:p w14:paraId="0C5CF899" w14:textId="77777777" w:rsidR="00914D0D" w:rsidRDefault="00E77225" w:rsidP="003D44AE">
      <w:pPr>
        <w:pStyle w:val="TableCaption"/>
        <w:jc w:val="both"/>
      </w:pPr>
      <w:r>
        <w:lastRenderedPageBreak/>
        <w:t>Table 4: P-value of species-specific comparison of ecosystem services across land use classes by ANOVA</w:t>
      </w:r>
    </w:p>
    <w:tbl>
      <w:tblPr>
        <w:tblStyle w:val="Table"/>
        <w:tblW w:w="5000" w:type="pct"/>
        <w:tblLook w:val="0020" w:firstRow="1" w:lastRow="0" w:firstColumn="0" w:lastColumn="0" w:noHBand="0" w:noVBand="0"/>
      </w:tblPr>
      <w:tblGrid>
        <w:gridCol w:w="1656"/>
        <w:gridCol w:w="1652"/>
        <w:gridCol w:w="1078"/>
        <w:gridCol w:w="1073"/>
        <w:gridCol w:w="1084"/>
        <w:gridCol w:w="1077"/>
        <w:gridCol w:w="1236"/>
      </w:tblGrid>
      <w:tr w:rsidR="00914D0D" w14:paraId="06D2C407" w14:textId="77777777" w:rsidTr="003D44AE">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tcBorders>
          </w:tcPr>
          <w:p w14:paraId="65B9C558" w14:textId="77777777" w:rsidR="00914D0D" w:rsidRDefault="00E77225" w:rsidP="003D44AE">
            <w:pPr>
              <w:pStyle w:val="Compact"/>
              <w:jc w:val="both"/>
            </w:pPr>
            <w:r>
              <w:t>Species</w:t>
            </w:r>
          </w:p>
        </w:tc>
        <w:tc>
          <w:tcPr>
            <w:tcW w:w="0" w:type="auto"/>
            <w:tcBorders>
              <w:top w:val="single" w:sz="4" w:space="0" w:color="auto"/>
            </w:tcBorders>
          </w:tcPr>
          <w:p w14:paraId="22D4B0EA" w14:textId="77777777" w:rsidR="00914D0D" w:rsidRDefault="00E77225" w:rsidP="003D44AE">
            <w:pPr>
              <w:pStyle w:val="Compact"/>
              <w:jc w:val="both"/>
            </w:pPr>
            <w:r>
              <w:t>Carbon sequestration</w:t>
            </w:r>
          </w:p>
        </w:tc>
        <w:tc>
          <w:tcPr>
            <w:tcW w:w="0" w:type="auto"/>
            <w:tcBorders>
              <w:top w:val="single" w:sz="4" w:space="0" w:color="auto"/>
            </w:tcBorders>
          </w:tcPr>
          <w:p w14:paraId="5493C2B8" w14:textId="77777777" w:rsidR="00914D0D" w:rsidRDefault="00E77225" w:rsidP="003D44AE">
            <w:pPr>
              <w:pStyle w:val="Compact"/>
              <w:jc w:val="both"/>
            </w:pPr>
            <w:r>
              <w:t>NO2 removal</w:t>
            </w:r>
          </w:p>
        </w:tc>
        <w:tc>
          <w:tcPr>
            <w:tcW w:w="0" w:type="auto"/>
            <w:tcBorders>
              <w:top w:val="single" w:sz="4" w:space="0" w:color="auto"/>
            </w:tcBorders>
          </w:tcPr>
          <w:p w14:paraId="43A1F226" w14:textId="77777777" w:rsidR="00914D0D" w:rsidRDefault="00E77225" w:rsidP="003D44AE">
            <w:pPr>
              <w:pStyle w:val="Compact"/>
              <w:jc w:val="both"/>
            </w:pPr>
            <w:r>
              <w:t>O3 removal</w:t>
            </w:r>
          </w:p>
        </w:tc>
        <w:tc>
          <w:tcPr>
            <w:tcW w:w="0" w:type="auto"/>
            <w:tcBorders>
              <w:top w:val="single" w:sz="4" w:space="0" w:color="auto"/>
            </w:tcBorders>
          </w:tcPr>
          <w:p w14:paraId="36D36576" w14:textId="77777777" w:rsidR="00914D0D" w:rsidRDefault="00E77225" w:rsidP="003D44AE">
            <w:pPr>
              <w:pStyle w:val="Compact"/>
              <w:jc w:val="both"/>
            </w:pPr>
            <w:r>
              <w:t>PM2.5 removal</w:t>
            </w:r>
          </w:p>
        </w:tc>
        <w:tc>
          <w:tcPr>
            <w:tcW w:w="0" w:type="auto"/>
            <w:tcBorders>
              <w:top w:val="single" w:sz="4" w:space="0" w:color="auto"/>
            </w:tcBorders>
          </w:tcPr>
          <w:p w14:paraId="66E8288C" w14:textId="77777777" w:rsidR="00914D0D" w:rsidRDefault="00E77225" w:rsidP="003D44AE">
            <w:pPr>
              <w:pStyle w:val="Compact"/>
              <w:jc w:val="both"/>
            </w:pPr>
            <w:r>
              <w:t>SO2 removal</w:t>
            </w:r>
          </w:p>
        </w:tc>
        <w:tc>
          <w:tcPr>
            <w:tcW w:w="0" w:type="auto"/>
            <w:tcBorders>
              <w:top w:val="single" w:sz="4" w:space="0" w:color="auto"/>
            </w:tcBorders>
          </w:tcPr>
          <w:p w14:paraId="7368640A" w14:textId="77777777" w:rsidR="00914D0D" w:rsidRDefault="00E77225" w:rsidP="003D44AE">
            <w:pPr>
              <w:pStyle w:val="Compact"/>
              <w:jc w:val="both"/>
            </w:pPr>
            <w:r>
              <w:t>Runoff reductio</w:t>
            </w:r>
            <w:r>
              <w:t>n</w:t>
            </w:r>
          </w:p>
        </w:tc>
      </w:tr>
      <w:tr w:rsidR="00914D0D" w14:paraId="163326AC" w14:textId="77777777">
        <w:tc>
          <w:tcPr>
            <w:tcW w:w="0" w:type="auto"/>
          </w:tcPr>
          <w:p w14:paraId="5EB705B3" w14:textId="77777777" w:rsidR="00914D0D" w:rsidRDefault="00E77225" w:rsidP="003D44AE">
            <w:pPr>
              <w:pStyle w:val="Compact"/>
              <w:jc w:val="both"/>
            </w:pPr>
            <w:r>
              <w:t>Acer palmatum</w:t>
            </w:r>
          </w:p>
        </w:tc>
        <w:tc>
          <w:tcPr>
            <w:tcW w:w="0" w:type="auto"/>
          </w:tcPr>
          <w:p w14:paraId="2E6296F8" w14:textId="77777777" w:rsidR="00914D0D" w:rsidRDefault="00E77225" w:rsidP="003D44AE">
            <w:pPr>
              <w:pStyle w:val="Compact"/>
              <w:jc w:val="both"/>
            </w:pPr>
            <w:r>
              <w:t>0.14</w:t>
            </w:r>
          </w:p>
        </w:tc>
        <w:tc>
          <w:tcPr>
            <w:tcW w:w="0" w:type="auto"/>
          </w:tcPr>
          <w:p w14:paraId="17467400" w14:textId="77777777" w:rsidR="00914D0D" w:rsidRDefault="00E77225" w:rsidP="003D44AE">
            <w:pPr>
              <w:pStyle w:val="Compact"/>
              <w:jc w:val="both"/>
            </w:pPr>
            <w:r>
              <w:t>&lt;0.05</w:t>
            </w:r>
          </w:p>
        </w:tc>
        <w:tc>
          <w:tcPr>
            <w:tcW w:w="0" w:type="auto"/>
          </w:tcPr>
          <w:p w14:paraId="04DCD78E" w14:textId="77777777" w:rsidR="00914D0D" w:rsidRDefault="00E77225" w:rsidP="003D44AE">
            <w:pPr>
              <w:pStyle w:val="Compact"/>
              <w:jc w:val="both"/>
            </w:pPr>
            <w:r>
              <w:t>&lt;0.05</w:t>
            </w:r>
          </w:p>
        </w:tc>
        <w:tc>
          <w:tcPr>
            <w:tcW w:w="0" w:type="auto"/>
          </w:tcPr>
          <w:p w14:paraId="274614DD" w14:textId="77777777" w:rsidR="00914D0D" w:rsidRDefault="00E77225" w:rsidP="003D44AE">
            <w:pPr>
              <w:pStyle w:val="Compact"/>
              <w:jc w:val="both"/>
            </w:pPr>
            <w:r>
              <w:t>&lt;0.05</w:t>
            </w:r>
          </w:p>
        </w:tc>
        <w:tc>
          <w:tcPr>
            <w:tcW w:w="0" w:type="auto"/>
          </w:tcPr>
          <w:p w14:paraId="469B378E" w14:textId="77777777" w:rsidR="00914D0D" w:rsidRDefault="00E77225" w:rsidP="003D44AE">
            <w:pPr>
              <w:pStyle w:val="Compact"/>
              <w:jc w:val="both"/>
            </w:pPr>
            <w:r>
              <w:t>&lt;0.05</w:t>
            </w:r>
          </w:p>
        </w:tc>
        <w:tc>
          <w:tcPr>
            <w:tcW w:w="0" w:type="auto"/>
          </w:tcPr>
          <w:p w14:paraId="4BAF112F" w14:textId="77777777" w:rsidR="00914D0D" w:rsidRDefault="00E77225" w:rsidP="003D44AE">
            <w:pPr>
              <w:pStyle w:val="Compact"/>
              <w:jc w:val="both"/>
            </w:pPr>
            <w:r>
              <w:t>&lt;0.05</w:t>
            </w:r>
          </w:p>
        </w:tc>
      </w:tr>
      <w:tr w:rsidR="00914D0D" w14:paraId="68251E96" w14:textId="77777777">
        <w:tc>
          <w:tcPr>
            <w:tcW w:w="0" w:type="auto"/>
          </w:tcPr>
          <w:p w14:paraId="435F4BDB" w14:textId="77777777" w:rsidR="00914D0D" w:rsidRDefault="00E77225" w:rsidP="003D44AE">
            <w:pPr>
              <w:pStyle w:val="Compact"/>
              <w:jc w:val="both"/>
            </w:pPr>
            <w:r>
              <w:t>Ginkgo biloba</w:t>
            </w:r>
          </w:p>
        </w:tc>
        <w:tc>
          <w:tcPr>
            <w:tcW w:w="0" w:type="auto"/>
          </w:tcPr>
          <w:p w14:paraId="39EDF351" w14:textId="77777777" w:rsidR="00914D0D" w:rsidRDefault="00E77225" w:rsidP="003D44AE">
            <w:pPr>
              <w:pStyle w:val="Compact"/>
              <w:jc w:val="both"/>
            </w:pPr>
            <w:r>
              <w:t>&lt;0.05</w:t>
            </w:r>
          </w:p>
        </w:tc>
        <w:tc>
          <w:tcPr>
            <w:tcW w:w="0" w:type="auto"/>
          </w:tcPr>
          <w:p w14:paraId="789C2D55" w14:textId="77777777" w:rsidR="00914D0D" w:rsidRDefault="00E77225" w:rsidP="003D44AE">
            <w:pPr>
              <w:pStyle w:val="Compact"/>
              <w:jc w:val="both"/>
            </w:pPr>
            <w:r>
              <w:t>0.05</w:t>
            </w:r>
          </w:p>
        </w:tc>
        <w:tc>
          <w:tcPr>
            <w:tcW w:w="0" w:type="auto"/>
          </w:tcPr>
          <w:p w14:paraId="1A841DF4" w14:textId="77777777" w:rsidR="00914D0D" w:rsidRDefault="00E77225" w:rsidP="003D44AE">
            <w:pPr>
              <w:pStyle w:val="Compact"/>
              <w:jc w:val="both"/>
            </w:pPr>
            <w:r>
              <w:t>0.05</w:t>
            </w:r>
          </w:p>
        </w:tc>
        <w:tc>
          <w:tcPr>
            <w:tcW w:w="0" w:type="auto"/>
          </w:tcPr>
          <w:p w14:paraId="597DC7B8" w14:textId="77777777" w:rsidR="00914D0D" w:rsidRDefault="00E77225" w:rsidP="003D44AE">
            <w:pPr>
              <w:pStyle w:val="Compact"/>
              <w:jc w:val="both"/>
            </w:pPr>
            <w:r>
              <w:t>0.05</w:t>
            </w:r>
          </w:p>
        </w:tc>
        <w:tc>
          <w:tcPr>
            <w:tcW w:w="0" w:type="auto"/>
          </w:tcPr>
          <w:p w14:paraId="4963D2E2" w14:textId="77777777" w:rsidR="00914D0D" w:rsidRDefault="00E77225" w:rsidP="003D44AE">
            <w:pPr>
              <w:pStyle w:val="Compact"/>
              <w:jc w:val="both"/>
            </w:pPr>
            <w:r>
              <w:t>0.05</w:t>
            </w:r>
          </w:p>
        </w:tc>
        <w:tc>
          <w:tcPr>
            <w:tcW w:w="0" w:type="auto"/>
          </w:tcPr>
          <w:p w14:paraId="159DF74E" w14:textId="77777777" w:rsidR="00914D0D" w:rsidRDefault="00E77225" w:rsidP="003D44AE">
            <w:pPr>
              <w:pStyle w:val="Compact"/>
              <w:jc w:val="both"/>
            </w:pPr>
            <w:r>
              <w:t>0.05</w:t>
            </w:r>
          </w:p>
        </w:tc>
      </w:tr>
      <w:tr w:rsidR="00914D0D" w14:paraId="74011A0F" w14:textId="77777777">
        <w:tc>
          <w:tcPr>
            <w:tcW w:w="0" w:type="auto"/>
          </w:tcPr>
          <w:p w14:paraId="7313439F" w14:textId="77777777" w:rsidR="00914D0D" w:rsidRDefault="00E77225" w:rsidP="003D44AE">
            <w:pPr>
              <w:pStyle w:val="Compact"/>
              <w:jc w:val="both"/>
            </w:pPr>
            <w:r>
              <w:t>Ligustrum lucidum</w:t>
            </w:r>
          </w:p>
        </w:tc>
        <w:tc>
          <w:tcPr>
            <w:tcW w:w="0" w:type="auto"/>
          </w:tcPr>
          <w:p w14:paraId="45161084" w14:textId="77777777" w:rsidR="00914D0D" w:rsidRDefault="00E77225" w:rsidP="003D44AE">
            <w:pPr>
              <w:pStyle w:val="Compact"/>
              <w:jc w:val="both"/>
            </w:pPr>
            <w:r>
              <w:t>&lt;0.001</w:t>
            </w:r>
          </w:p>
        </w:tc>
        <w:tc>
          <w:tcPr>
            <w:tcW w:w="0" w:type="auto"/>
          </w:tcPr>
          <w:p w14:paraId="7A846533" w14:textId="77777777" w:rsidR="00914D0D" w:rsidRDefault="00E77225" w:rsidP="003D44AE">
            <w:pPr>
              <w:pStyle w:val="Compact"/>
              <w:jc w:val="both"/>
            </w:pPr>
            <w:r>
              <w:t>&lt;0.05</w:t>
            </w:r>
          </w:p>
        </w:tc>
        <w:tc>
          <w:tcPr>
            <w:tcW w:w="0" w:type="auto"/>
          </w:tcPr>
          <w:p w14:paraId="442B6025" w14:textId="77777777" w:rsidR="00914D0D" w:rsidRDefault="00E77225" w:rsidP="003D44AE">
            <w:pPr>
              <w:pStyle w:val="Compact"/>
              <w:jc w:val="both"/>
            </w:pPr>
            <w:r>
              <w:t>&lt;0.05</w:t>
            </w:r>
          </w:p>
        </w:tc>
        <w:tc>
          <w:tcPr>
            <w:tcW w:w="0" w:type="auto"/>
          </w:tcPr>
          <w:p w14:paraId="4F1446C7" w14:textId="77777777" w:rsidR="00914D0D" w:rsidRDefault="00E77225" w:rsidP="003D44AE">
            <w:pPr>
              <w:pStyle w:val="Compact"/>
              <w:jc w:val="both"/>
            </w:pPr>
            <w:r>
              <w:t>&lt;0.05</w:t>
            </w:r>
          </w:p>
        </w:tc>
        <w:tc>
          <w:tcPr>
            <w:tcW w:w="0" w:type="auto"/>
          </w:tcPr>
          <w:p w14:paraId="57EC2A3E" w14:textId="77777777" w:rsidR="00914D0D" w:rsidRDefault="00E77225" w:rsidP="003D44AE">
            <w:pPr>
              <w:pStyle w:val="Compact"/>
              <w:jc w:val="both"/>
            </w:pPr>
            <w:r>
              <w:t>&lt;0.05</w:t>
            </w:r>
          </w:p>
        </w:tc>
        <w:tc>
          <w:tcPr>
            <w:tcW w:w="0" w:type="auto"/>
          </w:tcPr>
          <w:p w14:paraId="1A1D6039" w14:textId="77777777" w:rsidR="00914D0D" w:rsidRDefault="00E77225" w:rsidP="003D44AE">
            <w:pPr>
              <w:pStyle w:val="Compact"/>
              <w:jc w:val="both"/>
            </w:pPr>
            <w:r>
              <w:t>&lt;0.05</w:t>
            </w:r>
          </w:p>
        </w:tc>
      </w:tr>
      <w:tr w:rsidR="00914D0D" w14:paraId="4FF157F1" w14:textId="77777777">
        <w:tc>
          <w:tcPr>
            <w:tcW w:w="0" w:type="auto"/>
          </w:tcPr>
          <w:p w14:paraId="6951A9DB" w14:textId="77777777" w:rsidR="00914D0D" w:rsidRDefault="00E77225" w:rsidP="003D44AE">
            <w:pPr>
              <w:pStyle w:val="Compact"/>
              <w:jc w:val="both"/>
            </w:pPr>
            <w:r>
              <w:t>Nandina domestica</w:t>
            </w:r>
          </w:p>
        </w:tc>
        <w:tc>
          <w:tcPr>
            <w:tcW w:w="0" w:type="auto"/>
          </w:tcPr>
          <w:p w14:paraId="7CEE32DC" w14:textId="77777777" w:rsidR="00914D0D" w:rsidRDefault="00E77225" w:rsidP="003D44AE">
            <w:pPr>
              <w:pStyle w:val="Compact"/>
              <w:jc w:val="both"/>
            </w:pPr>
            <w:r>
              <w:t>0.07</w:t>
            </w:r>
          </w:p>
        </w:tc>
        <w:tc>
          <w:tcPr>
            <w:tcW w:w="0" w:type="auto"/>
          </w:tcPr>
          <w:p w14:paraId="59222F3C" w14:textId="77777777" w:rsidR="00914D0D" w:rsidRDefault="00E77225" w:rsidP="003D44AE">
            <w:pPr>
              <w:pStyle w:val="Compact"/>
              <w:jc w:val="both"/>
            </w:pPr>
            <w:r>
              <w:t>&lt;0.001</w:t>
            </w:r>
          </w:p>
        </w:tc>
        <w:tc>
          <w:tcPr>
            <w:tcW w:w="0" w:type="auto"/>
          </w:tcPr>
          <w:p w14:paraId="0F7B00D1" w14:textId="77777777" w:rsidR="00914D0D" w:rsidRDefault="00E77225" w:rsidP="003D44AE">
            <w:pPr>
              <w:pStyle w:val="Compact"/>
              <w:jc w:val="both"/>
            </w:pPr>
            <w:r>
              <w:t>&lt;0.001</w:t>
            </w:r>
          </w:p>
        </w:tc>
        <w:tc>
          <w:tcPr>
            <w:tcW w:w="0" w:type="auto"/>
          </w:tcPr>
          <w:p w14:paraId="7CDB1A9A" w14:textId="77777777" w:rsidR="00914D0D" w:rsidRDefault="00E77225" w:rsidP="003D44AE">
            <w:pPr>
              <w:pStyle w:val="Compact"/>
              <w:jc w:val="both"/>
            </w:pPr>
            <w:r>
              <w:t>&lt;0.001</w:t>
            </w:r>
          </w:p>
        </w:tc>
        <w:tc>
          <w:tcPr>
            <w:tcW w:w="0" w:type="auto"/>
          </w:tcPr>
          <w:p w14:paraId="7C988D7D" w14:textId="77777777" w:rsidR="00914D0D" w:rsidRDefault="00E77225" w:rsidP="003D44AE">
            <w:pPr>
              <w:pStyle w:val="Compact"/>
              <w:jc w:val="both"/>
            </w:pPr>
            <w:r>
              <w:t>&lt;0.001</w:t>
            </w:r>
          </w:p>
        </w:tc>
        <w:tc>
          <w:tcPr>
            <w:tcW w:w="0" w:type="auto"/>
          </w:tcPr>
          <w:p w14:paraId="0378E4E2" w14:textId="77777777" w:rsidR="00914D0D" w:rsidRDefault="00E77225" w:rsidP="003D44AE">
            <w:pPr>
              <w:pStyle w:val="Compact"/>
              <w:jc w:val="both"/>
            </w:pPr>
            <w:r>
              <w:t>&lt;0.001</w:t>
            </w:r>
          </w:p>
        </w:tc>
      </w:tr>
      <w:tr w:rsidR="00914D0D" w14:paraId="155F6A35" w14:textId="77777777">
        <w:tc>
          <w:tcPr>
            <w:tcW w:w="0" w:type="auto"/>
          </w:tcPr>
          <w:p w14:paraId="78C787F9" w14:textId="77777777" w:rsidR="00914D0D" w:rsidRDefault="00E77225" w:rsidP="003D44AE">
            <w:pPr>
              <w:pStyle w:val="Compact"/>
              <w:jc w:val="both"/>
            </w:pPr>
            <w:r>
              <w:t>Osmanthus fragrans</w:t>
            </w:r>
          </w:p>
        </w:tc>
        <w:tc>
          <w:tcPr>
            <w:tcW w:w="0" w:type="auto"/>
          </w:tcPr>
          <w:p w14:paraId="19B849FB" w14:textId="77777777" w:rsidR="00914D0D" w:rsidRDefault="00E77225" w:rsidP="003D44AE">
            <w:pPr>
              <w:pStyle w:val="Compact"/>
              <w:jc w:val="both"/>
            </w:pPr>
            <w:r>
              <w:t>0.35</w:t>
            </w:r>
          </w:p>
        </w:tc>
        <w:tc>
          <w:tcPr>
            <w:tcW w:w="0" w:type="auto"/>
          </w:tcPr>
          <w:p w14:paraId="4DFAD2A9" w14:textId="77777777" w:rsidR="00914D0D" w:rsidRDefault="00E77225" w:rsidP="003D44AE">
            <w:pPr>
              <w:pStyle w:val="Compact"/>
              <w:jc w:val="both"/>
            </w:pPr>
            <w:r>
              <w:t>0.06</w:t>
            </w:r>
          </w:p>
        </w:tc>
        <w:tc>
          <w:tcPr>
            <w:tcW w:w="0" w:type="auto"/>
          </w:tcPr>
          <w:p w14:paraId="2A708B3E" w14:textId="77777777" w:rsidR="00914D0D" w:rsidRDefault="00E77225" w:rsidP="003D44AE">
            <w:pPr>
              <w:pStyle w:val="Compact"/>
              <w:jc w:val="both"/>
            </w:pPr>
            <w:r>
              <w:t>0.06</w:t>
            </w:r>
          </w:p>
        </w:tc>
        <w:tc>
          <w:tcPr>
            <w:tcW w:w="0" w:type="auto"/>
          </w:tcPr>
          <w:p w14:paraId="3A9A87F0" w14:textId="77777777" w:rsidR="00914D0D" w:rsidRDefault="00E77225" w:rsidP="003D44AE">
            <w:pPr>
              <w:pStyle w:val="Compact"/>
              <w:jc w:val="both"/>
            </w:pPr>
            <w:r>
              <w:t>0.06</w:t>
            </w:r>
          </w:p>
        </w:tc>
        <w:tc>
          <w:tcPr>
            <w:tcW w:w="0" w:type="auto"/>
          </w:tcPr>
          <w:p w14:paraId="555DE7CA" w14:textId="77777777" w:rsidR="00914D0D" w:rsidRDefault="00E77225" w:rsidP="003D44AE">
            <w:pPr>
              <w:pStyle w:val="Compact"/>
              <w:jc w:val="both"/>
            </w:pPr>
            <w:r>
              <w:t>0.06</w:t>
            </w:r>
          </w:p>
        </w:tc>
        <w:tc>
          <w:tcPr>
            <w:tcW w:w="0" w:type="auto"/>
          </w:tcPr>
          <w:p w14:paraId="0E9215EA" w14:textId="77777777" w:rsidR="00914D0D" w:rsidRDefault="00E77225" w:rsidP="003D44AE">
            <w:pPr>
              <w:pStyle w:val="Compact"/>
              <w:jc w:val="both"/>
            </w:pPr>
            <w:r>
              <w:t>0.06</w:t>
            </w:r>
          </w:p>
        </w:tc>
      </w:tr>
      <w:tr w:rsidR="00914D0D" w14:paraId="27A2C4AC" w14:textId="77777777">
        <w:tc>
          <w:tcPr>
            <w:tcW w:w="0" w:type="auto"/>
          </w:tcPr>
          <w:p w14:paraId="087A2F93" w14:textId="77777777" w:rsidR="00914D0D" w:rsidRDefault="00E77225" w:rsidP="003D44AE">
            <w:pPr>
              <w:pStyle w:val="Compact"/>
              <w:jc w:val="both"/>
            </w:pPr>
            <w:r>
              <w:t>Podocarpus macrophyllus</w:t>
            </w:r>
          </w:p>
        </w:tc>
        <w:tc>
          <w:tcPr>
            <w:tcW w:w="0" w:type="auto"/>
          </w:tcPr>
          <w:p w14:paraId="527FD658" w14:textId="77777777" w:rsidR="00914D0D" w:rsidRDefault="00E77225" w:rsidP="003D44AE">
            <w:pPr>
              <w:pStyle w:val="Compact"/>
              <w:jc w:val="both"/>
            </w:pPr>
            <w:r>
              <w:t>0.1</w:t>
            </w:r>
          </w:p>
        </w:tc>
        <w:tc>
          <w:tcPr>
            <w:tcW w:w="0" w:type="auto"/>
          </w:tcPr>
          <w:p w14:paraId="0D4ED3CD" w14:textId="77777777" w:rsidR="00914D0D" w:rsidRDefault="00E77225" w:rsidP="003D44AE">
            <w:pPr>
              <w:pStyle w:val="Compact"/>
              <w:jc w:val="both"/>
            </w:pPr>
            <w:r>
              <w:t>&lt;0.001</w:t>
            </w:r>
          </w:p>
        </w:tc>
        <w:tc>
          <w:tcPr>
            <w:tcW w:w="0" w:type="auto"/>
          </w:tcPr>
          <w:p w14:paraId="24200D2E" w14:textId="77777777" w:rsidR="00914D0D" w:rsidRDefault="00E77225" w:rsidP="003D44AE">
            <w:pPr>
              <w:pStyle w:val="Compact"/>
              <w:jc w:val="both"/>
            </w:pPr>
            <w:r>
              <w:t>&lt;0.001</w:t>
            </w:r>
          </w:p>
        </w:tc>
        <w:tc>
          <w:tcPr>
            <w:tcW w:w="0" w:type="auto"/>
          </w:tcPr>
          <w:p w14:paraId="7CA66FE7" w14:textId="77777777" w:rsidR="00914D0D" w:rsidRDefault="00E77225" w:rsidP="003D44AE">
            <w:pPr>
              <w:pStyle w:val="Compact"/>
              <w:jc w:val="both"/>
            </w:pPr>
            <w:r>
              <w:t>&lt;0.001</w:t>
            </w:r>
          </w:p>
        </w:tc>
        <w:tc>
          <w:tcPr>
            <w:tcW w:w="0" w:type="auto"/>
          </w:tcPr>
          <w:p w14:paraId="181FFB17" w14:textId="77777777" w:rsidR="00914D0D" w:rsidRDefault="00E77225" w:rsidP="003D44AE">
            <w:pPr>
              <w:pStyle w:val="Compact"/>
              <w:jc w:val="both"/>
            </w:pPr>
            <w:r>
              <w:t>&lt;0.001</w:t>
            </w:r>
          </w:p>
        </w:tc>
        <w:tc>
          <w:tcPr>
            <w:tcW w:w="0" w:type="auto"/>
          </w:tcPr>
          <w:p w14:paraId="1DF052BC" w14:textId="77777777" w:rsidR="00914D0D" w:rsidRDefault="00E77225" w:rsidP="003D44AE">
            <w:pPr>
              <w:pStyle w:val="Compact"/>
              <w:jc w:val="both"/>
            </w:pPr>
            <w:r>
              <w:t>&lt;0.001</w:t>
            </w:r>
          </w:p>
        </w:tc>
      </w:tr>
      <w:tr w:rsidR="00914D0D" w14:paraId="44B2DB5E" w14:textId="77777777">
        <w:tc>
          <w:tcPr>
            <w:tcW w:w="0" w:type="auto"/>
          </w:tcPr>
          <w:p w14:paraId="2A5FD42D" w14:textId="77777777" w:rsidR="00914D0D" w:rsidRDefault="00E77225" w:rsidP="003D44AE">
            <w:pPr>
              <w:pStyle w:val="Compact"/>
              <w:jc w:val="both"/>
            </w:pPr>
            <w:r>
              <w:t>Prunus x blireana</w:t>
            </w:r>
          </w:p>
        </w:tc>
        <w:tc>
          <w:tcPr>
            <w:tcW w:w="0" w:type="auto"/>
          </w:tcPr>
          <w:p w14:paraId="395B8615" w14:textId="77777777" w:rsidR="00914D0D" w:rsidRDefault="00E77225" w:rsidP="003D44AE">
            <w:pPr>
              <w:pStyle w:val="Compact"/>
              <w:jc w:val="both"/>
            </w:pPr>
            <w:r>
              <w:t>0.79</w:t>
            </w:r>
          </w:p>
        </w:tc>
        <w:tc>
          <w:tcPr>
            <w:tcW w:w="0" w:type="auto"/>
          </w:tcPr>
          <w:p w14:paraId="0733B544" w14:textId="77777777" w:rsidR="00914D0D" w:rsidRDefault="00E77225" w:rsidP="003D44AE">
            <w:pPr>
              <w:pStyle w:val="Compact"/>
              <w:jc w:val="both"/>
            </w:pPr>
            <w:r>
              <w:t>0.16</w:t>
            </w:r>
          </w:p>
        </w:tc>
        <w:tc>
          <w:tcPr>
            <w:tcW w:w="0" w:type="auto"/>
          </w:tcPr>
          <w:p w14:paraId="65BD98D0" w14:textId="77777777" w:rsidR="00914D0D" w:rsidRDefault="00E77225" w:rsidP="003D44AE">
            <w:pPr>
              <w:pStyle w:val="Compact"/>
              <w:jc w:val="both"/>
            </w:pPr>
            <w:r>
              <w:t>0.16</w:t>
            </w:r>
          </w:p>
        </w:tc>
        <w:tc>
          <w:tcPr>
            <w:tcW w:w="0" w:type="auto"/>
          </w:tcPr>
          <w:p w14:paraId="359C5CB9" w14:textId="77777777" w:rsidR="00914D0D" w:rsidRDefault="00E77225" w:rsidP="003D44AE">
            <w:pPr>
              <w:pStyle w:val="Compact"/>
              <w:jc w:val="both"/>
            </w:pPr>
            <w:r>
              <w:t>0.16</w:t>
            </w:r>
          </w:p>
        </w:tc>
        <w:tc>
          <w:tcPr>
            <w:tcW w:w="0" w:type="auto"/>
          </w:tcPr>
          <w:p w14:paraId="4A9DF408" w14:textId="77777777" w:rsidR="00914D0D" w:rsidRDefault="00E77225" w:rsidP="003D44AE">
            <w:pPr>
              <w:pStyle w:val="Compact"/>
              <w:jc w:val="both"/>
            </w:pPr>
            <w:r>
              <w:t>0.16</w:t>
            </w:r>
          </w:p>
        </w:tc>
        <w:tc>
          <w:tcPr>
            <w:tcW w:w="0" w:type="auto"/>
          </w:tcPr>
          <w:p w14:paraId="28A7B40B" w14:textId="77777777" w:rsidR="00914D0D" w:rsidRDefault="00E77225" w:rsidP="003D44AE">
            <w:pPr>
              <w:pStyle w:val="Compact"/>
              <w:jc w:val="both"/>
            </w:pPr>
            <w:r>
              <w:t>0.16</w:t>
            </w:r>
          </w:p>
        </w:tc>
      </w:tr>
      <w:tr w:rsidR="00914D0D" w14:paraId="712D2EDA" w14:textId="77777777">
        <w:tc>
          <w:tcPr>
            <w:tcW w:w="0" w:type="auto"/>
          </w:tcPr>
          <w:p w14:paraId="1C968908" w14:textId="77777777" w:rsidR="00914D0D" w:rsidRDefault="00E77225" w:rsidP="003D44AE">
            <w:pPr>
              <w:pStyle w:val="Compact"/>
              <w:jc w:val="both"/>
            </w:pPr>
            <w:r>
              <w:t>Quercus x alvordiana</w:t>
            </w:r>
          </w:p>
        </w:tc>
        <w:tc>
          <w:tcPr>
            <w:tcW w:w="0" w:type="auto"/>
          </w:tcPr>
          <w:p w14:paraId="5613B040" w14:textId="77777777" w:rsidR="00914D0D" w:rsidRDefault="00E77225" w:rsidP="003D44AE">
            <w:pPr>
              <w:pStyle w:val="Compact"/>
              <w:jc w:val="both"/>
            </w:pPr>
            <w:r>
              <w:t>&lt;0.001</w:t>
            </w:r>
          </w:p>
        </w:tc>
        <w:tc>
          <w:tcPr>
            <w:tcW w:w="0" w:type="auto"/>
          </w:tcPr>
          <w:p w14:paraId="4C5D77DE" w14:textId="77777777" w:rsidR="00914D0D" w:rsidRDefault="00E77225" w:rsidP="003D44AE">
            <w:pPr>
              <w:pStyle w:val="Compact"/>
              <w:jc w:val="both"/>
            </w:pPr>
            <w:r>
              <w:t>&lt;0.001</w:t>
            </w:r>
          </w:p>
        </w:tc>
        <w:tc>
          <w:tcPr>
            <w:tcW w:w="0" w:type="auto"/>
          </w:tcPr>
          <w:p w14:paraId="38CC59B7" w14:textId="77777777" w:rsidR="00914D0D" w:rsidRDefault="00E77225" w:rsidP="003D44AE">
            <w:pPr>
              <w:pStyle w:val="Compact"/>
              <w:jc w:val="both"/>
            </w:pPr>
            <w:r>
              <w:t>&lt;0.001</w:t>
            </w:r>
          </w:p>
        </w:tc>
        <w:tc>
          <w:tcPr>
            <w:tcW w:w="0" w:type="auto"/>
          </w:tcPr>
          <w:p w14:paraId="129A81B2" w14:textId="77777777" w:rsidR="00914D0D" w:rsidRDefault="00E77225" w:rsidP="003D44AE">
            <w:pPr>
              <w:pStyle w:val="Compact"/>
              <w:jc w:val="both"/>
            </w:pPr>
            <w:r>
              <w:t>&lt;0.001</w:t>
            </w:r>
          </w:p>
        </w:tc>
        <w:tc>
          <w:tcPr>
            <w:tcW w:w="0" w:type="auto"/>
          </w:tcPr>
          <w:p w14:paraId="4C6E56B1" w14:textId="77777777" w:rsidR="00914D0D" w:rsidRDefault="00E77225" w:rsidP="003D44AE">
            <w:pPr>
              <w:pStyle w:val="Compact"/>
              <w:jc w:val="both"/>
            </w:pPr>
            <w:r>
              <w:t>&lt;0.001</w:t>
            </w:r>
          </w:p>
        </w:tc>
        <w:tc>
          <w:tcPr>
            <w:tcW w:w="0" w:type="auto"/>
          </w:tcPr>
          <w:p w14:paraId="400093A6" w14:textId="77777777" w:rsidR="00914D0D" w:rsidRDefault="00E77225" w:rsidP="003D44AE">
            <w:pPr>
              <w:pStyle w:val="Compact"/>
              <w:jc w:val="both"/>
            </w:pPr>
            <w:r>
              <w:t>&lt;0.001</w:t>
            </w:r>
          </w:p>
        </w:tc>
      </w:tr>
      <w:tr w:rsidR="00914D0D" w14:paraId="5E241CC1" w14:textId="77777777" w:rsidTr="003D44AE">
        <w:tc>
          <w:tcPr>
            <w:tcW w:w="0" w:type="auto"/>
            <w:tcBorders>
              <w:bottom w:val="single" w:sz="4" w:space="0" w:color="auto"/>
            </w:tcBorders>
          </w:tcPr>
          <w:p w14:paraId="6D6B6272" w14:textId="77777777" w:rsidR="00914D0D" w:rsidRDefault="00E77225" w:rsidP="003D44AE">
            <w:pPr>
              <w:pStyle w:val="Compact"/>
              <w:jc w:val="both"/>
            </w:pPr>
            <w:r>
              <w:t>Zelkova serrata</w:t>
            </w:r>
          </w:p>
        </w:tc>
        <w:tc>
          <w:tcPr>
            <w:tcW w:w="0" w:type="auto"/>
            <w:tcBorders>
              <w:bottom w:val="single" w:sz="4" w:space="0" w:color="auto"/>
            </w:tcBorders>
          </w:tcPr>
          <w:p w14:paraId="4BAC95FE" w14:textId="77777777" w:rsidR="00914D0D" w:rsidRDefault="00E77225" w:rsidP="003D44AE">
            <w:pPr>
              <w:pStyle w:val="Compact"/>
              <w:jc w:val="both"/>
            </w:pPr>
            <w:r>
              <w:t>0.16</w:t>
            </w:r>
          </w:p>
        </w:tc>
        <w:tc>
          <w:tcPr>
            <w:tcW w:w="0" w:type="auto"/>
            <w:tcBorders>
              <w:bottom w:val="single" w:sz="4" w:space="0" w:color="auto"/>
            </w:tcBorders>
          </w:tcPr>
          <w:p w14:paraId="3702FE60" w14:textId="77777777" w:rsidR="00914D0D" w:rsidRDefault="00E77225" w:rsidP="003D44AE">
            <w:pPr>
              <w:pStyle w:val="Compact"/>
              <w:jc w:val="both"/>
            </w:pPr>
            <w:r>
              <w:t>0.35</w:t>
            </w:r>
          </w:p>
        </w:tc>
        <w:tc>
          <w:tcPr>
            <w:tcW w:w="0" w:type="auto"/>
            <w:tcBorders>
              <w:bottom w:val="single" w:sz="4" w:space="0" w:color="auto"/>
            </w:tcBorders>
          </w:tcPr>
          <w:p w14:paraId="08E57F32" w14:textId="77777777" w:rsidR="00914D0D" w:rsidRDefault="00E77225" w:rsidP="003D44AE">
            <w:pPr>
              <w:pStyle w:val="Compact"/>
              <w:jc w:val="both"/>
            </w:pPr>
            <w:r>
              <w:t>0.35</w:t>
            </w:r>
          </w:p>
        </w:tc>
        <w:tc>
          <w:tcPr>
            <w:tcW w:w="0" w:type="auto"/>
            <w:tcBorders>
              <w:bottom w:val="single" w:sz="4" w:space="0" w:color="auto"/>
            </w:tcBorders>
          </w:tcPr>
          <w:p w14:paraId="674D5E3B" w14:textId="77777777" w:rsidR="00914D0D" w:rsidRDefault="00E77225" w:rsidP="003D44AE">
            <w:pPr>
              <w:pStyle w:val="Compact"/>
              <w:jc w:val="both"/>
            </w:pPr>
            <w:r>
              <w:t>0.35</w:t>
            </w:r>
          </w:p>
        </w:tc>
        <w:tc>
          <w:tcPr>
            <w:tcW w:w="0" w:type="auto"/>
            <w:tcBorders>
              <w:bottom w:val="single" w:sz="4" w:space="0" w:color="auto"/>
            </w:tcBorders>
          </w:tcPr>
          <w:p w14:paraId="1E24D8B3" w14:textId="77777777" w:rsidR="00914D0D" w:rsidRDefault="00E77225" w:rsidP="003D44AE">
            <w:pPr>
              <w:pStyle w:val="Compact"/>
              <w:jc w:val="both"/>
            </w:pPr>
            <w:r>
              <w:t>0.35</w:t>
            </w:r>
          </w:p>
        </w:tc>
        <w:tc>
          <w:tcPr>
            <w:tcW w:w="0" w:type="auto"/>
            <w:tcBorders>
              <w:bottom w:val="single" w:sz="4" w:space="0" w:color="auto"/>
            </w:tcBorders>
          </w:tcPr>
          <w:p w14:paraId="069A07A6" w14:textId="77777777" w:rsidR="00914D0D" w:rsidRDefault="00E77225" w:rsidP="003D44AE">
            <w:pPr>
              <w:pStyle w:val="Compact"/>
              <w:jc w:val="both"/>
            </w:pPr>
            <w:r>
              <w:t>0.35</w:t>
            </w:r>
          </w:p>
        </w:tc>
      </w:tr>
    </w:tbl>
    <w:p w14:paraId="2A7013D2" w14:textId="77777777" w:rsidR="00914D0D" w:rsidRDefault="00914D0D" w:rsidP="003D44AE">
      <w:pPr>
        <w:jc w:val="both"/>
      </w:pPr>
    </w:p>
    <w:p w14:paraId="28B534DC" w14:textId="77777777" w:rsidR="00914D0D" w:rsidRDefault="00E77225" w:rsidP="003D44AE">
      <w:pPr>
        <w:pStyle w:val="TableCaption"/>
        <w:jc w:val="both"/>
      </w:pPr>
      <w:r>
        <w:t>Table 5: P-value of species-specific comparison of ecosystem services across onsite land cover classes by ANOVA</w:t>
      </w:r>
    </w:p>
    <w:tbl>
      <w:tblPr>
        <w:tblStyle w:val="Table"/>
        <w:tblW w:w="5000" w:type="pct"/>
        <w:tblLook w:val="0020" w:firstRow="1" w:lastRow="0" w:firstColumn="0" w:lastColumn="0" w:noHBand="0" w:noVBand="0"/>
      </w:tblPr>
      <w:tblGrid>
        <w:gridCol w:w="1686"/>
        <w:gridCol w:w="1645"/>
        <w:gridCol w:w="1074"/>
        <w:gridCol w:w="1070"/>
        <w:gridCol w:w="1078"/>
        <w:gridCol w:w="1073"/>
        <w:gridCol w:w="1230"/>
      </w:tblGrid>
      <w:tr w:rsidR="00914D0D" w14:paraId="5F015FC6" w14:textId="77777777" w:rsidTr="003D44AE">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tcBorders>
          </w:tcPr>
          <w:p w14:paraId="4AB9A008" w14:textId="77777777" w:rsidR="00914D0D" w:rsidRDefault="00E77225" w:rsidP="003D44AE">
            <w:pPr>
              <w:pStyle w:val="Compact"/>
              <w:jc w:val="both"/>
            </w:pPr>
            <w:r>
              <w:t>Species</w:t>
            </w:r>
          </w:p>
        </w:tc>
        <w:tc>
          <w:tcPr>
            <w:tcW w:w="0" w:type="auto"/>
            <w:tcBorders>
              <w:top w:val="single" w:sz="4" w:space="0" w:color="auto"/>
            </w:tcBorders>
          </w:tcPr>
          <w:p w14:paraId="4E3D3104" w14:textId="77777777" w:rsidR="00914D0D" w:rsidRDefault="00E77225" w:rsidP="003D44AE">
            <w:pPr>
              <w:pStyle w:val="Compact"/>
              <w:jc w:val="both"/>
            </w:pPr>
            <w:r>
              <w:t>Carbon sequestration</w:t>
            </w:r>
          </w:p>
        </w:tc>
        <w:tc>
          <w:tcPr>
            <w:tcW w:w="0" w:type="auto"/>
            <w:tcBorders>
              <w:top w:val="single" w:sz="4" w:space="0" w:color="auto"/>
            </w:tcBorders>
          </w:tcPr>
          <w:p w14:paraId="1C8E45B1" w14:textId="77777777" w:rsidR="00914D0D" w:rsidRDefault="00E77225" w:rsidP="003D44AE">
            <w:pPr>
              <w:pStyle w:val="Compact"/>
              <w:jc w:val="both"/>
            </w:pPr>
            <w:r>
              <w:t>NO2 removal</w:t>
            </w:r>
          </w:p>
        </w:tc>
        <w:tc>
          <w:tcPr>
            <w:tcW w:w="0" w:type="auto"/>
            <w:tcBorders>
              <w:top w:val="single" w:sz="4" w:space="0" w:color="auto"/>
            </w:tcBorders>
          </w:tcPr>
          <w:p w14:paraId="1914459C" w14:textId="77777777" w:rsidR="00914D0D" w:rsidRDefault="00E77225" w:rsidP="003D44AE">
            <w:pPr>
              <w:pStyle w:val="Compact"/>
              <w:jc w:val="both"/>
            </w:pPr>
            <w:r>
              <w:t>O3 removal</w:t>
            </w:r>
          </w:p>
        </w:tc>
        <w:tc>
          <w:tcPr>
            <w:tcW w:w="0" w:type="auto"/>
            <w:tcBorders>
              <w:top w:val="single" w:sz="4" w:space="0" w:color="auto"/>
            </w:tcBorders>
          </w:tcPr>
          <w:p w14:paraId="39BF2EE4" w14:textId="77777777" w:rsidR="00914D0D" w:rsidRDefault="00E77225" w:rsidP="003D44AE">
            <w:pPr>
              <w:pStyle w:val="Compact"/>
              <w:jc w:val="both"/>
            </w:pPr>
            <w:r>
              <w:t>PM2.5 removal</w:t>
            </w:r>
          </w:p>
        </w:tc>
        <w:tc>
          <w:tcPr>
            <w:tcW w:w="0" w:type="auto"/>
            <w:tcBorders>
              <w:top w:val="single" w:sz="4" w:space="0" w:color="auto"/>
            </w:tcBorders>
          </w:tcPr>
          <w:p w14:paraId="7676A3A9" w14:textId="77777777" w:rsidR="00914D0D" w:rsidRDefault="00E77225" w:rsidP="003D44AE">
            <w:pPr>
              <w:pStyle w:val="Compact"/>
              <w:jc w:val="both"/>
            </w:pPr>
            <w:r>
              <w:t>SO2 removal</w:t>
            </w:r>
          </w:p>
        </w:tc>
        <w:tc>
          <w:tcPr>
            <w:tcW w:w="0" w:type="auto"/>
            <w:tcBorders>
              <w:top w:val="single" w:sz="4" w:space="0" w:color="auto"/>
            </w:tcBorders>
          </w:tcPr>
          <w:p w14:paraId="40718B7F" w14:textId="77777777" w:rsidR="00914D0D" w:rsidRDefault="00E77225" w:rsidP="003D44AE">
            <w:pPr>
              <w:pStyle w:val="Compact"/>
              <w:jc w:val="both"/>
            </w:pPr>
            <w:r>
              <w:t>Runoff reduction</w:t>
            </w:r>
          </w:p>
        </w:tc>
      </w:tr>
      <w:tr w:rsidR="00914D0D" w14:paraId="4ED754E3" w14:textId="77777777">
        <w:tc>
          <w:tcPr>
            <w:tcW w:w="0" w:type="auto"/>
          </w:tcPr>
          <w:p w14:paraId="52C42A8F" w14:textId="77777777" w:rsidR="00914D0D" w:rsidRDefault="00E77225" w:rsidP="003D44AE">
            <w:pPr>
              <w:pStyle w:val="Compact"/>
              <w:jc w:val="both"/>
            </w:pPr>
            <w:r>
              <w:t>Cinnamomum camphora</w:t>
            </w:r>
          </w:p>
        </w:tc>
        <w:tc>
          <w:tcPr>
            <w:tcW w:w="0" w:type="auto"/>
          </w:tcPr>
          <w:p w14:paraId="4AA1A4E9" w14:textId="77777777" w:rsidR="00914D0D" w:rsidRDefault="00E77225" w:rsidP="003D44AE">
            <w:pPr>
              <w:pStyle w:val="Compact"/>
              <w:jc w:val="both"/>
            </w:pPr>
            <w:r>
              <w:t>0.37</w:t>
            </w:r>
          </w:p>
        </w:tc>
        <w:tc>
          <w:tcPr>
            <w:tcW w:w="0" w:type="auto"/>
          </w:tcPr>
          <w:p w14:paraId="36406D3D" w14:textId="77777777" w:rsidR="00914D0D" w:rsidRDefault="00E77225" w:rsidP="003D44AE">
            <w:pPr>
              <w:pStyle w:val="Compact"/>
              <w:jc w:val="both"/>
            </w:pPr>
            <w:r>
              <w:t>0.06</w:t>
            </w:r>
          </w:p>
        </w:tc>
        <w:tc>
          <w:tcPr>
            <w:tcW w:w="0" w:type="auto"/>
          </w:tcPr>
          <w:p w14:paraId="60AB9AE5" w14:textId="77777777" w:rsidR="00914D0D" w:rsidRDefault="00E77225" w:rsidP="003D44AE">
            <w:pPr>
              <w:pStyle w:val="Compact"/>
              <w:jc w:val="both"/>
            </w:pPr>
            <w:r>
              <w:t>0.06</w:t>
            </w:r>
          </w:p>
        </w:tc>
        <w:tc>
          <w:tcPr>
            <w:tcW w:w="0" w:type="auto"/>
          </w:tcPr>
          <w:p w14:paraId="326225F3" w14:textId="77777777" w:rsidR="00914D0D" w:rsidRDefault="00E77225" w:rsidP="003D44AE">
            <w:pPr>
              <w:pStyle w:val="Compact"/>
              <w:jc w:val="both"/>
            </w:pPr>
            <w:r>
              <w:t>0.06</w:t>
            </w:r>
          </w:p>
        </w:tc>
        <w:tc>
          <w:tcPr>
            <w:tcW w:w="0" w:type="auto"/>
          </w:tcPr>
          <w:p w14:paraId="7A569E2F" w14:textId="77777777" w:rsidR="00914D0D" w:rsidRDefault="00E77225" w:rsidP="003D44AE">
            <w:pPr>
              <w:pStyle w:val="Compact"/>
              <w:jc w:val="both"/>
            </w:pPr>
            <w:r>
              <w:t>0.06</w:t>
            </w:r>
          </w:p>
        </w:tc>
        <w:tc>
          <w:tcPr>
            <w:tcW w:w="0" w:type="auto"/>
          </w:tcPr>
          <w:p w14:paraId="67FF7924" w14:textId="77777777" w:rsidR="00914D0D" w:rsidRDefault="00E77225" w:rsidP="003D44AE">
            <w:pPr>
              <w:pStyle w:val="Compact"/>
              <w:jc w:val="both"/>
            </w:pPr>
            <w:r>
              <w:t>0.06</w:t>
            </w:r>
          </w:p>
        </w:tc>
      </w:tr>
      <w:tr w:rsidR="00914D0D" w14:paraId="6A21645B" w14:textId="77777777">
        <w:tc>
          <w:tcPr>
            <w:tcW w:w="0" w:type="auto"/>
          </w:tcPr>
          <w:p w14:paraId="35E05724" w14:textId="77777777" w:rsidR="00914D0D" w:rsidRDefault="00E77225" w:rsidP="003D44AE">
            <w:pPr>
              <w:pStyle w:val="Compact"/>
              <w:jc w:val="both"/>
            </w:pPr>
            <w:r>
              <w:t>Ligustrum lucidum</w:t>
            </w:r>
          </w:p>
        </w:tc>
        <w:tc>
          <w:tcPr>
            <w:tcW w:w="0" w:type="auto"/>
          </w:tcPr>
          <w:p w14:paraId="7A7BCF46" w14:textId="77777777" w:rsidR="00914D0D" w:rsidRDefault="00E77225" w:rsidP="003D44AE">
            <w:pPr>
              <w:pStyle w:val="Compact"/>
              <w:jc w:val="both"/>
            </w:pPr>
            <w:r>
              <w:t>&lt;0.001</w:t>
            </w:r>
          </w:p>
        </w:tc>
        <w:tc>
          <w:tcPr>
            <w:tcW w:w="0" w:type="auto"/>
          </w:tcPr>
          <w:p w14:paraId="7ACBB067" w14:textId="77777777" w:rsidR="00914D0D" w:rsidRDefault="00E77225" w:rsidP="003D44AE">
            <w:pPr>
              <w:pStyle w:val="Compact"/>
              <w:jc w:val="both"/>
            </w:pPr>
            <w:r>
              <w:t>&lt;0.001</w:t>
            </w:r>
          </w:p>
        </w:tc>
        <w:tc>
          <w:tcPr>
            <w:tcW w:w="0" w:type="auto"/>
          </w:tcPr>
          <w:p w14:paraId="733B68E9" w14:textId="77777777" w:rsidR="00914D0D" w:rsidRDefault="00E77225" w:rsidP="003D44AE">
            <w:pPr>
              <w:pStyle w:val="Compact"/>
              <w:jc w:val="both"/>
            </w:pPr>
            <w:r>
              <w:t>&lt;0.001</w:t>
            </w:r>
          </w:p>
        </w:tc>
        <w:tc>
          <w:tcPr>
            <w:tcW w:w="0" w:type="auto"/>
          </w:tcPr>
          <w:p w14:paraId="49349879" w14:textId="77777777" w:rsidR="00914D0D" w:rsidRDefault="00E77225" w:rsidP="003D44AE">
            <w:pPr>
              <w:pStyle w:val="Compact"/>
              <w:jc w:val="both"/>
            </w:pPr>
            <w:r>
              <w:t>&lt;0.001</w:t>
            </w:r>
          </w:p>
        </w:tc>
        <w:tc>
          <w:tcPr>
            <w:tcW w:w="0" w:type="auto"/>
          </w:tcPr>
          <w:p w14:paraId="01CA2E1B" w14:textId="77777777" w:rsidR="00914D0D" w:rsidRDefault="00E77225" w:rsidP="003D44AE">
            <w:pPr>
              <w:pStyle w:val="Compact"/>
              <w:jc w:val="both"/>
            </w:pPr>
            <w:r>
              <w:t>&lt;0.001</w:t>
            </w:r>
          </w:p>
        </w:tc>
        <w:tc>
          <w:tcPr>
            <w:tcW w:w="0" w:type="auto"/>
          </w:tcPr>
          <w:p w14:paraId="4457749C" w14:textId="77777777" w:rsidR="00914D0D" w:rsidRDefault="00E77225" w:rsidP="003D44AE">
            <w:pPr>
              <w:pStyle w:val="Compact"/>
              <w:jc w:val="both"/>
            </w:pPr>
            <w:r>
              <w:t>&lt;0.001</w:t>
            </w:r>
          </w:p>
        </w:tc>
      </w:tr>
      <w:tr w:rsidR="00914D0D" w14:paraId="040BF7CF" w14:textId="77777777">
        <w:tc>
          <w:tcPr>
            <w:tcW w:w="0" w:type="auto"/>
          </w:tcPr>
          <w:p w14:paraId="1E13E62E" w14:textId="77777777" w:rsidR="00914D0D" w:rsidRDefault="00E77225" w:rsidP="003D44AE">
            <w:pPr>
              <w:pStyle w:val="Compact"/>
              <w:jc w:val="both"/>
            </w:pPr>
            <w:r>
              <w:t>Osmanthus fragrans</w:t>
            </w:r>
          </w:p>
        </w:tc>
        <w:tc>
          <w:tcPr>
            <w:tcW w:w="0" w:type="auto"/>
          </w:tcPr>
          <w:p w14:paraId="7C72347F" w14:textId="77777777" w:rsidR="00914D0D" w:rsidRDefault="00E77225" w:rsidP="003D44AE">
            <w:pPr>
              <w:pStyle w:val="Compact"/>
              <w:jc w:val="both"/>
            </w:pPr>
            <w:r>
              <w:t>0.41</w:t>
            </w:r>
          </w:p>
        </w:tc>
        <w:tc>
          <w:tcPr>
            <w:tcW w:w="0" w:type="auto"/>
          </w:tcPr>
          <w:p w14:paraId="4454D868" w14:textId="77777777" w:rsidR="00914D0D" w:rsidRDefault="00E77225" w:rsidP="003D44AE">
            <w:pPr>
              <w:pStyle w:val="Compact"/>
              <w:jc w:val="both"/>
            </w:pPr>
            <w:r>
              <w:t>0.07</w:t>
            </w:r>
          </w:p>
        </w:tc>
        <w:tc>
          <w:tcPr>
            <w:tcW w:w="0" w:type="auto"/>
          </w:tcPr>
          <w:p w14:paraId="05FEF9C2" w14:textId="77777777" w:rsidR="00914D0D" w:rsidRDefault="00E77225" w:rsidP="003D44AE">
            <w:pPr>
              <w:pStyle w:val="Compact"/>
              <w:jc w:val="both"/>
            </w:pPr>
            <w:r>
              <w:t>0.07</w:t>
            </w:r>
          </w:p>
        </w:tc>
        <w:tc>
          <w:tcPr>
            <w:tcW w:w="0" w:type="auto"/>
          </w:tcPr>
          <w:p w14:paraId="21C03124" w14:textId="77777777" w:rsidR="00914D0D" w:rsidRDefault="00E77225" w:rsidP="003D44AE">
            <w:pPr>
              <w:pStyle w:val="Compact"/>
              <w:jc w:val="both"/>
            </w:pPr>
            <w:r>
              <w:t>0.07</w:t>
            </w:r>
          </w:p>
        </w:tc>
        <w:tc>
          <w:tcPr>
            <w:tcW w:w="0" w:type="auto"/>
          </w:tcPr>
          <w:p w14:paraId="6529E541" w14:textId="77777777" w:rsidR="00914D0D" w:rsidRDefault="00E77225" w:rsidP="003D44AE">
            <w:pPr>
              <w:pStyle w:val="Compact"/>
              <w:jc w:val="both"/>
            </w:pPr>
            <w:r>
              <w:t>0.07</w:t>
            </w:r>
          </w:p>
        </w:tc>
        <w:tc>
          <w:tcPr>
            <w:tcW w:w="0" w:type="auto"/>
          </w:tcPr>
          <w:p w14:paraId="134CCAC7" w14:textId="77777777" w:rsidR="00914D0D" w:rsidRDefault="00E77225" w:rsidP="003D44AE">
            <w:pPr>
              <w:pStyle w:val="Compact"/>
              <w:jc w:val="both"/>
            </w:pPr>
            <w:r>
              <w:t>0.07</w:t>
            </w:r>
          </w:p>
        </w:tc>
      </w:tr>
      <w:tr w:rsidR="00914D0D" w14:paraId="513DB7ED" w14:textId="77777777">
        <w:tc>
          <w:tcPr>
            <w:tcW w:w="0" w:type="auto"/>
          </w:tcPr>
          <w:p w14:paraId="5A2E6690" w14:textId="77777777" w:rsidR="00914D0D" w:rsidRDefault="00E77225" w:rsidP="003D44AE">
            <w:pPr>
              <w:pStyle w:val="Compact"/>
              <w:jc w:val="both"/>
            </w:pPr>
            <w:r>
              <w:t>Prunus x blireana</w:t>
            </w:r>
          </w:p>
        </w:tc>
        <w:tc>
          <w:tcPr>
            <w:tcW w:w="0" w:type="auto"/>
          </w:tcPr>
          <w:p w14:paraId="41217C27" w14:textId="77777777" w:rsidR="00914D0D" w:rsidRDefault="00E77225" w:rsidP="003D44AE">
            <w:pPr>
              <w:pStyle w:val="Compact"/>
              <w:jc w:val="both"/>
            </w:pPr>
            <w:r>
              <w:t>0.08</w:t>
            </w:r>
          </w:p>
        </w:tc>
        <w:tc>
          <w:tcPr>
            <w:tcW w:w="0" w:type="auto"/>
          </w:tcPr>
          <w:p w14:paraId="3CA4B5D7" w14:textId="77777777" w:rsidR="00914D0D" w:rsidRDefault="00E77225" w:rsidP="003D44AE">
            <w:pPr>
              <w:pStyle w:val="Compact"/>
              <w:jc w:val="both"/>
            </w:pPr>
            <w:r>
              <w:t>&lt;0.05</w:t>
            </w:r>
          </w:p>
        </w:tc>
        <w:tc>
          <w:tcPr>
            <w:tcW w:w="0" w:type="auto"/>
          </w:tcPr>
          <w:p w14:paraId="15E0D27F" w14:textId="77777777" w:rsidR="00914D0D" w:rsidRDefault="00E77225" w:rsidP="003D44AE">
            <w:pPr>
              <w:pStyle w:val="Compact"/>
              <w:jc w:val="both"/>
            </w:pPr>
            <w:r>
              <w:t>&lt;0.05</w:t>
            </w:r>
          </w:p>
        </w:tc>
        <w:tc>
          <w:tcPr>
            <w:tcW w:w="0" w:type="auto"/>
          </w:tcPr>
          <w:p w14:paraId="6CF8205C" w14:textId="77777777" w:rsidR="00914D0D" w:rsidRDefault="00E77225" w:rsidP="003D44AE">
            <w:pPr>
              <w:pStyle w:val="Compact"/>
              <w:jc w:val="both"/>
            </w:pPr>
            <w:r>
              <w:t>&lt;0.05</w:t>
            </w:r>
          </w:p>
        </w:tc>
        <w:tc>
          <w:tcPr>
            <w:tcW w:w="0" w:type="auto"/>
          </w:tcPr>
          <w:p w14:paraId="05FE5B8B" w14:textId="77777777" w:rsidR="00914D0D" w:rsidRDefault="00E77225" w:rsidP="003D44AE">
            <w:pPr>
              <w:pStyle w:val="Compact"/>
              <w:jc w:val="both"/>
            </w:pPr>
            <w:r>
              <w:t>&lt;0.05</w:t>
            </w:r>
          </w:p>
        </w:tc>
        <w:tc>
          <w:tcPr>
            <w:tcW w:w="0" w:type="auto"/>
          </w:tcPr>
          <w:p w14:paraId="0A0A8930" w14:textId="77777777" w:rsidR="00914D0D" w:rsidRDefault="00E77225" w:rsidP="003D44AE">
            <w:pPr>
              <w:pStyle w:val="Compact"/>
              <w:jc w:val="both"/>
            </w:pPr>
            <w:r>
              <w:t>&lt;0.05</w:t>
            </w:r>
          </w:p>
        </w:tc>
      </w:tr>
      <w:tr w:rsidR="00914D0D" w14:paraId="4165ECC8" w14:textId="77777777">
        <w:tc>
          <w:tcPr>
            <w:tcW w:w="0" w:type="auto"/>
          </w:tcPr>
          <w:p w14:paraId="47C5CF7F" w14:textId="77777777" w:rsidR="00914D0D" w:rsidRDefault="00E77225" w:rsidP="003D44AE">
            <w:pPr>
              <w:pStyle w:val="Compact"/>
              <w:jc w:val="both"/>
            </w:pPr>
            <w:r>
              <w:t>Quercus x alvordiana</w:t>
            </w:r>
          </w:p>
        </w:tc>
        <w:tc>
          <w:tcPr>
            <w:tcW w:w="0" w:type="auto"/>
          </w:tcPr>
          <w:p w14:paraId="0AB61128" w14:textId="77777777" w:rsidR="00914D0D" w:rsidRDefault="00E77225" w:rsidP="003D44AE">
            <w:pPr>
              <w:pStyle w:val="Compact"/>
              <w:jc w:val="both"/>
            </w:pPr>
            <w:r>
              <w:t>&lt;0.001</w:t>
            </w:r>
          </w:p>
        </w:tc>
        <w:tc>
          <w:tcPr>
            <w:tcW w:w="0" w:type="auto"/>
          </w:tcPr>
          <w:p w14:paraId="05BCF317" w14:textId="77777777" w:rsidR="00914D0D" w:rsidRDefault="00E77225" w:rsidP="003D44AE">
            <w:pPr>
              <w:pStyle w:val="Compact"/>
              <w:jc w:val="both"/>
            </w:pPr>
            <w:r>
              <w:t>&lt;0.001</w:t>
            </w:r>
          </w:p>
        </w:tc>
        <w:tc>
          <w:tcPr>
            <w:tcW w:w="0" w:type="auto"/>
          </w:tcPr>
          <w:p w14:paraId="3CC67EBD" w14:textId="77777777" w:rsidR="00914D0D" w:rsidRDefault="00E77225" w:rsidP="003D44AE">
            <w:pPr>
              <w:pStyle w:val="Compact"/>
              <w:jc w:val="both"/>
            </w:pPr>
            <w:r>
              <w:t>&lt;0.001</w:t>
            </w:r>
          </w:p>
        </w:tc>
        <w:tc>
          <w:tcPr>
            <w:tcW w:w="0" w:type="auto"/>
          </w:tcPr>
          <w:p w14:paraId="25F8FA25" w14:textId="77777777" w:rsidR="00914D0D" w:rsidRDefault="00E77225" w:rsidP="003D44AE">
            <w:pPr>
              <w:pStyle w:val="Compact"/>
              <w:jc w:val="both"/>
            </w:pPr>
            <w:r>
              <w:t>&lt;0.001</w:t>
            </w:r>
          </w:p>
        </w:tc>
        <w:tc>
          <w:tcPr>
            <w:tcW w:w="0" w:type="auto"/>
          </w:tcPr>
          <w:p w14:paraId="5BA11CFB" w14:textId="77777777" w:rsidR="00914D0D" w:rsidRDefault="00E77225" w:rsidP="003D44AE">
            <w:pPr>
              <w:pStyle w:val="Compact"/>
              <w:jc w:val="both"/>
            </w:pPr>
            <w:r>
              <w:t>&lt;0.001</w:t>
            </w:r>
          </w:p>
        </w:tc>
        <w:tc>
          <w:tcPr>
            <w:tcW w:w="0" w:type="auto"/>
          </w:tcPr>
          <w:p w14:paraId="4EE1A439" w14:textId="77777777" w:rsidR="00914D0D" w:rsidRDefault="00E77225" w:rsidP="003D44AE">
            <w:pPr>
              <w:pStyle w:val="Compact"/>
              <w:jc w:val="both"/>
            </w:pPr>
            <w:r>
              <w:t>&lt;0.001</w:t>
            </w:r>
          </w:p>
        </w:tc>
      </w:tr>
      <w:tr w:rsidR="00914D0D" w14:paraId="79197475" w14:textId="77777777">
        <w:tc>
          <w:tcPr>
            <w:tcW w:w="0" w:type="auto"/>
          </w:tcPr>
          <w:p w14:paraId="7E3998D5" w14:textId="77777777" w:rsidR="00914D0D" w:rsidRDefault="00E77225" w:rsidP="003D44AE">
            <w:pPr>
              <w:pStyle w:val="Compact"/>
              <w:jc w:val="both"/>
            </w:pPr>
            <w:r>
              <w:t>Quercus myrsinifolia</w:t>
            </w:r>
          </w:p>
        </w:tc>
        <w:tc>
          <w:tcPr>
            <w:tcW w:w="0" w:type="auto"/>
          </w:tcPr>
          <w:p w14:paraId="02A91DF7" w14:textId="77777777" w:rsidR="00914D0D" w:rsidRDefault="00E77225" w:rsidP="003D44AE">
            <w:pPr>
              <w:pStyle w:val="Compact"/>
              <w:jc w:val="both"/>
            </w:pPr>
            <w:r>
              <w:t>&lt;0.05</w:t>
            </w:r>
          </w:p>
        </w:tc>
        <w:tc>
          <w:tcPr>
            <w:tcW w:w="0" w:type="auto"/>
          </w:tcPr>
          <w:p w14:paraId="2CEF4680" w14:textId="77777777" w:rsidR="00914D0D" w:rsidRDefault="00E77225" w:rsidP="003D44AE">
            <w:pPr>
              <w:pStyle w:val="Compact"/>
              <w:jc w:val="both"/>
            </w:pPr>
            <w:r>
              <w:t>&lt;0.001</w:t>
            </w:r>
          </w:p>
        </w:tc>
        <w:tc>
          <w:tcPr>
            <w:tcW w:w="0" w:type="auto"/>
          </w:tcPr>
          <w:p w14:paraId="72707810" w14:textId="77777777" w:rsidR="00914D0D" w:rsidRDefault="00E77225" w:rsidP="003D44AE">
            <w:pPr>
              <w:pStyle w:val="Compact"/>
              <w:jc w:val="both"/>
            </w:pPr>
            <w:r>
              <w:t>&lt;0.001</w:t>
            </w:r>
          </w:p>
        </w:tc>
        <w:tc>
          <w:tcPr>
            <w:tcW w:w="0" w:type="auto"/>
          </w:tcPr>
          <w:p w14:paraId="5FBAED4E" w14:textId="77777777" w:rsidR="00914D0D" w:rsidRDefault="00E77225" w:rsidP="003D44AE">
            <w:pPr>
              <w:pStyle w:val="Compact"/>
              <w:jc w:val="both"/>
            </w:pPr>
            <w:r>
              <w:t>&lt;0.001</w:t>
            </w:r>
          </w:p>
        </w:tc>
        <w:tc>
          <w:tcPr>
            <w:tcW w:w="0" w:type="auto"/>
          </w:tcPr>
          <w:p w14:paraId="212EADF8" w14:textId="77777777" w:rsidR="00914D0D" w:rsidRDefault="00E77225" w:rsidP="003D44AE">
            <w:pPr>
              <w:pStyle w:val="Compact"/>
              <w:jc w:val="both"/>
            </w:pPr>
            <w:r>
              <w:t>&lt;0.001</w:t>
            </w:r>
          </w:p>
        </w:tc>
        <w:tc>
          <w:tcPr>
            <w:tcW w:w="0" w:type="auto"/>
          </w:tcPr>
          <w:p w14:paraId="16D4B466" w14:textId="77777777" w:rsidR="00914D0D" w:rsidRDefault="00E77225" w:rsidP="003D44AE">
            <w:pPr>
              <w:pStyle w:val="Compact"/>
              <w:jc w:val="both"/>
            </w:pPr>
            <w:r>
              <w:t>&lt;0.001</w:t>
            </w:r>
          </w:p>
        </w:tc>
      </w:tr>
      <w:tr w:rsidR="00914D0D" w14:paraId="5844E00C" w14:textId="77777777" w:rsidTr="003D44AE">
        <w:tc>
          <w:tcPr>
            <w:tcW w:w="0" w:type="auto"/>
            <w:tcBorders>
              <w:bottom w:val="single" w:sz="4" w:space="0" w:color="auto"/>
            </w:tcBorders>
          </w:tcPr>
          <w:p w14:paraId="6095B0AD" w14:textId="77777777" w:rsidR="00914D0D" w:rsidRDefault="00E77225" w:rsidP="003D44AE">
            <w:pPr>
              <w:pStyle w:val="Compact"/>
              <w:jc w:val="both"/>
            </w:pPr>
            <w:r>
              <w:t xml:space="preserve">Zelkova </w:t>
            </w:r>
            <w:r>
              <w:lastRenderedPageBreak/>
              <w:t>serrata</w:t>
            </w:r>
          </w:p>
        </w:tc>
        <w:tc>
          <w:tcPr>
            <w:tcW w:w="0" w:type="auto"/>
            <w:tcBorders>
              <w:bottom w:val="single" w:sz="4" w:space="0" w:color="auto"/>
            </w:tcBorders>
          </w:tcPr>
          <w:p w14:paraId="69A7C692" w14:textId="77777777" w:rsidR="00914D0D" w:rsidRDefault="00E77225" w:rsidP="003D44AE">
            <w:pPr>
              <w:pStyle w:val="Compact"/>
              <w:jc w:val="both"/>
            </w:pPr>
            <w:r>
              <w:lastRenderedPageBreak/>
              <w:t>&lt;0.05</w:t>
            </w:r>
          </w:p>
        </w:tc>
        <w:tc>
          <w:tcPr>
            <w:tcW w:w="0" w:type="auto"/>
            <w:tcBorders>
              <w:bottom w:val="single" w:sz="4" w:space="0" w:color="auto"/>
            </w:tcBorders>
          </w:tcPr>
          <w:p w14:paraId="6479B431" w14:textId="77777777" w:rsidR="00914D0D" w:rsidRDefault="00E77225" w:rsidP="003D44AE">
            <w:pPr>
              <w:pStyle w:val="Compact"/>
              <w:jc w:val="both"/>
            </w:pPr>
            <w:r>
              <w:t>&lt;0.05</w:t>
            </w:r>
          </w:p>
        </w:tc>
        <w:tc>
          <w:tcPr>
            <w:tcW w:w="0" w:type="auto"/>
            <w:tcBorders>
              <w:bottom w:val="single" w:sz="4" w:space="0" w:color="auto"/>
            </w:tcBorders>
          </w:tcPr>
          <w:p w14:paraId="2C029DE2" w14:textId="77777777" w:rsidR="00914D0D" w:rsidRDefault="00E77225" w:rsidP="003D44AE">
            <w:pPr>
              <w:pStyle w:val="Compact"/>
              <w:jc w:val="both"/>
            </w:pPr>
            <w:r>
              <w:t>&lt;0.05</w:t>
            </w:r>
          </w:p>
        </w:tc>
        <w:tc>
          <w:tcPr>
            <w:tcW w:w="0" w:type="auto"/>
            <w:tcBorders>
              <w:bottom w:val="single" w:sz="4" w:space="0" w:color="auto"/>
            </w:tcBorders>
          </w:tcPr>
          <w:p w14:paraId="7B6FB805" w14:textId="77777777" w:rsidR="00914D0D" w:rsidRDefault="00E77225" w:rsidP="003D44AE">
            <w:pPr>
              <w:pStyle w:val="Compact"/>
              <w:jc w:val="both"/>
            </w:pPr>
            <w:r>
              <w:t>&lt;0.05</w:t>
            </w:r>
          </w:p>
        </w:tc>
        <w:tc>
          <w:tcPr>
            <w:tcW w:w="0" w:type="auto"/>
            <w:tcBorders>
              <w:bottom w:val="single" w:sz="4" w:space="0" w:color="auto"/>
            </w:tcBorders>
          </w:tcPr>
          <w:p w14:paraId="07F39E9E" w14:textId="77777777" w:rsidR="00914D0D" w:rsidRDefault="00E77225" w:rsidP="003D44AE">
            <w:pPr>
              <w:pStyle w:val="Compact"/>
              <w:jc w:val="both"/>
            </w:pPr>
            <w:r>
              <w:t>&lt;0.05</w:t>
            </w:r>
          </w:p>
        </w:tc>
        <w:tc>
          <w:tcPr>
            <w:tcW w:w="0" w:type="auto"/>
            <w:tcBorders>
              <w:bottom w:val="single" w:sz="4" w:space="0" w:color="auto"/>
            </w:tcBorders>
          </w:tcPr>
          <w:p w14:paraId="2818BE2F" w14:textId="77777777" w:rsidR="00914D0D" w:rsidRDefault="00E77225" w:rsidP="003D44AE">
            <w:pPr>
              <w:pStyle w:val="Compact"/>
              <w:jc w:val="both"/>
            </w:pPr>
            <w:r>
              <w:t>&lt;0.05</w:t>
            </w:r>
          </w:p>
        </w:tc>
      </w:tr>
    </w:tbl>
    <w:p w14:paraId="6554176E" w14:textId="77777777" w:rsidR="00914D0D" w:rsidRDefault="00E77225" w:rsidP="003D44AE">
      <w:pPr>
        <w:pStyle w:val="Heading1"/>
        <w:jc w:val="both"/>
      </w:pPr>
      <w:bookmarkStart w:id="14" w:name="disscussion"/>
      <w:bookmarkEnd w:id="7"/>
      <w:bookmarkEnd w:id="13"/>
      <w:r>
        <w:t>Disscussion</w:t>
      </w:r>
    </w:p>
    <w:p w14:paraId="6613C674" w14:textId="77777777" w:rsidR="00914D0D" w:rsidRDefault="00E77225" w:rsidP="003D44AE">
      <w:pPr>
        <w:pStyle w:val="Heading2"/>
        <w:jc w:val="both"/>
      </w:pPr>
      <w:bookmarkStart w:id="15" w:name="comparison-of-ecosystem-services"/>
      <w:r>
        <w:t>Comparison of ecosystem services</w:t>
      </w:r>
    </w:p>
    <w:p w14:paraId="1FB134C6" w14:textId="77777777" w:rsidR="00914D0D" w:rsidRDefault="00E77225" w:rsidP="003D44AE">
      <w:pPr>
        <w:pStyle w:val="FirstParagraph"/>
        <w:jc w:val="both"/>
      </w:pPr>
      <w:r>
        <w:t>To compare our results with other studies, the mean value of carbon storage, carbon sequstration, and runoff reduction by land use classes on a per ha basis were calculated (Table 6). Both carbon storage (11.51-17.41 ton carbon per ha) and annual carbon se</w:t>
      </w:r>
      <w:r>
        <w:t>questration (1.35-1.60 ton carbon per ha) of residential zones in this study are lower than that in Roanoke, Virginia (37.00 and 2.28 ton carbon per ha), while those indexes of Industrial zone of our study (9.95 and 1.19 ton carbon per ha) is higher than t</w:t>
      </w:r>
      <w:r>
        <w:t>hat of the latter (7.31 and 0.48 ton carbon per ha) [23]. Besides, annual carbon sequestration of residential zones are higher in our research than that of a study for Barcelona, Spain (0.35 and 1.33 ton carbon per ha for high-density and low-density resid</w:t>
      </w:r>
      <w:r>
        <w:t xml:space="preserve">ential area) [32]. The runoff reduction ranges from 16.71 to 56.88 </w:t>
      </w:r>
      <m:oMath>
        <m:sSup>
          <m:sSupPr>
            <m:ctrlPr>
              <w:rPr>
                <w:rFonts w:ascii="Cambria Math" w:hAnsi="Cambria Math"/>
              </w:rPr>
            </m:ctrlPr>
          </m:sSupPr>
          <m:e>
            <m:r>
              <w:rPr>
                <w:rFonts w:ascii="Cambria Math" w:hAnsi="Cambria Math"/>
              </w:rPr>
              <m:t>m</m:t>
            </m:r>
          </m:e>
          <m:sup>
            <m:r>
              <w:rPr>
                <w:rFonts w:ascii="Cambria Math" w:hAnsi="Cambria Math"/>
              </w:rPr>
              <m:t>3</m:t>
            </m:r>
          </m:sup>
        </m:sSup>
        <m:r>
          <m:rPr>
            <m:sty m:val="p"/>
          </m:rPr>
          <w:rPr>
            <w:rFonts w:ascii="Cambria Math" w:hAnsi="Cambria Math"/>
          </w:rPr>
          <m:t>/</m:t>
        </m:r>
        <m:r>
          <w:rPr>
            <w:rFonts w:ascii="Cambria Math" w:hAnsi="Cambria Math"/>
          </w:rPr>
          <m:t>year</m:t>
        </m:r>
        <m:r>
          <m:rPr>
            <m:sty m:val="p"/>
          </m:rPr>
          <w:rPr>
            <w:rFonts w:ascii="Cambria Math" w:hAnsi="Cambria Math"/>
          </w:rPr>
          <m:t>/</m:t>
        </m:r>
        <m:r>
          <w:rPr>
            <w:rFonts w:ascii="Cambria Math" w:hAnsi="Cambria Math"/>
          </w:rPr>
          <m:t>h</m:t>
        </m:r>
        <m:r>
          <w:rPr>
            <w:rFonts w:ascii="Cambria Math" w:hAnsi="Cambria Math"/>
          </w:rPr>
          <m:t>a</m:t>
        </m:r>
      </m:oMath>
      <w:r>
        <w:t xml:space="preserve">, which is similar to a study in green spaces of Luohe, China (24.5-51.1 </w:t>
      </w:r>
      <m:oMath>
        <m:sSup>
          <m:sSupPr>
            <m:ctrlPr>
              <w:rPr>
                <w:rFonts w:ascii="Cambria Math" w:hAnsi="Cambria Math"/>
              </w:rPr>
            </m:ctrlPr>
          </m:sSupPr>
          <m:e>
            <m:r>
              <w:rPr>
                <w:rFonts w:ascii="Cambria Math" w:hAnsi="Cambria Math"/>
              </w:rPr>
              <m:t>m</m:t>
            </m:r>
          </m:e>
          <m:sup>
            <m:r>
              <w:rPr>
                <w:rFonts w:ascii="Cambria Math" w:hAnsi="Cambria Math"/>
              </w:rPr>
              <m:t>3</m:t>
            </m:r>
          </m:sup>
        </m:sSup>
        <m:r>
          <m:rPr>
            <m:sty m:val="p"/>
          </m:rPr>
          <w:rPr>
            <w:rFonts w:ascii="Cambria Math" w:hAnsi="Cambria Math"/>
          </w:rPr>
          <m:t>/</m:t>
        </m:r>
        <m:r>
          <w:rPr>
            <w:rFonts w:ascii="Cambria Math" w:hAnsi="Cambria Math"/>
          </w:rPr>
          <m:t>year</m:t>
        </m:r>
        <m:r>
          <m:rPr>
            <m:sty m:val="p"/>
          </m:rPr>
          <w:rPr>
            <w:rFonts w:ascii="Cambria Math" w:hAnsi="Cambria Math"/>
          </w:rPr>
          <m:t>/</m:t>
        </m:r>
        <m:r>
          <w:rPr>
            <w:rFonts w:ascii="Cambria Math" w:hAnsi="Cambria Math"/>
          </w:rPr>
          <m:t>h</m:t>
        </m:r>
        <m:r>
          <w:rPr>
            <w:rFonts w:ascii="Cambria Math" w:hAnsi="Cambria Math"/>
          </w:rPr>
          <m:t>a</m:t>
        </m:r>
      </m:oMath>
      <w:r>
        <w:t>) [42].</w:t>
      </w:r>
    </w:p>
    <w:p w14:paraId="6C42413B" w14:textId="77777777" w:rsidR="00914D0D" w:rsidRDefault="00E77225" w:rsidP="003D44AE">
      <w:pPr>
        <w:pStyle w:val="TableCaption"/>
        <w:jc w:val="both"/>
      </w:pPr>
      <w:r>
        <w:t>Table 6: Ecosystem services efficiency in Kyoto City</w:t>
      </w:r>
    </w:p>
    <w:tbl>
      <w:tblPr>
        <w:tblStyle w:val="Table"/>
        <w:tblW w:w="5000" w:type="pct"/>
        <w:tblLook w:val="0020" w:firstRow="1" w:lastRow="0" w:firstColumn="0" w:lastColumn="0" w:noHBand="0" w:noVBand="0"/>
      </w:tblPr>
      <w:tblGrid>
        <w:gridCol w:w="1277"/>
        <w:gridCol w:w="1997"/>
        <w:gridCol w:w="2925"/>
        <w:gridCol w:w="2657"/>
      </w:tblGrid>
      <w:tr w:rsidR="00914D0D" w14:paraId="489B7834" w14:textId="77777777" w:rsidTr="003D44AE">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tcBorders>
          </w:tcPr>
          <w:p w14:paraId="44CD6234" w14:textId="77777777" w:rsidR="00914D0D" w:rsidRDefault="00E77225" w:rsidP="003D44AE">
            <w:pPr>
              <w:pStyle w:val="Compact"/>
              <w:jc w:val="both"/>
            </w:pPr>
            <w:r>
              <w:t>Land use</w:t>
            </w:r>
          </w:p>
        </w:tc>
        <w:tc>
          <w:tcPr>
            <w:tcW w:w="0" w:type="auto"/>
            <w:tcBorders>
              <w:top w:val="single" w:sz="4" w:space="0" w:color="auto"/>
            </w:tcBorders>
          </w:tcPr>
          <w:p w14:paraId="163D42C7" w14:textId="77777777" w:rsidR="00914D0D" w:rsidRDefault="00E77225" w:rsidP="003D44AE">
            <w:pPr>
              <w:pStyle w:val="Compact"/>
              <w:jc w:val="center"/>
            </w:pPr>
            <w:r>
              <w:t>Carbon storage (ton/ha)</w:t>
            </w:r>
          </w:p>
        </w:tc>
        <w:tc>
          <w:tcPr>
            <w:tcW w:w="0" w:type="auto"/>
            <w:tcBorders>
              <w:top w:val="single" w:sz="4" w:space="0" w:color="auto"/>
            </w:tcBorders>
          </w:tcPr>
          <w:p w14:paraId="4737969F" w14:textId="77777777" w:rsidR="00914D0D" w:rsidRDefault="00E77225" w:rsidP="003D44AE">
            <w:pPr>
              <w:pStyle w:val="Compact"/>
              <w:jc w:val="center"/>
            </w:pPr>
            <w:r>
              <w:t>Carbon sequestration (ton/ha/year)</w:t>
            </w:r>
          </w:p>
        </w:tc>
        <w:tc>
          <w:tcPr>
            <w:tcW w:w="0" w:type="auto"/>
            <w:tcBorders>
              <w:top w:val="single" w:sz="4" w:space="0" w:color="auto"/>
            </w:tcBorders>
          </w:tcPr>
          <w:p w14:paraId="3A9A32CB" w14:textId="77777777" w:rsidR="00914D0D" w:rsidRDefault="00E77225" w:rsidP="003D44AE">
            <w:pPr>
              <w:pStyle w:val="Compact"/>
              <w:jc w:val="center"/>
            </w:pPr>
            <w:r>
              <w:t>Runoff reduction (m3/ha/year)</w:t>
            </w:r>
          </w:p>
        </w:tc>
      </w:tr>
      <w:tr w:rsidR="00914D0D" w14:paraId="2F18791D" w14:textId="77777777">
        <w:tc>
          <w:tcPr>
            <w:tcW w:w="0" w:type="auto"/>
          </w:tcPr>
          <w:p w14:paraId="0F5F304B" w14:textId="77777777" w:rsidR="00914D0D" w:rsidRDefault="00E77225" w:rsidP="003D44AE">
            <w:pPr>
              <w:pStyle w:val="Compact"/>
              <w:jc w:val="both"/>
            </w:pPr>
            <w:r>
              <w:t>Com</w:t>
            </w:r>
          </w:p>
        </w:tc>
        <w:tc>
          <w:tcPr>
            <w:tcW w:w="0" w:type="auto"/>
          </w:tcPr>
          <w:p w14:paraId="51CC7913" w14:textId="77777777" w:rsidR="00914D0D" w:rsidRDefault="00E77225" w:rsidP="003D44AE">
            <w:pPr>
              <w:pStyle w:val="Compact"/>
              <w:jc w:val="center"/>
            </w:pPr>
            <w:r>
              <w:t>6.99</w:t>
            </w:r>
          </w:p>
        </w:tc>
        <w:tc>
          <w:tcPr>
            <w:tcW w:w="0" w:type="auto"/>
          </w:tcPr>
          <w:p w14:paraId="2C4DA0D9" w14:textId="77777777" w:rsidR="00914D0D" w:rsidRDefault="00E77225" w:rsidP="003D44AE">
            <w:pPr>
              <w:pStyle w:val="Compact"/>
              <w:jc w:val="center"/>
            </w:pPr>
            <w:r>
              <w:t>0.81</w:t>
            </w:r>
          </w:p>
        </w:tc>
        <w:tc>
          <w:tcPr>
            <w:tcW w:w="0" w:type="auto"/>
          </w:tcPr>
          <w:p w14:paraId="39208198" w14:textId="77777777" w:rsidR="00914D0D" w:rsidRDefault="00E77225" w:rsidP="003D44AE">
            <w:pPr>
              <w:pStyle w:val="Compact"/>
              <w:jc w:val="center"/>
            </w:pPr>
            <w:r>
              <w:t>16.71</w:t>
            </w:r>
          </w:p>
        </w:tc>
      </w:tr>
      <w:tr w:rsidR="00914D0D" w14:paraId="46706D11" w14:textId="77777777">
        <w:tc>
          <w:tcPr>
            <w:tcW w:w="0" w:type="auto"/>
          </w:tcPr>
          <w:p w14:paraId="58EB1FA8" w14:textId="77777777" w:rsidR="00914D0D" w:rsidRDefault="00E77225" w:rsidP="003D44AE">
            <w:pPr>
              <w:pStyle w:val="Compact"/>
              <w:jc w:val="both"/>
            </w:pPr>
            <w:r>
              <w:t>ComNeigh</w:t>
            </w:r>
          </w:p>
        </w:tc>
        <w:tc>
          <w:tcPr>
            <w:tcW w:w="0" w:type="auto"/>
          </w:tcPr>
          <w:p w14:paraId="4F2A4CDE" w14:textId="77777777" w:rsidR="00914D0D" w:rsidRDefault="00E77225" w:rsidP="003D44AE">
            <w:pPr>
              <w:pStyle w:val="Compact"/>
              <w:jc w:val="center"/>
            </w:pPr>
            <w:r>
              <w:t>12.45</w:t>
            </w:r>
          </w:p>
        </w:tc>
        <w:tc>
          <w:tcPr>
            <w:tcW w:w="0" w:type="auto"/>
          </w:tcPr>
          <w:p w14:paraId="24D3BC83" w14:textId="77777777" w:rsidR="00914D0D" w:rsidRDefault="00E77225" w:rsidP="003D44AE">
            <w:pPr>
              <w:pStyle w:val="Compact"/>
              <w:jc w:val="center"/>
            </w:pPr>
            <w:r>
              <w:t>1.21</w:t>
            </w:r>
          </w:p>
        </w:tc>
        <w:tc>
          <w:tcPr>
            <w:tcW w:w="0" w:type="auto"/>
          </w:tcPr>
          <w:p w14:paraId="69F3BB97" w14:textId="77777777" w:rsidR="00914D0D" w:rsidRDefault="00E77225" w:rsidP="003D44AE">
            <w:pPr>
              <w:pStyle w:val="Compact"/>
              <w:jc w:val="center"/>
            </w:pPr>
            <w:r>
              <w:t>32.38</w:t>
            </w:r>
          </w:p>
        </w:tc>
      </w:tr>
      <w:tr w:rsidR="00914D0D" w14:paraId="64024995" w14:textId="77777777">
        <w:tc>
          <w:tcPr>
            <w:tcW w:w="0" w:type="auto"/>
          </w:tcPr>
          <w:p w14:paraId="6214FD84" w14:textId="77777777" w:rsidR="00914D0D" w:rsidRDefault="00E77225" w:rsidP="003D44AE">
            <w:pPr>
              <w:pStyle w:val="Compact"/>
              <w:jc w:val="both"/>
            </w:pPr>
            <w:r>
              <w:t>Ind</w:t>
            </w:r>
          </w:p>
        </w:tc>
        <w:tc>
          <w:tcPr>
            <w:tcW w:w="0" w:type="auto"/>
          </w:tcPr>
          <w:p w14:paraId="5A4E90B6" w14:textId="77777777" w:rsidR="00914D0D" w:rsidRDefault="00E77225" w:rsidP="003D44AE">
            <w:pPr>
              <w:pStyle w:val="Compact"/>
              <w:jc w:val="center"/>
            </w:pPr>
            <w:r>
              <w:t>9.95</w:t>
            </w:r>
          </w:p>
        </w:tc>
        <w:tc>
          <w:tcPr>
            <w:tcW w:w="0" w:type="auto"/>
          </w:tcPr>
          <w:p w14:paraId="13127534" w14:textId="77777777" w:rsidR="00914D0D" w:rsidRDefault="00E77225" w:rsidP="003D44AE">
            <w:pPr>
              <w:pStyle w:val="Compact"/>
              <w:jc w:val="center"/>
            </w:pPr>
            <w:r>
              <w:t>1.19</w:t>
            </w:r>
          </w:p>
        </w:tc>
        <w:tc>
          <w:tcPr>
            <w:tcW w:w="0" w:type="auto"/>
          </w:tcPr>
          <w:p w14:paraId="4627129F" w14:textId="77777777" w:rsidR="00914D0D" w:rsidRDefault="00E77225" w:rsidP="003D44AE">
            <w:pPr>
              <w:pStyle w:val="Compact"/>
              <w:jc w:val="center"/>
            </w:pPr>
            <w:r>
              <w:t>33.35</w:t>
            </w:r>
          </w:p>
        </w:tc>
      </w:tr>
      <w:tr w:rsidR="00914D0D" w14:paraId="58C9401F" w14:textId="77777777">
        <w:tc>
          <w:tcPr>
            <w:tcW w:w="0" w:type="auto"/>
          </w:tcPr>
          <w:p w14:paraId="46CDC194" w14:textId="77777777" w:rsidR="00914D0D" w:rsidRDefault="00E77225" w:rsidP="003D44AE">
            <w:pPr>
              <w:pStyle w:val="Compact"/>
              <w:jc w:val="both"/>
            </w:pPr>
            <w:r>
              <w:t>ResHigh</w:t>
            </w:r>
          </w:p>
        </w:tc>
        <w:tc>
          <w:tcPr>
            <w:tcW w:w="0" w:type="auto"/>
          </w:tcPr>
          <w:p w14:paraId="5E882C8C" w14:textId="77777777" w:rsidR="00914D0D" w:rsidRDefault="00E77225" w:rsidP="003D44AE">
            <w:pPr>
              <w:pStyle w:val="Compact"/>
              <w:jc w:val="center"/>
            </w:pPr>
            <w:r>
              <w:t>12.82</w:t>
            </w:r>
          </w:p>
        </w:tc>
        <w:tc>
          <w:tcPr>
            <w:tcW w:w="0" w:type="auto"/>
          </w:tcPr>
          <w:p w14:paraId="2921D246" w14:textId="77777777" w:rsidR="00914D0D" w:rsidRDefault="00E77225" w:rsidP="003D44AE">
            <w:pPr>
              <w:pStyle w:val="Compact"/>
              <w:jc w:val="center"/>
            </w:pPr>
            <w:r>
              <w:t>1.60</w:t>
            </w:r>
          </w:p>
        </w:tc>
        <w:tc>
          <w:tcPr>
            <w:tcW w:w="0" w:type="auto"/>
          </w:tcPr>
          <w:p w14:paraId="118C91FD" w14:textId="77777777" w:rsidR="00914D0D" w:rsidRDefault="00E77225" w:rsidP="003D44AE">
            <w:pPr>
              <w:pStyle w:val="Compact"/>
              <w:jc w:val="center"/>
            </w:pPr>
            <w:r>
              <w:t>42.48</w:t>
            </w:r>
          </w:p>
        </w:tc>
      </w:tr>
      <w:tr w:rsidR="00914D0D" w14:paraId="55E6B879" w14:textId="77777777">
        <w:tc>
          <w:tcPr>
            <w:tcW w:w="0" w:type="auto"/>
          </w:tcPr>
          <w:p w14:paraId="3BADBB5B" w14:textId="77777777" w:rsidR="00914D0D" w:rsidRDefault="00E77225" w:rsidP="003D44AE">
            <w:pPr>
              <w:pStyle w:val="Compact"/>
              <w:jc w:val="both"/>
            </w:pPr>
            <w:r>
              <w:t>ResLow</w:t>
            </w:r>
          </w:p>
        </w:tc>
        <w:tc>
          <w:tcPr>
            <w:tcW w:w="0" w:type="auto"/>
          </w:tcPr>
          <w:p w14:paraId="12F96096" w14:textId="77777777" w:rsidR="00914D0D" w:rsidRDefault="00E77225" w:rsidP="003D44AE">
            <w:pPr>
              <w:pStyle w:val="Compact"/>
              <w:jc w:val="center"/>
            </w:pPr>
            <w:r>
              <w:t>11.51</w:t>
            </w:r>
          </w:p>
        </w:tc>
        <w:tc>
          <w:tcPr>
            <w:tcW w:w="0" w:type="auto"/>
          </w:tcPr>
          <w:p w14:paraId="03FB1BC2" w14:textId="77777777" w:rsidR="00914D0D" w:rsidRDefault="00E77225" w:rsidP="003D44AE">
            <w:pPr>
              <w:pStyle w:val="Compact"/>
              <w:jc w:val="center"/>
            </w:pPr>
            <w:r>
              <w:t>1.47</w:t>
            </w:r>
          </w:p>
        </w:tc>
        <w:tc>
          <w:tcPr>
            <w:tcW w:w="0" w:type="auto"/>
          </w:tcPr>
          <w:p w14:paraId="53649CF8" w14:textId="77777777" w:rsidR="00914D0D" w:rsidRDefault="00E77225" w:rsidP="003D44AE">
            <w:pPr>
              <w:pStyle w:val="Compact"/>
              <w:jc w:val="center"/>
            </w:pPr>
            <w:r>
              <w:t>36.08</w:t>
            </w:r>
          </w:p>
        </w:tc>
      </w:tr>
      <w:tr w:rsidR="00914D0D" w14:paraId="4E1C24AD" w14:textId="77777777" w:rsidTr="003D44AE">
        <w:tc>
          <w:tcPr>
            <w:tcW w:w="0" w:type="auto"/>
            <w:tcBorders>
              <w:bottom w:val="single" w:sz="4" w:space="0" w:color="auto"/>
            </w:tcBorders>
          </w:tcPr>
          <w:p w14:paraId="0F3FE6C2" w14:textId="77777777" w:rsidR="00914D0D" w:rsidRDefault="00E77225" w:rsidP="003D44AE">
            <w:pPr>
              <w:pStyle w:val="Compact"/>
              <w:jc w:val="both"/>
            </w:pPr>
            <w:r>
              <w:t>ResOther</w:t>
            </w:r>
          </w:p>
        </w:tc>
        <w:tc>
          <w:tcPr>
            <w:tcW w:w="0" w:type="auto"/>
            <w:tcBorders>
              <w:bottom w:val="single" w:sz="4" w:space="0" w:color="auto"/>
            </w:tcBorders>
          </w:tcPr>
          <w:p w14:paraId="21844A10" w14:textId="77777777" w:rsidR="00914D0D" w:rsidRDefault="00E77225" w:rsidP="003D44AE">
            <w:pPr>
              <w:pStyle w:val="Compact"/>
              <w:jc w:val="center"/>
            </w:pPr>
            <w:r>
              <w:t>17.41</w:t>
            </w:r>
          </w:p>
        </w:tc>
        <w:tc>
          <w:tcPr>
            <w:tcW w:w="0" w:type="auto"/>
            <w:tcBorders>
              <w:bottom w:val="single" w:sz="4" w:space="0" w:color="auto"/>
            </w:tcBorders>
          </w:tcPr>
          <w:p w14:paraId="6B1A1A62" w14:textId="77777777" w:rsidR="00914D0D" w:rsidRDefault="00E77225" w:rsidP="003D44AE">
            <w:pPr>
              <w:pStyle w:val="Compact"/>
              <w:jc w:val="center"/>
            </w:pPr>
            <w:r>
              <w:t>1.35</w:t>
            </w:r>
          </w:p>
        </w:tc>
        <w:tc>
          <w:tcPr>
            <w:tcW w:w="0" w:type="auto"/>
            <w:tcBorders>
              <w:bottom w:val="single" w:sz="4" w:space="0" w:color="auto"/>
            </w:tcBorders>
          </w:tcPr>
          <w:p w14:paraId="637301E2" w14:textId="77777777" w:rsidR="00914D0D" w:rsidRDefault="00E77225" w:rsidP="003D44AE">
            <w:pPr>
              <w:pStyle w:val="Compact"/>
              <w:jc w:val="center"/>
            </w:pPr>
            <w:r>
              <w:t>56.88</w:t>
            </w:r>
          </w:p>
        </w:tc>
      </w:tr>
    </w:tbl>
    <w:p w14:paraId="28B7D811" w14:textId="77777777" w:rsidR="00914D0D" w:rsidRDefault="00E77225" w:rsidP="003D44AE">
      <w:pPr>
        <w:pStyle w:val="BodyText"/>
        <w:jc w:val="both"/>
      </w:pPr>
      <w:r>
        <w:t xml:space="preserve">To compare the results of air pollutants removal with other research, we also converted the our results into g per year per square meter tree cover (Table (tab:QuaEssPerTreeCover)). The results in Kyoto City is comparable to those of a study in Strasbourg </w:t>
      </w:r>
      <w:r>
        <w:t>city, France [43]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0.92 </w:t>
      </w:r>
      <m:oMath>
        <m:r>
          <w:rPr>
            <w:rFonts w:ascii="Cambria Math" w:hAnsi="Cambria Math"/>
          </w:rPr>
          <m:t>g</m:t>
        </m:r>
        <m:r>
          <m:rPr>
            <m:sty m:val="p"/>
          </m:rPr>
          <w:rPr>
            <w:rFonts w:ascii="Cambria Math" w:hAnsi="Cambria Math"/>
          </w:rPr>
          <m:t>/</m:t>
        </m:r>
        <m:r>
          <w:rPr>
            <w:rFonts w:ascii="Cambria Math" w:hAnsi="Cambria Math"/>
          </w:rPr>
          <m:t>year</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3.73 </w:t>
      </w:r>
      <m:oMath>
        <m:r>
          <w:rPr>
            <w:rFonts w:ascii="Cambria Math" w:hAnsi="Cambria Math"/>
          </w:rPr>
          <m:t>g</m:t>
        </m:r>
        <m:r>
          <m:rPr>
            <m:sty m:val="p"/>
          </m:rPr>
          <w:rPr>
            <w:rFonts w:ascii="Cambria Math" w:hAnsi="Cambria Math"/>
          </w:rPr>
          <m:t>/</m:t>
        </m:r>
        <m:r>
          <w:rPr>
            <w:rFonts w:ascii="Cambria Math" w:hAnsi="Cambria Math"/>
          </w:rPr>
          <m:t>year</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0.30 </w:t>
      </w:r>
      <m:oMath>
        <m:r>
          <w:rPr>
            <w:rFonts w:ascii="Cambria Math" w:hAnsi="Cambria Math"/>
          </w:rPr>
          <m:t>g</m:t>
        </m:r>
        <m:r>
          <m:rPr>
            <m:sty m:val="p"/>
          </m:rPr>
          <w:rPr>
            <w:rFonts w:ascii="Cambria Math" w:hAnsi="Cambria Math"/>
          </w:rPr>
          <m:t>/</m:t>
        </m:r>
        <m:r>
          <w:rPr>
            <w:rFonts w:ascii="Cambria Math" w:hAnsi="Cambria Math"/>
          </w:rPr>
          <m:t>year</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except for the result of </w:t>
      </w:r>
      <m:oMath>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removal (0.07 </w:t>
      </w:r>
      <m:oMath>
        <m:r>
          <w:rPr>
            <w:rFonts w:ascii="Cambria Math" w:hAnsi="Cambria Math"/>
          </w:rPr>
          <m:t>g</m:t>
        </m:r>
        <m:r>
          <m:rPr>
            <m:sty m:val="p"/>
          </m:rPr>
          <w:rPr>
            <w:rFonts w:ascii="Cambria Math" w:hAnsi="Cambria Math"/>
          </w:rPr>
          <m:t>/</m:t>
        </m:r>
        <m:r>
          <w:rPr>
            <w:rFonts w:ascii="Cambria Math" w:hAnsi="Cambria Math"/>
          </w:rPr>
          <m:t>year</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2FE8C823" w14:textId="77777777" w:rsidR="00914D0D" w:rsidRDefault="00E77225" w:rsidP="003D44AE">
      <w:pPr>
        <w:pStyle w:val="TableCaption"/>
        <w:jc w:val="both"/>
      </w:pPr>
      <w:r>
        <w:t>Table 7: Mean quadrat air purification efficiency of Kyoto City</w:t>
      </w:r>
    </w:p>
    <w:tbl>
      <w:tblPr>
        <w:tblStyle w:val="Table"/>
        <w:tblW w:w="0" w:type="pct"/>
        <w:jc w:val="center"/>
        <w:tblLook w:val="0020" w:firstRow="1" w:lastRow="0" w:firstColumn="0" w:lastColumn="0" w:noHBand="0" w:noVBand="0"/>
      </w:tblPr>
      <w:tblGrid>
        <w:gridCol w:w="1277"/>
        <w:gridCol w:w="1569"/>
        <w:gridCol w:w="1406"/>
        <w:gridCol w:w="1763"/>
        <w:gridCol w:w="1525"/>
      </w:tblGrid>
      <w:tr w:rsidR="00914D0D" w14:paraId="325CC98A" w14:textId="77777777" w:rsidTr="003D44AE">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auto"/>
            </w:tcBorders>
          </w:tcPr>
          <w:p w14:paraId="1052B6E4" w14:textId="77777777" w:rsidR="00914D0D" w:rsidRDefault="00E77225" w:rsidP="003D44AE">
            <w:pPr>
              <w:pStyle w:val="Compact"/>
              <w:jc w:val="both"/>
            </w:pPr>
            <w:r>
              <w:t>Land use</w:t>
            </w:r>
          </w:p>
        </w:tc>
        <w:tc>
          <w:tcPr>
            <w:tcW w:w="0" w:type="auto"/>
            <w:tcBorders>
              <w:top w:val="single" w:sz="4" w:space="0" w:color="auto"/>
            </w:tcBorders>
          </w:tcPr>
          <w:p w14:paraId="503F09F1" w14:textId="77777777" w:rsidR="00914D0D" w:rsidRDefault="00E77225" w:rsidP="003D44AE">
            <w:pPr>
              <w:pStyle w:val="Compact"/>
              <w:jc w:val="both"/>
            </w:pPr>
            <w:r>
              <w:t>NO2 removal</w:t>
            </w:r>
          </w:p>
        </w:tc>
        <w:tc>
          <w:tcPr>
            <w:tcW w:w="0" w:type="auto"/>
            <w:tcBorders>
              <w:top w:val="single" w:sz="4" w:space="0" w:color="auto"/>
            </w:tcBorders>
          </w:tcPr>
          <w:p w14:paraId="1D6D3679" w14:textId="77777777" w:rsidR="00914D0D" w:rsidRDefault="00E77225" w:rsidP="003D44AE">
            <w:pPr>
              <w:pStyle w:val="Compact"/>
              <w:jc w:val="both"/>
            </w:pPr>
            <w:r>
              <w:t>O3 re</w:t>
            </w:r>
            <w:r>
              <w:t>moval</w:t>
            </w:r>
          </w:p>
        </w:tc>
        <w:tc>
          <w:tcPr>
            <w:tcW w:w="0" w:type="auto"/>
            <w:tcBorders>
              <w:top w:val="single" w:sz="4" w:space="0" w:color="auto"/>
            </w:tcBorders>
          </w:tcPr>
          <w:p w14:paraId="01CF8439" w14:textId="77777777" w:rsidR="00914D0D" w:rsidRDefault="00E77225" w:rsidP="003D44AE">
            <w:pPr>
              <w:pStyle w:val="Compact"/>
              <w:jc w:val="both"/>
            </w:pPr>
            <w:r>
              <w:t>PM2.5 removal</w:t>
            </w:r>
          </w:p>
        </w:tc>
        <w:tc>
          <w:tcPr>
            <w:tcW w:w="0" w:type="auto"/>
            <w:tcBorders>
              <w:top w:val="single" w:sz="4" w:space="0" w:color="auto"/>
            </w:tcBorders>
          </w:tcPr>
          <w:p w14:paraId="11101E08" w14:textId="77777777" w:rsidR="00914D0D" w:rsidRDefault="00E77225" w:rsidP="003D44AE">
            <w:pPr>
              <w:pStyle w:val="Compact"/>
              <w:jc w:val="both"/>
            </w:pPr>
            <w:r>
              <w:t>SO2 removal</w:t>
            </w:r>
          </w:p>
        </w:tc>
      </w:tr>
      <w:tr w:rsidR="00914D0D" w14:paraId="3FB0BE1D" w14:textId="77777777" w:rsidTr="003D44AE">
        <w:trPr>
          <w:jc w:val="center"/>
        </w:trPr>
        <w:tc>
          <w:tcPr>
            <w:tcW w:w="0" w:type="auto"/>
          </w:tcPr>
          <w:p w14:paraId="2CAC7931" w14:textId="77777777" w:rsidR="00914D0D" w:rsidRDefault="00E77225" w:rsidP="003D44AE">
            <w:pPr>
              <w:pStyle w:val="Compact"/>
              <w:jc w:val="both"/>
            </w:pPr>
            <w:r>
              <w:t>Com</w:t>
            </w:r>
          </w:p>
        </w:tc>
        <w:tc>
          <w:tcPr>
            <w:tcW w:w="0" w:type="auto"/>
          </w:tcPr>
          <w:p w14:paraId="6FB22045" w14:textId="77777777" w:rsidR="00914D0D" w:rsidRDefault="00E77225" w:rsidP="003D44AE">
            <w:pPr>
              <w:pStyle w:val="Compact"/>
              <w:jc w:val="both"/>
            </w:pPr>
            <w:r>
              <w:t>0.71</w:t>
            </w:r>
          </w:p>
        </w:tc>
        <w:tc>
          <w:tcPr>
            <w:tcW w:w="0" w:type="auto"/>
          </w:tcPr>
          <w:p w14:paraId="1F8CDE3F" w14:textId="77777777" w:rsidR="00914D0D" w:rsidRDefault="00E77225" w:rsidP="003D44AE">
            <w:pPr>
              <w:pStyle w:val="Compact"/>
              <w:jc w:val="both"/>
            </w:pPr>
            <w:r>
              <w:t>2.35</w:t>
            </w:r>
          </w:p>
        </w:tc>
        <w:tc>
          <w:tcPr>
            <w:tcW w:w="0" w:type="auto"/>
          </w:tcPr>
          <w:p w14:paraId="7A36CF01" w14:textId="77777777" w:rsidR="00914D0D" w:rsidRDefault="00E77225" w:rsidP="003D44AE">
            <w:pPr>
              <w:pStyle w:val="Compact"/>
              <w:jc w:val="both"/>
            </w:pPr>
            <w:r>
              <w:t>0.16</w:t>
            </w:r>
          </w:p>
        </w:tc>
        <w:tc>
          <w:tcPr>
            <w:tcW w:w="0" w:type="auto"/>
          </w:tcPr>
          <w:p w14:paraId="23B05B71" w14:textId="77777777" w:rsidR="00914D0D" w:rsidRDefault="00E77225" w:rsidP="003D44AE">
            <w:pPr>
              <w:pStyle w:val="Compact"/>
              <w:jc w:val="both"/>
            </w:pPr>
            <w:r>
              <w:t>0.31</w:t>
            </w:r>
          </w:p>
        </w:tc>
      </w:tr>
      <w:tr w:rsidR="00914D0D" w14:paraId="0C5F7896" w14:textId="77777777" w:rsidTr="003D44AE">
        <w:trPr>
          <w:jc w:val="center"/>
        </w:trPr>
        <w:tc>
          <w:tcPr>
            <w:tcW w:w="0" w:type="auto"/>
          </w:tcPr>
          <w:p w14:paraId="7A7A43FC" w14:textId="77777777" w:rsidR="00914D0D" w:rsidRDefault="00E77225" w:rsidP="003D44AE">
            <w:pPr>
              <w:pStyle w:val="Compact"/>
              <w:jc w:val="both"/>
            </w:pPr>
            <w:r>
              <w:t>ComNeigh</w:t>
            </w:r>
          </w:p>
        </w:tc>
        <w:tc>
          <w:tcPr>
            <w:tcW w:w="0" w:type="auto"/>
          </w:tcPr>
          <w:p w14:paraId="3F8F1880" w14:textId="77777777" w:rsidR="00914D0D" w:rsidRDefault="00E77225" w:rsidP="003D44AE">
            <w:pPr>
              <w:pStyle w:val="Compact"/>
              <w:jc w:val="both"/>
            </w:pPr>
            <w:r>
              <w:t>1.07</w:t>
            </w:r>
          </w:p>
        </w:tc>
        <w:tc>
          <w:tcPr>
            <w:tcW w:w="0" w:type="auto"/>
          </w:tcPr>
          <w:p w14:paraId="6FABCD60" w14:textId="77777777" w:rsidR="00914D0D" w:rsidRDefault="00E77225" w:rsidP="003D44AE">
            <w:pPr>
              <w:pStyle w:val="Compact"/>
              <w:jc w:val="both"/>
            </w:pPr>
            <w:r>
              <w:t>3.46</w:t>
            </w:r>
          </w:p>
        </w:tc>
        <w:tc>
          <w:tcPr>
            <w:tcW w:w="0" w:type="auto"/>
          </w:tcPr>
          <w:p w14:paraId="2CF2C4C7" w14:textId="77777777" w:rsidR="00914D0D" w:rsidRDefault="00E77225" w:rsidP="003D44AE">
            <w:pPr>
              <w:pStyle w:val="Compact"/>
              <w:jc w:val="both"/>
            </w:pPr>
            <w:r>
              <w:t>0.23</w:t>
            </w:r>
          </w:p>
        </w:tc>
        <w:tc>
          <w:tcPr>
            <w:tcW w:w="0" w:type="auto"/>
          </w:tcPr>
          <w:p w14:paraId="7873C528" w14:textId="77777777" w:rsidR="00914D0D" w:rsidRDefault="00E77225" w:rsidP="003D44AE">
            <w:pPr>
              <w:pStyle w:val="Compact"/>
              <w:jc w:val="both"/>
            </w:pPr>
            <w:r>
              <w:t>0.45</w:t>
            </w:r>
          </w:p>
        </w:tc>
      </w:tr>
      <w:tr w:rsidR="00914D0D" w14:paraId="035D67B2" w14:textId="77777777" w:rsidTr="003D44AE">
        <w:trPr>
          <w:jc w:val="center"/>
        </w:trPr>
        <w:tc>
          <w:tcPr>
            <w:tcW w:w="0" w:type="auto"/>
          </w:tcPr>
          <w:p w14:paraId="45A1B915" w14:textId="77777777" w:rsidR="00914D0D" w:rsidRDefault="00E77225" w:rsidP="003D44AE">
            <w:pPr>
              <w:pStyle w:val="Compact"/>
              <w:jc w:val="both"/>
            </w:pPr>
            <w:r>
              <w:t>Ind</w:t>
            </w:r>
          </w:p>
        </w:tc>
        <w:tc>
          <w:tcPr>
            <w:tcW w:w="0" w:type="auto"/>
          </w:tcPr>
          <w:p w14:paraId="68462302" w14:textId="77777777" w:rsidR="00914D0D" w:rsidRDefault="00E77225" w:rsidP="003D44AE">
            <w:pPr>
              <w:pStyle w:val="Compact"/>
              <w:jc w:val="both"/>
            </w:pPr>
            <w:r>
              <w:t>1.04</w:t>
            </w:r>
          </w:p>
        </w:tc>
        <w:tc>
          <w:tcPr>
            <w:tcW w:w="0" w:type="auto"/>
          </w:tcPr>
          <w:p w14:paraId="65B9EF66" w14:textId="77777777" w:rsidR="00914D0D" w:rsidRDefault="00E77225" w:rsidP="003D44AE">
            <w:pPr>
              <w:pStyle w:val="Compact"/>
              <w:jc w:val="both"/>
            </w:pPr>
            <w:r>
              <w:t>3.36</w:t>
            </w:r>
          </w:p>
        </w:tc>
        <w:tc>
          <w:tcPr>
            <w:tcW w:w="0" w:type="auto"/>
          </w:tcPr>
          <w:p w14:paraId="2921F692" w14:textId="77777777" w:rsidR="00914D0D" w:rsidRDefault="00E77225" w:rsidP="003D44AE">
            <w:pPr>
              <w:pStyle w:val="Compact"/>
              <w:jc w:val="both"/>
            </w:pPr>
            <w:r>
              <w:t>0.22</w:t>
            </w:r>
          </w:p>
        </w:tc>
        <w:tc>
          <w:tcPr>
            <w:tcW w:w="0" w:type="auto"/>
          </w:tcPr>
          <w:p w14:paraId="16FD02B4" w14:textId="77777777" w:rsidR="00914D0D" w:rsidRDefault="00E77225" w:rsidP="003D44AE">
            <w:pPr>
              <w:pStyle w:val="Compact"/>
              <w:jc w:val="both"/>
            </w:pPr>
            <w:r>
              <w:t>0.44</w:t>
            </w:r>
          </w:p>
        </w:tc>
      </w:tr>
      <w:tr w:rsidR="00914D0D" w14:paraId="06C0B5A1" w14:textId="77777777" w:rsidTr="003D44AE">
        <w:trPr>
          <w:jc w:val="center"/>
        </w:trPr>
        <w:tc>
          <w:tcPr>
            <w:tcW w:w="0" w:type="auto"/>
          </w:tcPr>
          <w:p w14:paraId="315FC2E6" w14:textId="77777777" w:rsidR="00914D0D" w:rsidRDefault="00E77225" w:rsidP="003D44AE">
            <w:pPr>
              <w:pStyle w:val="Compact"/>
              <w:jc w:val="both"/>
            </w:pPr>
            <w:r>
              <w:t>ResHigh</w:t>
            </w:r>
          </w:p>
        </w:tc>
        <w:tc>
          <w:tcPr>
            <w:tcW w:w="0" w:type="auto"/>
          </w:tcPr>
          <w:p w14:paraId="41C4C3FA" w14:textId="77777777" w:rsidR="00914D0D" w:rsidRDefault="00E77225" w:rsidP="003D44AE">
            <w:pPr>
              <w:pStyle w:val="Compact"/>
              <w:jc w:val="both"/>
            </w:pPr>
            <w:r>
              <w:t>1.10</w:t>
            </w:r>
          </w:p>
        </w:tc>
        <w:tc>
          <w:tcPr>
            <w:tcW w:w="0" w:type="auto"/>
          </w:tcPr>
          <w:p w14:paraId="349F202B" w14:textId="77777777" w:rsidR="00914D0D" w:rsidRDefault="00E77225" w:rsidP="003D44AE">
            <w:pPr>
              <w:pStyle w:val="Compact"/>
              <w:jc w:val="both"/>
            </w:pPr>
            <w:r>
              <w:t>3.53</w:t>
            </w:r>
          </w:p>
        </w:tc>
        <w:tc>
          <w:tcPr>
            <w:tcW w:w="0" w:type="auto"/>
          </w:tcPr>
          <w:p w14:paraId="57A1DCFF" w14:textId="77777777" w:rsidR="00914D0D" w:rsidRDefault="00E77225" w:rsidP="003D44AE">
            <w:pPr>
              <w:pStyle w:val="Compact"/>
              <w:jc w:val="both"/>
            </w:pPr>
            <w:r>
              <w:t>0.23</w:t>
            </w:r>
          </w:p>
        </w:tc>
        <w:tc>
          <w:tcPr>
            <w:tcW w:w="0" w:type="auto"/>
          </w:tcPr>
          <w:p w14:paraId="77A8187F" w14:textId="77777777" w:rsidR="00914D0D" w:rsidRDefault="00E77225" w:rsidP="003D44AE">
            <w:pPr>
              <w:pStyle w:val="Compact"/>
              <w:jc w:val="both"/>
            </w:pPr>
            <w:r>
              <w:t>0.47</w:t>
            </w:r>
          </w:p>
        </w:tc>
      </w:tr>
      <w:tr w:rsidR="00914D0D" w14:paraId="71882AA7" w14:textId="77777777" w:rsidTr="003D44AE">
        <w:trPr>
          <w:jc w:val="center"/>
        </w:trPr>
        <w:tc>
          <w:tcPr>
            <w:tcW w:w="0" w:type="auto"/>
          </w:tcPr>
          <w:p w14:paraId="2A048DC6" w14:textId="77777777" w:rsidR="00914D0D" w:rsidRDefault="00E77225" w:rsidP="003D44AE">
            <w:pPr>
              <w:pStyle w:val="Compact"/>
              <w:jc w:val="both"/>
            </w:pPr>
            <w:r>
              <w:lastRenderedPageBreak/>
              <w:t>ResLow</w:t>
            </w:r>
          </w:p>
        </w:tc>
        <w:tc>
          <w:tcPr>
            <w:tcW w:w="0" w:type="auto"/>
          </w:tcPr>
          <w:p w14:paraId="0BBFA5D2" w14:textId="77777777" w:rsidR="00914D0D" w:rsidRDefault="00E77225" w:rsidP="003D44AE">
            <w:pPr>
              <w:pStyle w:val="Compact"/>
              <w:jc w:val="both"/>
            </w:pPr>
            <w:r>
              <w:t>1.01</w:t>
            </w:r>
          </w:p>
        </w:tc>
        <w:tc>
          <w:tcPr>
            <w:tcW w:w="0" w:type="auto"/>
          </w:tcPr>
          <w:p w14:paraId="5249284E" w14:textId="77777777" w:rsidR="00914D0D" w:rsidRDefault="00E77225" w:rsidP="003D44AE">
            <w:pPr>
              <w:pStyle w:val="Compact"/>
              <w:jc w:val="both"/>
            </w:pPr>
            <w:r>
              <w:t>3.21</w:t>
            </w:r>
          </w:p>
        </w:tc>
        <w:tc>
          <w:tcPr>
            <w:tcW w:w="0" w:type="auto"/>
          </w:tcPr>
          <w:p w14:paraId="5B9C08F5" w14:textId="77777777" w:rsidR="00914D0D" w:rsidRDefault="00E77225" w:rsidP="003D44AE">
            <w:pPr>
              <w:pStyle w:val="Compact"/>
              <w:jc w:val="both"/>
            </w:pPr>
            <w:r>
              <w:t>0.21</w:t>
            </w:r>
          </w:p>
        </w:tc>
        <w:tc>
          <w:tcPr>
            <w:tcW w:w="0" w:type="auto"/>
          </w:tcPr>
          <w:p w14:paraId="0C1089EE" w14:textId="77777777" w:rsidR="00914D0D" w:rsidRDefault="00E77225" w:rsidP="003D44AE">
            <w:pPr>
              <w:pStyle w:val="Compact"/>
              <w:jc w:val="both"/>
            </w:pPr>
            <w:r>
              <w:t>0.42</w:t>
            </w:r>
          </w:p>
        </w:tc>
      </w:tr>
      <w:tr w:rsidR="00914D0D" w14:paraId="512B98F6" w14:textId="77777777" w:rsidTr="003D44AE">
        <w:trPr>
          <w:jc w:val="center"/>
        </w:trPr>
        <w:tc>
          <w:tcPr>
            <w:tcW w:w="0" w:type="auto"/>
            <w:tcBorders>
              <w:bottom w:val="single" w:sz="4" w:space="0" w:color="auto"/>
            </w:tcBorders>
          </w:tcPr>
          <w:p w14:paraId="0FD9358B" w14:textId="77777777" w:rsidR="00914D0D" w:rsidRDefault="00E77225" w:rsidP="003D44AE">
            <w:pPr>
              <w:pStyle w:val="Compact"/>
              <w:jc w:val="both"/>
            </w:pPr>
            <w:r>
              <w:t>ResOther</w:t>
            </w:r>
          </w:p>
        </w:tc>
        <w:tc>
          <w:tcPr>
            <w:tcW w:w="0" w:type="auto"/>
            <w:tcBorders>
              <w:bottom w:val="single" w:sz="4" w:space="0" w:color="auto"/>
            </w:tcBorders>
          </w:tcPr>
          <w:p w14:paraId="1AE7C621" w14:textId="77777777" w:rsidR="00914D0D" w:rsidRDefault="00E77225" w:rsidP="003D44AE">
            <w:pPr>
              <w:pStyle w:val="Compact"/>
              <w:jc w:val="both"/>
            </w:pPr>
            <w:r>
              <w:t>1.00</w:t>
            </w:r>
          </w:p>
        </w:tc>
        <w:tc>
          <w:tcPr>
            <w:tcW w:w="0" w:type="auto"/>
            <w:tcBorders>
              <w:bottom w:val="single" w:sz="4" w:space="0" w:color="auto"/>
            </w:tcBorders>
          </w:tcPr>
          <w:p w14:paraId="48A88F0B" w14:textId="77777777" w:rsidR="00914D0D" w:rsidRDefault="00E77225" w:rsidP="003D44AE">
            <w:pPr>
              <w:pStyle w:val="Compact"/>
              <w:jc w:val="both"/>
            </w:pPr>
            <w:r>
              <w:t>3.16</w:t>
            </w:r>
          </w:p>
        </w:tc>
        <w:tc>
          <w:tcPr>
            <w:tcW w:w="0" w:type="auto"/>
            <w:tcBorders>
              <w:bottom w:val="single" w:sz="4" w:space="0" w:color="auto"/>
            </w:tcBorders>
          </w:tcPr>
          <w:p w14:paraId="05847589" w14:textId="77777777" w:rsidR="00914D0D" w:rsidRDefault="00E77225" w:rsidP="003D44AE">
            <w:pPr>
              <w:pStyle w:val="Compact"/>
              <w:jc w:val="both"/>
            </w:pPr>
            <w:r>
              <w:t>0.20</w:t>
            </w:r>
          </w:p>
        </w:tc>
        <w:tc>
          <w:tcPr>
            <w:tcW w:w="0" w:type="auto"/>
            <w:tcBorders>
              <w:bottom w:val="single" w:sz="4" w:space="0" w:color="auto"/>
            </w:tcBorders>
          </w:tcPr>
          <w:p w14:paraId="459DC8C2" w14:textId="77777777" w:rsidR="00914D0D" w:rsidRDefault="00E77225" w:rsidP="003D44AE">
            <w:pPr>
              <w:pStyle w:val="Compact"/>
              <w:jc w:val="both"/>
            </w:pPr>
            <w:r>
              <w:t>0.42</w:t>
            </w:r>
          </w:p>
        </w:tc>
      </w:tr>
    </w:tbl>
    <w:p w14:paraId="1097F115" w14:textId="77777777" w:rsidR="00914D0D" w:rsidRDefault="00E77225" w:rsidP="003D44AE">
      <w:pPr>
        <w:pStyle w:val="BodyText"/>
        <w:jc w:val="both"/>
      </w:pPr>
      <w:r>
        <w:t>Whereas, it should be noted that sampling method may differ among these studies thus confounding the results comparison. For instance, the research in Luohe, China focuses on green space rather than random sample quadrats over the city [42]; and though als</w:t>
      </w:r>
      <w:r>
        <w:t>o presents the results of quadrat ecosystem services in different land use, the study in Roanoke, Virginia mainly focuses on urban vacant [23]. On the other hand, the quadrats with no woody plant are excluded for analysis in these research, which also brin</w:t>
      </w:r>
      <w:r>
        <w:t>gs bias to the results comparison. The workbook of i-Tree Eco [35] has provided a solid base for standard workflow in field investigation, but the difference mentioned above still highlight the barrier in multi-city study.</w:t>
      </w:r>
    </w:p>
    <w:p w14:paraId="300872B2" w14:textId="77777777" w:rsidR="00914D0D" w:rsidRDefault="00E77225" w:rsidP="003D44AE">
      <w:pPr>
        <w:pStyle w:val="Heading2"/>
        <w:jc w:val="both"/>
      </w:pPr>
      <w:bookmarkStart w:id="16" w:name="Xe8654c636631a235ffafc96cdf2016cf6dcae3d"/>
      <w:bookmarkEnd w:id="15"/>
      <w:r>
        <w:t xml:space="preserve">Carbon storage and sequestration </w:t>
      </w:r>
      <w:r>
        <w:t>across land use classes</w:t>
      </w:r>
    </w:p>
    <w:p w14:paraId="4F24D5C1" w14:textId="77777777" w:rsidR="00914D0D" w:rsidRDefault="00E77225" w:rsidP="003D44AE">
      <w:pPr>
        <w:pStyle w:val="FirstParagraph"/>
        <w:jc w:val="both"/>
      </w:pPr>
      <w:r>
        <w:t>Though not statistically significant, among the 6 land use classes in this research, residential zones have higher average quadrat carbon storage and carbon sequestration than the others.  A similar pattern was found in Roanoke, Vir</w:t>
      </w:r>
      <w:r>
        <w:t>ginia that per hectare carbon storage and annual carbon sequestration in residential area is higher than that in commercial area and industrial area [23]. A potential reason is that residential zones tend to have more trees or higher leaf area index than t</w:t>
      </w:r>
      <w:r>
        <w:t>he other land use classes do.</w:t>
      </w:r>
    </w:p>
    <w:p w14:paraId="532924B4" w14:textId="77777777" w:rsidR="00914D0D" w:rsidRDefault="00E77225" w:rsidP="003D44AE">
      <w:pPr>
        <w:pStyle w:val="BodyText"/>
        <w:jc w:val="both"/>
      </w:pPr>
      <w:r>
        <w:t xml:space="preserve">A limitation of the comparison should be addressed that the concept of land use could varies among the research. Land use represents the actual practice and intended use of economical and cultural activities of certain place, </w:t>
      </w:r>
      <w:r>
        <w:t>which is drived by both bio-physical and socio-economic factors [44]. Land use classification systems are distinguished regarding scale and purpose of their development [33]. In our study, ‘land use’ is a classification under City Planning Law of Japan tha</w:t>
      </w:r>
      <w:r>
        <w:t>t describes potential use and limitation of building types of an area of land; while some other classification system may emphasis more on actual use of the land.</w:t>
      </w:r>
    </w:p>
    <w:p w14:paraId="6C71F431" w14:textId="77777777" w:rsidR="00914D0D" w:rsidRDefault="00E77225" w:rsidP="003D44AE">
      <w:pPr>
        <w:pStyle w:val="Heading2"/>
        <w:jc w:val="both"/>
      </w:pPr>
      <w:bookmarkStart w:id="17" w:name="impact-of-scale"/>
      <w:bookmarkEnd w:id="16"/>
      <w:r>
        <w:t>Impact of scale</w:t>
      </w:r>
    </w:p>
    <w:p w14:paraId="6AB1DDBB" w14:textId="77777777" w:rsidR="00914D0D" w:rsidRDefault="00E77225" w:rsidP="003D44AE">
      <w:pPr>
        <w:pStyle w:val="FirstParagraph"/>
        <w:jc w:val="both"/>
      </w:pPr>
      <w:r>
        <w:t>An implicit assumption is that ecological processes remains consistent across</w:t>
      </w:r>
      <w:r>
        <w:t xml:space="preserve"> different extents and grain [45], While the convinient assumption usually fails because of the complexity of ecological systems, especially under the high heterogeneity of urban context [46].</w:t>
      </w:r>
    </w:p>
    <w:p w14:paraId="4494385C" w14:textId="77777777" w:rsidR="00914D0D" w:rsidRDefault="00E77225" w:rsidP="003D44AE">
      <w:pPr>
        <w:pStyle w:val="BodyText"/>
        <w:jc w:val="both"/>
      </w:pPr>
      <w:r>
        <w:t>Ecological pattern varies across scale, so is urban ecosystem s</w:t>
      </w:r>
      <w:r>
        <w:t>ervice pattern [45,46]. Grain is one components of scale concept [47]. Quadrat and single-tree level represent different grain in our study. No significant difference was found among quadrat ecosystem services across land use classes, while variance were d</w:t>
      </w:r>
      <w:r>
        <w:t>etected single-tree level for all the ecosystem services (Figure 4(a) and (b)). This results support the theoretical conclusion that variance between sample quadrats generally decreases with the increasing of quadrat grain [48]. The results probably indica</w:t>
      </w:r>
      <w:r>
        <w:t xml:space="preserve">te </w:t>
      </w:r>
      <w:r>
        <w:lastRenderedPageBreak/>
        <w:t>that the variance of ecosystem services at single-tree scale is “averaged” at quadrat scale.</w:t>
      </w:r>
    </w:p>
    <w:p w14:paraId="0542EAB5" w14:textId="77777777" w:rsidR="00914D0D" w:rsidRDefault="00E77225" w:rsidP="003D44AE">
      <w:pPr>
        <w:pStyle w:val="BodyText"/>
        <w:jc w:val="both"/>
      </w:pPr>
      <w:r>
        <w:t>Urban ecosystem service estimation is also influenced by multi-scale factors [49]. We also detected the impact of broad-scale factor (land use classes) and fine</w:t>
      </w:r>
      <w:r>
        <w:t xml:space="preserve">-scale factor (onsite land cover classes) on single-tree ecosystem services. Though significant difference is found for both of the factors, post hoc comparison results reveals that between-group differences are more frequently found for onsite land cover </w:t>
      </w:r>
      <w:r>
        <w:t>classes. The results indicate that the variance of single-tree ecosystem services could be detected at finer-scale factor better.</w:t>
      </w:r>
    </w:p>
    <w:p w14:paraId="7332C797" w14:textId="77777777" w:rsidR="00914D0D" w:rsidRDefault="00E77225" w:rsidP="003D44AE">
      <w:pPr>
        <w:pStyle w:val="Heading2"/>
        <w:jc w:val="both"/>
      </w:pPr>
      <w:bookmarkStart w:id="18" w:name="ecosystem-service-calculation-in-cities"/>
      <w:bookmarkEnd w:id="17"/>
      <w:r>
        <w:t>Ecosystem service calculation in cities</w:t>
      </w:r>
    </w:p>
    <w:p w14:paraId="7E1FE1A4" w14:textId="77777777" w:rsidR="00914D0D" w:rsidRDefault="00E77225" w:rsidP="003D44AE">
      <w:pPr>
        <w:pStyle w:val="FirstParagraph"/>
        <w:jc w:val="both"/>
      </w:pPr>
      <w:r>
        <w:t>In the prevalent land use/land cover based methodology of ecosystem service calculation, per unit value of urban area is usually considered as constant (e.g. see [18,19]). Though no significant difference is detected for quadrat ecosystem services across l</w:t>
      </w:r>
      <w:r>
        <w:t>and use classes in our research, it could be a result of high heterogeneity of urban ecosystem rather than homogeneity. Land use is a rough classification under the context of law and policy in Japan. Within a certian land use type, there can be several on</w:t>
      </w:r>
      <w:r>
        <w:t>site land cover classes, and quadrat ecosystem services of certain land use class could be ‘averaged’ by this mixture. The relationship between land use or land cover and ecosystem services requires further research based on high resolution geographic data</w:t>
      </w:r>
      <w:r>
        <w:t xml:space="preserve"> and sampling at different scale.</w:t>
      </w:r>
    </w:p>
    <w:p w14:paraId="28203F19" w14:textId="77777777" w:rsidR="00914D0D" w:rsidRDefault="00E77225" w:rsidP="003D44AE">
      <w:pPr>
        <w:pStyle w:val="BodyText"/>
        <w:jc w:val="both"/>
      </w:pPr>
      <w:r>
        <w:t>Another reason for further enrichment of urban ecosystem services benchmark database is the heterogeneity between cities. As the comparison of our results with other studies in the previous section shows, per unit ecosyste</w:t>
      </w:r>
      <w:r>
        <w:t>m services could varies across different cities. This comparison indicates that local context must be considered when evaluating urban ecosystem services.</w:t>
      </w:r>
    </w:p>
    <w:p w14:paraId="782178EC" w14:textId="77777777" w:rsidR="00914D0D" w:rsidRDefault="00E77225" w:rsidP="003D44AE">
      <w:pPr>
        <w:pStyle w:val="Heading1"/>
        <w:jc w:val="both"/>
      </w:pPr>
      <w:bookmarkStart w:id="19" w:name="conclusion"/>
      <w:bookmarkEnd w:id="14"/>
      <w:bookmarkEnd w:id="18"/>
      <w:r>
        <w:t>Conclusion</w:t>
      </w:r>
    </w:p>
    <w:p w14:paraId="3728E395" w14:textId="77777777" w:rsidR="00914D0D" w:rsidRDefault="00E77225" w:rsidP="003D44AE">
      <w:pPr>
        <w:pStyle w:val="FirstParagraph"/>
        <w:jc w:val="both"/>
      </w:pPr>
      <w:r>
        <w:t>The purpose of this study is to demonstrate the link between heterogeneity of city and urb</w:t>
      </w:r>
      <w:r>
        <w:t xml:space="preserve">an ecosystem services, and the potential contribution of dispersed green to urban ecosystem services. This study captured the structure, ecosystem services and tree values of urban forest in Kyoto City. For urban structure, Industrial zone has more mature </w:t>
      </w:r>
      <w:r>
        <w:t>trees than the other land use; large commercial building &amp; industrial building and agriculture area have extremely higher proportion of younger trees than the other onsite land cover. The comparison across land use types show that ecosystem services are di</w:t>
      </w:r>
      <w:r>
        <w:t>fferent across land use and onsite land cover at single-tree level; though no significant is detected at quadrat level. The result also indicate that the comparison varies with scale. Though less addressed in previous research, the trees in residential are</w:t>
      </w:r>
      <w:r>
        <w:t xml:space="preserve">a (specifically, Other residential zone in this study) function better in air pollutants removal and runoff reduction; and surprisingly, trees in Industrial zone perform better in carbon sequestration. The result suggest a potential important contribution </w:t>
      </w:r>
      <w:r>
        <w:t xml:space="preserve">of dispersed green space (like </w:t>
      </w:r>
      <w:r>
        <w:lastRenderedPageBreak/>
        <w:t xml:space="preserve">private yard) to urban ecosystem services. For a more comprehensive and precise evaluation of ecosystem services of urban forest, further research considering heterogeneity, scale effect, and varieties of green space type is </w:t>
      </w:r>
      <w:r>
        <w:t>needed.</w:t>
      </w:r>
    </w:p>
    <w:p w14:paraId="36AF89B2" w14:textId="77777777" w:rsidR="00914D0D" w:rsidRDefault="00E77225">
      <w:pPr>
        <w:pStyle w:val="Heading1"/>
      </w:pPr>
      <w:bookmarkStart w:id="20" w:name="references"/>
      <w:bookmarkEnd w:id="19"/>
      <w:r>
        <w:t>References</w:t>
      </w:r>
    </w:p>
    <w:p w14:paraId="07423ED8" w14:textId="77777777" w:rsidR="00914D0D" w:rsidRDefault="00E77225">
      <w:pPr>
        <w:pStyle w:val="Bibliography"/>
      </w:pPr>
      <w:bookmarkStart w:id="21" w:name="ref-the_world_bank_data_urban_nodate"/>
      <w:bookmarkStart w:id="22" w:name="refs"/>
      <w:r>
        <w:t xml:space="preserve">1. </w:t>
      </w:r>
      <w:r>
        <w:tab/>
        <w:t xml:space="preserve">The World Bank Data Urban Population (% of Total Population)  Data. </w:t>
      </w:r>
      <w:r>
        <w:rPr>
          <w:i/>
          <w:iCs/>
        </w:rPr>
        <w:t>Urban population (% of total population)</w:t>
      </w:r>
      <w:r>
        <w:t>.</w:t>
      </w:r>
    </w:p>
    <w:p w14:paraId="13719B65" w14:textId="77777777" w:rsidR="00914D0D" w:rsidRDefault="00E77225">
      <w:pPr>
        <w:pStyle w:val="Bibliography"/>
      </w:pPr>
      <w:bookmarkStart w:id="23" w:name="X66897ea918bf40ec051eb7d789c379d64079c82"/>
      <w:bookmarkEnd w:id="21"/>
      <w:r>
        <w:t xml:space="preserve">2. </w:t>
      </w:r>
      <w:r>
        <w:tab/>
        <w:t xml:space="preserve">Population Division, United Nations </w:t>
      </w:r>
      <w:r>
        <w:rPr>
          <w:i/>
          <w:iCs/>
        </w:rPr>
        <w:t>World Urbanization Prospects: The 2018 Revision</w:t>
      </w:r>
      <w:r>
        <w:t>; 2019;</w:t>
      </w:r>
    </w:p>
    <w:p w14:paraId="08632AA4" w14:textId="77777777" w:rsidR="00914D0D" w:rsidRDefault="00E77225">
      <w:pPr>
        <w:pStyle w:val="Bibliography"/>
      </w:pPr>
      <w:bookmarkStart w:id="24" w:name="ref-gomez-baggethun_urban_2013"/>
      <w:bookmarkEnd w:id="23"/>
      <w:r>
        <w:t xml:space="preserve">3. </w:t>
      </w:r>
      <w:r>
        <w:tab/>
        <w:t>Gómez-Baggethun, E.; Gre</w:t>
      </w:r>
      <w:r>
        <w:t xml:space="preserve">n, A.; Barton, D.N.; Langemeyer, J.; McPhearson, T.; O’farrell, P.; Andersson, E.; Hamstead, Z.; Kremer, P. Urban ecosystem services. In </w:t>
      </w:r>
      <w:r>
        <w:rPr>
          <w:i/>
          <w:iCs/>
        </w:rPr>
        <w:t>Urbanization, biodiversity and ecosystem services: Challenges and opportunities</w:t>
      </w:r>
      <w:r>
        <w:t>; Springer, Dordrecht, 2013; pp. 175–251</w:t>
      </w:r>
      <w:r>
        <w:t>.</w:t>
      </w:r>
    </w:p>
    <w:p w14:paraId="5F678ADA" w14:textId="77777777" w:rsidR="00914D0D" w:rsidRDefault="00E77225">
      <w:pPr>
        <w:pStyle w:val="Bibliography"/>
      </w:pPr>
      <w:bookmarkStart w:id="25" w:name="ref-gomez-baggethun_classifying_2013"/>
      <w:bookmarkEnd w:id="24"/>
      <w:r>
        <w:t xml:space="preserve">4. </w:t>
      </w:r>
      <w:r>
        <w:tab/>
        <w:t xml:space="preserve">Gómez-Baggethun, E.; Barton, D.N. Classifying and Valuing Ecosystem Services for Urban Planning. </w:t>
      </w:r>
      <w:r>
        <w:rPr>
          <w:i/>
          <w:iCs/>
        </w:rPr>
        <w:t>Ecological Economics</w:t>
      </w:r>
      <w:r>
        <w:t xml:space="preserve"> </w:t>
      </w:r>
      <w:r>
        <w:rPr>
          <w:b/>
          <w:bCs/>
        </w:rPr>
        <w:t>2013</w:t>
      </w:r>
      <w:r>
        <w:t xml:space="preserve">, </w:t>
      </w:r>
      <w:r>
        <w:rPr>
          <w:i/>
          <w:iCs/>
        </w:rPr>
        <w:t>86</w:t>
      </w:r>
      <w:r>
        <w:t>, 235–245.</w:t>
      </w:r>
    </w:p>
    <w:p w14:paraId="2246ACA8" w14:textId="77777777" w:rsidR="00914D0D" w:rsidRDefault="00E77225">
      <w:pPr>
        <w:pStyle w:val="Bibliography"/>
      </w:pPr>
      <w:bookmarkStart w:id="26" w:name="ref-elmqvist_urbanization_2013"/>
      <w:bookmarkEnd w:id="25"/>
      <w:r>
        <w:t xml:space="preserve">5. </w:t>
      </w:r>
      <w:r>
        <w:tab/>
      </w:r>
      <w:r>
        <w:rPr>
          <w:i/>
          <w:iCs/>
        </w:rPr>
        <w:t>Urbanization, Biodiversity and Ecosystem Services: Challenges and Opportunities</w:t>
      </w:r>
      <w:r>
        <w:t xml:space="preserve">; Elmqvist, T., Fragkias, M., </w:t>
      </w:r>
      <w:r>
        <w:t xml:space="preserve">Goodness, J., Güneralp, B., Marcotullio, P.J., McDonald, R.I., Parnell, S., Schewenius, M., Sendstad, M., Seto, K.C., Wilkinson, C., Eds.; Springer Netherlands: Dordrecht, 2013; ISBN </w:t>
      </w:r>
      <w:hyperlink r:id="rId15">
        <w:r>
          <w:rPr>
            <w:rStyle w:val="Hyperlink"/>
          </w:rPr>
          <w:t>978-94-007-7087-4 978-94-007-7088-1</w:t>
        </w:r>
      </w:hyperlink>
      <w:r>
        <w:t>.</w:t>
      </w:r>
    </w:p>
    <w:p w14:paraId="0C5A6C3F" w14:textId="77777777" w:rsidR="00914D0D" w:rsidRDefault="00E77225">
      <w:pPr>
        <w:pStyle w:val="Bibliography"/>
      </w:pPr>
      <w:bookmarkStart w:id="27" w:name="ref-haase_quantitative_2014"/>
      <w:bookmarkEnd w:id="26"/>
      <w:r>
        <w:t xml:space="preserve">6. </w:t>
      </w:r>
      <w:r>
        <w:tab/>
        <w:t>Haase, D.; Larondelle, N.; Andersson, E.; Artmann, M.; Borgström, S.; Breuste, J.; Gomez-Baggethun, E.; Gren, \AAsa.; Hamstead, Z.; Hansen, R. A Quantitative Review of Urban Ecosystem Service Assessments: Co</w:t>
      </w:r>
      <w:r>
        <w:t xml:space="preserve">ncepts, Models, and Implementation. </w:t>
      </w:r>
      <w:r>
        <w:rPr>
          <w:i/>
          <w:iCs/>
        </w:rPr>
        <w:t>Ambio</w:t>
      </w:r>
      <w:r>
        <w:t xml:space="preserve"> </w:t>
      </w:r>
      <w:r>
        <w:rPr>
          <w:b/>
          <w:bCs/>
        </w:rPr>
        <w:t>2014</w:t>
      </w:r>
      <w:r>
        <w:t xml:space="preserve">, </w:t>
      </w:r>
      <w:r>
        <w:rPr>
          <w:i/>
          <w:iCs/>
        </w:rPr>
        <w:t>43</w:t>
      </w:r>
      <w:r>
        <w:t>, 413–433.</w:t>
      </w:r>
    </w:p>
    <w:p w14:paraId="03F75DBE" w14:textId="77777777" w:rsidR="00914D0D" w:rsidRDefault="00E77225">
      <w:pPr>
        <w:pStyle w:val="Bibliography"/>
      </w:pPr>
      <w:bookmarkStart w:id="28" w:name="ref-dobbs_urban_2019"/>
      <w:bookmarkEnd w:id="27"/>
      <w:r>
        <w:t xml:space="preserve">7. </w:t>
      </w:r>
      <w:r>
        <w:tab/>
      </w:r>
      <w:r>
        <w:t>Dobbs, C.; Escobedo, F.J.; Clerici, N.; Barrera, F. de la; Eleuterio, A.A.; MacGregor-Fors, I.; Reyes-Paecke, S.; Vásquez, A.; Camaño, J.D.Z.; Hernández, H.J. Urban Ecosystem Services in Latin America: Mismatch Between Global Concepts and Regional Realitie</w:t>
      </w:r>
      <w:r>
        <w:t xml:space="preserve">s? </w:t>
      </w:r>
      <w:r>
        <w:rPr>
          <w:i/>
          <w:iCs/>
        </w:rPr>
        <w:t>Urban ecosystems</w:t>
      </w:r>
      <w:r>
        <w:t xml:space="preserve"> </w:t>
      </w:r>
      <w:r>
        <w:rPr>
          <w:b/>
          <w:bCs/>
        </w:rPr>
        <w:t>2019</w:t>
      </w:r>
      <w:r>
        <w:t xml:space="preserve">, </w:t>
      </w:r>
      <w:r>
        <w:rPr>
          <w:i/>
          <w:iCs/>
        </w:rPr>
        <w:t>22</w:t>
      </w:r>
      <w:r>
        <w:t>, 173–187.</w:t>
      </w:r>
    </w:p>
    <w:p w14:paraId="43D405FC" w14:textId="77777777" w:rsidR="00914D0D" w:rsidRDefault="00E77225">
      <w:pPr>
        <w:pStyle w:val="Bibliography"/>
      </w:pPr>
      <w:bookmarkStart w:id="29" w:name="ref-kremer_value_2016"/>
      <w:bookmarkEnd w:id="28"/>
      <w:r>
        <w:t xml:space="preserve">8. </w:t>
      </w:r>
      <w:r>
        <w:tab/>
        <w:t xml:space="preserve">Kremer, P.; Hamstead, Z.A.; McPhearson, T. The Value of Urban Ecosystem Services in New York City: A Spatially Explicit Multicriteria Analysis of Landscape Scale Valuation Scenarios. </w:t>
      </w:r>
      <w:r>
        <w:rPr>
          <w:i/>
          <w:iCs/>
        </w:rPr>
        <w:t>Environmental Science &amp; Policy</w:t>
      </w:r>
      <w:r>
        <w:t xml:space="preserve"> </w:t>
      </w:r>
      <w:r>
        <w:rPr>
          <w:b/>
          <w:bCs/>
        </w:rPr>
        <w:t>2016</w:t>
      </w:r>
      <w:r>
        <w:t xml:space="preserve">, </w:t>
      </w:r>
      <w:r>
        <w:rPr>
          <w:i/>
          <w:iCs/>
        </w:rPr>
        <w:t>62</w:t>
      </w:r>
      <w:r>
        <w:t>, 57–68, doi:</w:t>
      </w:r>
      <w:hyperlink r:id="rId16">
        <w:r>
          <w:rPr>
            <w:rStyle w:val="Hyperlink"/>
          </w:rPr>
          <w:t>10.1016/j.envsci.2016.04.012</w:t>
        </w:r>
      </w:hyperlink>
      <w:r>
        <w:t>.</w:t>
      </w:r>
    </w:p>
    <w:p w14:paraId="37F664B9" w14:textId="77777777" w:rsidR="00914D0D" w:rsidRDefault="00E77225">
      <w:pPr>
        <w:pStyle w:val="Bibliography"/>
      </w:pPr>
      <w:bookmarkStart w:id="30" w:name="ref-larondelle_balancing_2016"/>
      <w:bookmarkEnd w:id="29"/>
      <w:r>
        <w:t xml:space="preserve">9. </w:t>
      </w:r>
      <w:r>
        <w:tab/>
        <w:t xml:space="preserve">Larondelle, N.; Lauf, S. Balancing Demand and Supply of Multiple Urban Ecosystem Services on Different Spatial Scales. </w:t>
      </w:r>
      <w:r>
        <w:rPr>
          <w:i/>
          <w:iCs/>
        </w:rPr>
        <w:t>Ecosystem Service</w:t>
      </w:r>
      <w:r>
        <w:rPr>
          <w:i/>
          <w:iCs/>
        </w:rPr>
        <w:t>s</w:t>
      </w:r>
      <w:r>
        <w:t xml:space="preserve"> </w:t>
      </w:r>
      <w:r>
        <w:rPr>
          <w:b/>
          <w:bCs/>
        </w:rPr>
        <w:t>2016</w:t>
      </w:r>
      <w:r>
        <w:t xml:space="preserve">, </w:t>
      </w:r>
      <w:r>
        <w:rPr>
          <w:i/>
          <w:iCs/>
        </w:rPr>
        <w:t>22</w:t>
      </w:r>
      <w:r>
        <w:t>, 18–31, doi:</w:t>
      </w:r>
      <w:hyperlink r:id="rId17">
        <w:r>
          <w:rPr>
            <w:rStyle w:val="Hyperlink"/>
          </w:rPr>
          <w:t>10.1016/j.ecoser.2016.09.008</w:t>
        </w:r>
      </w:hyperlink>
      <w:r>
        <w:t>.</w:t>
      </w:r>
    </w:p>
    <w:p w14:paraId="0282CE53" w14:textId="77777777" w:rsidR="00914D0D" w:rsidRDefault="00E77225">
      <w:pPr>
        <w:pStyle w:val="Bibliography"/>
      </w:pPr>
      <w:bookmarkStart w:id="31" w:name="ref-hirabayashi_estimating_2016"/>
      <w:bookmarkEnd w:id="30"/>
      <w:r>
        <w:t xml:space="preserve">10. </w:t>
      </w:r>
      <w:r>
        <w:tab/>
        <w:t>Hirabayashi, S.; Tokue, Y.; Ito, A.; Ellis, A.; Hoehn, R.; Imamura, F.; Morioka, C. Estimating Ecosystem Services and Their Monetary V</w:t>
      </w:r>
      <w:r>
        <w:t xml:space="preserve">alues Provided by Street Trees in Kawasaki Ward of Kawasaki City Using i-Tree Eco. (In Japanese). </w:t>
      </w:r>
      <w:r>
        <w:rPr>
          <w:i/>
          <w:iCs/>
        </w:rPr>
        <w:t xml:space="preserve">Journal of the </w:t>
      </w:r>
      <w:r>
        <w:rPr>
          <w:i/>
          <w:iCs/>
        </w:rPr>
        <w:lastRenderedPageBreak/>
        <w:t>Japanese Society of Revegetation Technology</w:t>
      </w:r>
      <w:r>
        <w:t xml:space="preserve"> </w:t>
      </w:r>
      <w:r>
        <w:rPr>
          <w:b/>
          <w:bCs/>
        </w:rPr>
        <w:t>2016</w:t>
      </w:r>
      <w:r>
        <w:t xml:space="preserve">, </w:t>
      </w:r>
      <w:r>
        <w:rPr>
          <w:i/>
          <w:iCs/>
        </w:rPr>
        <w:t>42</w:t>
      </w:r>
      <w:r>
        <w:t>, 44–49, doi:</w:t>
      </w:r>
      <w:hyperlink r:id="rId18">
        <w:r>
          <w:rPr>
            <w:rStyle w:val="Hyperlink"/>
          </w:rPr>
          <w:t>10.7211/jjsrt.42.44</w:t>
        </w:r>
      </w:hyperlink>
      <w:r>
        <w:t>.</w:t>
      </w:r>
    </w:p>
    <w:p w14:paraId="6F31F3B5" w14:textId="77777777" w:rsidR="00914D0D" w:rsidRDefault="00E77225">
      <w:pPr>
        <w:pStyle w:val="Bibliography"/>
      </w:pPr>
      <w:bookmarkStart w:id="32" w:name="ref-hirabayashi_customization_2019"/>
      <w:bookmarkEnd w:id="31"/>
      <w:r>
        <w:t>11</w:t>
      </w:r>
      <w:r>
        <w:t xml:space="preserve">. </w:t>
      </w:r>
      <w:r>
        <w:tab/>
        <w:t xml:space="preserve">Hirabayashi, S.; Tan, X.; Shozo, S. Customization of i-Tree Eco’s Medical Cost and Building Energy Saving Models for Japan (In Japanese). </w:t>
      </w:r>
      <w:r>
        <w:rPr>
          <w:i/>
          <w:iCs/>
        </w:rPr>
        <w:t>Journal of the Japanese Society of Revegetation Technology</w:t>
      </w:r>
      <w:r>
        <w:t xml:space="preserve"> </w:t>
      </w:r>
      <w:r>
        <w:rPr>
          <w:b/>
          <w:bCs/>
        </w:rPr>
        <w:t>2019</w:t>
      </w:r>
      <w:r>
        <w:t xml:space="preserve">, </w:t>
      </w:r>
      <w:r>
        <w:rPr>
          <w:i/>
          <w:iCs/>
        </w:rPr>
        <w:t>45</w:t>
      </w:r>
      <w:r>
        <w:t>, 200–203, doi:</w:t>
      </w:r>
      <w:hyperlink r:id="rId19">
        <w:r>
          <w:rPr>
            <w:rStyle w:val="Hyperlink"/>
          </w:rPr>
          <w:t>10.7211/jjsrt.45.200</w:t>
        </w:r>
      </w:hyperlink>
      <w:r>
        <w:t>.</w:t>
      </w:r>
    </w:p>
    <w:p w14:paraId="6A5F5160" w14:textId="77777777" w:rsidR="00914D0D" w:rsidRDefault="00E77225">
      <w:pPr>
        <w:pStyle w:val="Bibliography"/>
      </w:pPr>
      <w:bookmarkStart w:id="33" w:name="ref-tan_estimation_2021"/>
      <w:bookmarkEnd w:id="32"/>
      <w:r>
        <w:t xml:space="preserve">12. </w:t>
      </w:r>
      <w:r>
        <w:tab/>
        <w:t xml:space="preserve">Tan, X.; Hirabayashi, S.; Shibata, S. Estimation of Ecosystem Services Provided by Street Trees in Kyoto, Japan. </w:t>
      </w:r>
      <w:r>
        <w:rPr>
          <w:i/>
          <w:iCs/>
        </w:rPr>
        <w:t>Forests</w:t>
      </w:r>
      <w:r>
        <w:t xml:space="preserve"> </w:t>
      </w:r>
      <w:r>
        <w:rPr>
          <w:b/>
          <w:bCs/>
        </w:rPr>
        <w:t>2021</w:t>
      </w:r>
      <w:r>
        <w:t xml:space="preserve">, </w:t>
      </w:r>
      <w:r>
        <w:rPr>
          <w:i/>
          <w:iCs/>
        </w:rPr>
        <w:t>12</w:t>
      </w:r>
      <w:r>
        <w:t>, 311, doi:</w:t>
      </w:r>
      <w:hyperlink r:id="rId20">
        <w:r>
          <w:rPr>
            <w:rStyle w:val="Hyperlink"/>
          </w:rPr>
          <w:t>10.3390/f1203</w:t>
        </w:r>
        <w:r>
          <w:rPr>
            <w:rStyle w:val="Hyperlink"/>
          </w:rPr>
          <w:t>0311</w:t>
        </w:r>
      </w:hyperlink>
      <w:r>
        <w:t>.</w:t>
      </w:r>
    </w:p>
    <w:p w14:paraId="65C1D2EC" w14:textId="77777777" w:rsidR="00914D0D" w:rsidRDefault="00E77225">
      <w:pPr>
        <w:pStyle w:val="Bibliography"/>
      </w:pPr>
      <w:bookmarkStart w:id="34" w:name="ref-kawaguchi_estimation_2021"/>
      <w:bookmarkEnd w:id="33"/>
      <w:r>
        <w:t xml:space="preserve">13. </w:t>
      </w:r>
      <w:r>
        <w:tab/>
        <w:t xml:space="preserve">Kawaguchi, M.; Hirabayashi, S.; Hirase, K.; Kaga, H.; Akazawa, H. Estimation of Monetary Value of Street Trees by i-Tree Eco Using Tree Health Surveys in Suita City, Osaka Prefecture. </w:t>
      </w:r>
      <w:r>
        <w:rPr>
          <w:i/>
          <w:iCs/>
        </w:rPr>
        <w:t>Landscape Research Japan Online</w:t>
      </w:r>
      <w:r>
        <w:t xml:space="preserve"> </w:t>
      </w:r>
      <w:r>
        <w:rPr>
          <w:b/>
          <w:bCs/>
        </w:rPr>
        <w:t>2021</w:t>
      </w:r>
      <w:r>
        <w:t xml:space="preserve">, </w:t>
      </w:r>
      <w:r>
        <w:rPr>
          <w:i/>
          <w:iCs/>
        </w:rPr>
        <w:t>14</w:t>
      </w:r>
      <w:r>
        <w:t>, 1–12, doi:</w:t>
      </w:r>
      <w:hyperlink r:id="rId21">
        <w:r>
          <w:rPr>
            <w:rStyle w:val="Hyperlink"/>
          </w:rPr>
          <w:t>10.5632/jilaonline.14.1</w:t>
        </w:r>
      </w:hyperlink>
      <w:r>
        <w:t>.</w:t>
      </w:r>
    </w:p>
    <w:p w14:paraId="57C59C06" w14:textId="77777777" w:rsidR="00914D0D" w:rsidRDefault="00E77225">
      <w:pPr>
        <w:pStyle w:val="Bibliography"/>
      </w:pPr>
      <w:bookmarkStart w:id="35" w:name="ref-zhao_assessing_2018"/>
      <w:bookmarkEnd w:id="34"/>
      <w:r>
        <w:t xml:space="preserve">14. </w:t>
      </w:r>
      <w:r>
        <w:tab/>
        <w:t xml:space="preserve">Zhao, C.; Sander, H.A. Assessing the Sensitivity of Urban Ecosystem Service Maps to Input Spatial Data Resolution and Method Choice. </w:t>
      </w:r>
      <w:r>
        <w:rPr>
          <w:i/>
          <w:iCs/>
        </w:rPr>
        <w:t>Landscape and Urban Planning</w:t>
      </w:r>
      <w:r>
        <w:t xml:space="preserve"> </w:t>
      </w:r>
      <w:r>
        <w:rPr>
          <w:b/>
          <w:bCs/>
        </w:rPr>
        <w:t>2018</w:t>
      </w:r>
      <w:r>
        <w:t xml:space="preserve">, </w:t>
      </w:r>
      <w:r>
        <w:rPr>
          <w:i/>
          <w:iCs/>
        </w:rPr>
        <w:t>175</w:t>
      </w:r>
      <w:r>
        <w:t>, 11–22, doi:</w:t>
      </w:r>
      <w:hyperlink r:id="rId22">
        <w:r>
          <w:rPr>
            <w:rStyle w:val="Hyperlink"/>
          </w:rPr>
          <w:t>10.1016/j.landurbplan.2018.03.007</w:t>
        </w:r>
      </w:hyperlink>
      <w:r>
        <w:t>.</w:t>
      </w:r>
    </w:p>
    <w:p w14:paraId="52FF686C" w14:textId="77777777" w:rsidR="00914D0D" w:rsidRDefault="00E77225">
      <w:pPr>
        <w:pStyle w:val="Bibliography"/>
      </w:pPr>
      <w:bookmarkStart w:id="36" w:name="ref-kremer_key_2016"/>
      <w:bookmarkEnd w:id="35"/>
      <w:r>
        <w:t xml:space="preserve">15. </w:t>
      </w:r>
      <w:r>
        <w:tab/>
        <w:t xml:space="preserve">Kremer, P.; Hamstead, Z.; Haase, D.; McPhearson, T.; Frantzeskaki, N.; Andersson, E.; Kabisch, N.; Larondelle, N.; Rall, E.L.; Voigt, </w:t>
      </w:r>
      <w:r>
        <w:t xml:space="preserve">A. Key Insights for the Future of Urban Ecosystem Services Research. </w:t>
      </w:r>
      <w:r>
        <w:rPr>
          <w:i/>
          <w:iCs/>
        </w:rPr>
        <w:t>Ecology and Society</w:t>
      </w:r>
      <w:r>
        <w:t xml:space="preserve"> </w:t>
      </w:r>
      <w:r>
        <w:rPr>
          <w:b/>
          <w:bCs/>
        </w:rPr>
        <w:t>2016</w:t>
      </w:r>
      <w:r>
        <w:t xml:space="preserve">, </w:t>
      </w:r>
      <w:r>
        <w:rPr>
          <w:i/>
          <w:iCs/>
        </w:rPr>
        <w:t>21</w:t>
      </w:r>
      <w:r>
        <w:t>.</w:t>
      </w:r>
    </w:p>
    <w:p w14:paraId="2B55D3B3" w14:textId="77777777" w:rsidR="00914D0D" w:rsidRDefault="00E77225">
      <w:pPr>
        <w:pStyle w:val="Bibliography"/>
      </w:pPr>
      <w:bookmarkStart w:id="37" w:name="ref-costanza_twenty_2017"/>
      <w:bookmarkEnd w:id="36"/>
      <w:r>
        <w:t xml:space="preserve">16. </w:t>
      </w:r>
      <w:r>
        <w:tab/>
        <w:t>Costanza, R.; De Groot, R.; Braat, L.; Kubiszewski, I.; Fioramonti, L.; Sutton, P.; Farber, S.; Grasso, M. Twenty Years of Ecosystem Services: How Far H</w:t>
      </w:r>
      <w:r>
        <w:t xml:space="preserve">ave We Come and How Far Do We Still Need to Go? </w:t>
      </w:r>
      <w:r>
        <w:rPr>
          <w:i/>
          <w:iCs/>
        </w:rPr>
        <w:t>Ecosystem services</w:t>
      </w:r>
      <w:r>
        <w:t xml:space="preserve"> </w:t>
      </w:r>
      <w:r>
        <w:rPr>
          <w:b/>
          <w:bCs/>
        </w:rPr>
        <w:t>2017</w:t>
      </w:r>
      <w:r>
        <w:t xml:space="preserve">, </w:t>
      </w:r>
      <w:r>
        <w:rPr>
          <w:i/>
          <w:iCs/>
        </w:rPr>
        <w:t>28</w:t>
      </w:r>
      <w:r>
        <w:t>, 1–16.</w:t>
      </w:r>
    </w:p>
    <w:p w14:paraId="16A7330D" w14:textId="77777777" w:rsidR="00914D0D" w:rsidRDefault="00E77225">
      <w:pPr>
        <w:pStyle w:val="Bibliography"/>
      </w:pPr>
      <w:bookmarkStart w:id="38" w:name="ref-costanza_changes_2014"/>
      <w:bookmarkEnd w:id="37"/>
      <w:r>
        <w:t xml:space="preserve">17. </w:t>
      </w:r>
      <w:r>
        <w:tab/>
        <w:t xml:space="preserve">Costanza, R.; Groot, R. de; Sutton, P.; Ploeg, S. van der; Anderson, S.J.; Kubiszewski, I.; Farber, S.; Turner, R.K. Changes in the Global Value of Ecosystem Services. </w:t>
      </w:r>
      <w:r>
        <w:rPr>
          <w:i/>
          <w:iCs/>
        </w:rPr>
        <w:t>Global Environmental Change</w:t>
      </w:r>
      <w:r>
        <w:t xml:space="preserve"> </w:t>
      </w:r>
      <w:r>
        <w:rPr>
          <w:b/>
          <w:bCs/>
        </w:rPr>
        <w:t>2014</w:t>
      </w:r>
      <w:r>
        <w:t xml:space="preserve">, </w:t>
      </w:r>
      <w:r>
        <w:rPr>
          <w:i/>
          <w:iCs/>
        </w:rPr>
        <w:t>26</w:t>
      </w:r>
      <w:r>
        <w:t>, 152–158, doi:</w:t>
      </w:r>
      <w:hyperlink r:id="rId23">
        <w:r>
          <w:rPr>
            <w:rStyle w:val="Hyperlink"/>
          </w:rPr>
          <w:t>10.1016/j.gloenvcha.2014.04.002</w:t>
        </w:r>
      </w:hyperlink>
      <w:r>
        <w:t>.</w:t>
      </w:r>
    </w:p>
    <w:p w14:paraId="275E35F8" w14:textId="77777777" w:rsidR="00914D0D" w:rsidRDefault="00E77225">
      <w:pPr>
        <w:pStyle w:val="Bibliography"/>
      </w:pPr>
      <w:bookmarkStart w:id="39" w:name="ref-yi_impacts_2017"/>
      <w:bookmarkEnd w:id="38"/>
      <w:r>
        <w:t xml:space="preserve">18. </w:t>
      </w:r>
      <w:r>
        <w:tab/>
        <w:t>Yi, H.; Güneralp, B.; Filippi, A.M.; Kreuter, U.P.; Güneralp, İ. Impacts of Land Change on Ecosystem</w:t>
      </w:r>
      <w:r>
        <w:t xml:space="preserve"> Services in the San Antonio River Basin, Texas, from 1984 to 2010. </w:t>
      </w:r>
      <w:r>
        <w:rPr>
          <w:i/>
          <w:iCs/>
        </w:rPr>
        <w:t>Ecological Economics</w:t>
      </w:r>
      <w:r>
        <w:t xml:space="preserve"> </w:t>
      </w:r>
      <w:r>
        <w:rPr>
          <w:b/>
          <w:bCs/>
        </w:rPr>
        <w:t>2017</w:t>
      </w:r>
      <w:r>
        <w:t xml:space="preserve">, </w:t>
      </w:r>
      <w:r>
        <w:rPr>
          <w:i/>
          <w:iCs/>
        </w:rPr>
        <w:t>135</w:t>
      </w:r>
      <w:r>
        <w:t>, 125–135, doi:</w:t>
      </w:r>
      <w:hyperlink r:id="rId24">
        <w:r>
          <w:rPr>
            <w:rStyle w:val="Hyperlink"/>
          </w:rPr>
          <w:t>10.1016/j.ecolecon.2016.11.019</w:t>
        </w:r>
      </w:hyperlink>
      <w:r>
        <w:t>.</w:t>
      </w:r>
    </w:p>
    <w:p w14:paraId="64492011" w14:textId="77777777" w:rsidR="00914D0D" w:rsidRDefault="00E77225">
      <w:pPr>
        <w:pStyle w:val="Bibliography"/>
      </w:pPr>
      <w:bookmarkStart w:id="40" w:name="ref-arowolo_assessing_2018"/>
      <w:bookmarkEnd w:id="39"/>
      <w:r>
        <w:t xml:space="preserve">19. </w:t>
      </w:r>
      <w:r>
        <w:tab/>
        <w:t>Arowolo, A.O.; Deng, X.; Olatunji, O.A.;</w:t>
      </w:r>
      <w:r>
        <w:t xml:space="preserve"> Obayelu, A.E. Assessing Changes in the Value of Ecosystem Services in Response to Land-Use/Land-Cover Dynamics in Nigeria. </w:t>
      </w:r>
      <w:r>
        <w:rPr>
          <w:i/>
          <w:iCs/>
        </w:rPr>
        <w:t>Science of The Total Environment</w:t>
      </w:r>
      <w:r>
        <w:t xml:space="preserve"> </w:t>
      </w:r>
      <w:r>
        <w:rPr>
          <w:b/>
          <w:bCs/>
        </w:rPr>
        <w:t>2018</w:t>
      </w:r>
      <w:r>
        <w:t xml:space="preserve">, </w:t>
      </w:r>
      <w:r>
        <w:rPr>
          <w:i/>
          <w:iCs/>
        </w:rPr>
        <w:t>636</w:t>
      </w:r>
      <w:r>
        <w:t>, 597–609, doi:</w:t>
      </w:r>
      <w:hyperlink r:id="rId25">
        <w:r>
          <w:rPr>
            <w:rStyle w:val="Hyperlink"/>
          </w:rPr>
          <w:t>10.1016/</w:t>
        </w:r>
        <w:r>
          <w:rPr>
            <w:rStyle w:val="Hyperlink"/>
          </w:rPr>
          <w:t>j.scitotenv.2018.04.277</w:t>
        </w:r>
      </w:hyperlink>
      <w:r>
        <w:t>.</w:t>
      </w:r>
    </w:p>
    <w:p w14:paraId="6460161F" w14:textId="77777777" w:rsidR="00914D0D" w:rsidRDefault="00E77225">
      <w:pPr>
        <w:pStyle w:val="Bibliography"/>
      </w:pPr>
      <w:bookmarkStart w:id="41" w:name="ref-xie_ecological_2003"/>
      <w:bookmarkEnd w:id="40"/>
      <w:r>
        <w:t xml:space="preserve">20. </w:t>
      </w:r>
      <w:r>
        <w:tab/>
        <w:t xml:space="preserve">Xie, G.D.; Lu, C.X.; Leng, Y.F.; Zheng, D.U.; Li, S.C. Ecological Assets Valuation of the Tibetan Plateau. </w:t>
      </w:r>
      <w:r>
        <w:rPr>
          <w:i/>
          <w:iCs/>
        </w:rPr>
        <w:t>Journal of natural resources</w:t>
      </w:r>
      <w:r>
        <w:t xml:space="preserve"> </w:t>
      </w:r>
      <w:r>
        <w:rPr>
          <w:b/>
          <w:bCs/>
        </w:rPr>
        <w:t>2003</w:t>
      </w:r>
      <w:r>
        <w:t xml:space="preserve">, </w:t>
      </w:r>
      <w:r>
        <w:rPr>
          <w:i/>
          <w:iCs/>
        </w:rPr>
        <w:t>18</w:t>
      </w:r>
      <w:r>
        <w:t>, 189–196.</w:t>
      </w:r>
    </w:p>
    <w:p w14:paraId="553D9D52" w14:textId="77777777" w:rsidR="00914D0D" w:rsidRDefault="00E77225">
      <w:pPr>
        <w:pStyle w:val="Bibliography"/>
      </w:pPr>
      <w:bookmarkStart w:id="42" w:name="ref-xie_expert_2008"/>
      <w:bookmarkEnd w:id="41"/>
      <w:r>
        <w:t xml:space="preserve">21. </w:t>
      </w:r>
      <w:r>
        <w:tab/>
        <w:t>Xie, G.D.; Zhen, L.; Lu, C.-X.; Xiao, Y.; Chen, C. Expert Knowledg</w:t>
      </w:r>
      <w:r>
        <w:t xml:space="preserve">e Based Valuation Method of Ecosystem Services in China. </w:t>
      </w:r>
      <w:r>
        <w:rPr>
          <w:i/>
          <w:iCs/>
        </w:rPr>
        <w:t>Journal of Natural Resources</w:t>
      </w:r>
      <w:r>
        <w:t xml:space="preserve"> </w:t>
      </w:r>
      <w:r>
        <w:rPr>
          <w:b/>
          <w:bCs/>
        </w:rPr>
        <w:t>2008</w:t>
      </w:r>
      <w:r>
        <w:t xml:space="preserve">, </w:t>
      </w:r>
      <w:r>
        <w:rPr>
          <w:i/>
          <w:iCs/>
        </w:rPr>
        <w:t>23</w:t>
      </w:r>
      <w:r>
        <w:t>, 911–919.</w:t>
      </w:r>
    </w:p>
    <w:p w14:paraId="37C92882" w14:textId="77777777" w:rsidR="00914D0D" w:rsidRDefault="00E77225">
      <w:pPr>
        <w:pStyle w:val="Bibliography"/>
      </w:pPr>
      <w:bookmarkStart w:id="43" w:name="ref-bryan_land-use_2018"/>
      <w:bookmarkEnd w:id="42"/>
      <w:r>
        <w:lastRenderedPageBreak/>
        <w:t xml:space="preserve">22. </w:t>
      </w:r>
      <w:r>
        <w:tab/>
        <w:t>Bryan, B.A.; Ye, Y.; Zhang, J.; Connor, J.D. Land-Use Change Impacts on Ecosystem Services Value: Incorporating the Scarcity Effects of Supply and</w:t>
      </w:r>
      <w:r>
        <w:t xml:space="preserve"> Demand Dynamics. </w:t>
      </w:r>
      <w:r>
        <w:rPr>
          <w:i/>
          <w:iCs/>
        </w:rPr>
        <w:t>Ecosystem Services</w:t>
      </w:r>
      <w:r>
        <w:t xml:space="preserve"> </w:t>
      </w:r>
      <w:r>
        <w:rPr>
          <w:b/>
          <w:bCs/>
        </w:rPr>
        <w:t>2018</w:t>
      </w:r>
      <w:r>
        <w:t xml:space="preserve">, </w:t>
      </w:r>
      <w:r>
        <w:rPr>
          <w:i/>
          <w:iCs/>
        </w:rPr>
        <w:t>32</w:t>
      </w:r>
      <w:r>
        <w:t>, 144–157, doi:</w:t>
      </w:r>
      <w:hyperlink r:id="rId26">
        <w:r>
          <w:rPr>
            <w:rStyle w:val="Hyperlink"/>
          </w:rPr>
          <w:t>10.1016/j.ecoser.2018.07.002</w:t>
        </w:r>
      </w:hyperlink>
      <w:r>
        <w:t>.</w:t>
      </w:r>
    </w:p>
    <w:p w14:paraId="3B23D546" w14:textId="77777777" w:rsidR="00914D0D" w:rsidRDefault="00E77225">
      <w:pPr>
        <w:pStyle w:val="Bibliography"/>
      </w:pPr>
      <w:bookmarkStart w:id="44" w:name="ref-kim_assessing_2015"/>
      <w:bookmarkEnd w:id="43"/>
      <w:r>
        <w:t xml:space="preserve">23. </w:t>
      </w:r>
      <w:r>
        <w:tab/>
      </w:r>
      <w:r>
        <w:t xml:space="preserve">Kim, G.; Miller, P.; Nowak, D. Assessing Urban Vacant Land Ecosystem Services: Urban Vacant Land as Green Infrastructure in the City of Roanoke, Virginia. </w:t>
      </w:r>
      <w:r>
        <w:rPr>
          <w:i/>
          <w:iCs/>
        </w:rPr>
        <w:t>URBAN FORESTRY &amp; URBAN GREENING</w:t>
      </w:r>
      <w:r>
        <w:t xml:space="preserve"> </w:t>
      </w:r>
      <w:r>
        <w:rPr>
          <w:b/>
          <w:bCs/>
        </w:rPr>
        <w:t>2015</w:t>
      </w:r>
      <w:r>
        <w:t xml:space="preserve">, </w:t>
      </w:r>
      <w:r>
        <w:rPr>
          <w:i/>
          <w:iCs/>
        </w:rPr>
        <w:t>14</w:t>
      </w:r>
      <w:r>
        <w:t>, 519–526, doi:</w:t>
      </w:r>
      <w:hyperlink r:id="rId27">
        <w:r>
          <w:rPr>
            <w:rStyle w:val="Hyperlink"/>
          </w:rPr>
          <w:t>10.1016/j.ufug.2015.05.003</w:t>
        </w:r>
      </w:hyperlink>
      <w:r>
        <w:t>.</w:t>
      </w:r>
    </w:p>
    <w:p w14:paraId="68B9B44C" w14:textId="77777777" w:rsidR="00914D0D" w:rsidRDefault="00E77225">
      <w:pPr>
        <w:pStyle w:val="Bibliography"/>
      </w:pPr>
      <w:bookmarkStart w:id="45" w:name="ref-haase_shrinking_2013"/>
      <w:bookmarkEnd w:id="44"/>
      <w:r>
        <w:t xml:space="preserve">24. </w:t>
      </w:r>
      <w:r>
        <w:tab/>
        <w:t xml:space="preserve">Haase, D. Shrinking cities, biodiversity and ecosystem services. In </w:t>
      </w:r>
      <w:r>
        <w:rPr>
          <w:i/>
          <w:iCs/>
        </w:rPr>
        <w:t>Urbanization, biodiversity and ecosystem services: Challenges and opportunities</w:t>
      </w:r>
      <w:r>
        <w:t>; Springer, Dordrecht, 2013; pp. 253–274.</w:t>
      </w:r>
    </w:p>
    <w:p w14:paraId="3746A798" w14:textId="77777777" w:rsidR="00914D0D" w:rsidRDefault="00E77225">
      <w:pPr>
        <w:pStyle w:val="Bibliography"/>
      </w:pPr>
      <w:bookmarkStart w:id="46" w:name="ref-bolund_ecosystem_1999"/>
      <w:bookmarkEnd w:id="45"/>
      <w:r>
        <w:t xml:space="preserve">25. </w:t>
      </w:r>
      <w:r>
        <w:tab/>
        <w:t>Bolund, P.; H</w:t>
      </w:r>
      <w:r>
        <w:t xml:space="preserve">unhammar, S. Ecosystem Services in Urban Areas. </w:t>
      </w:r>
      <w:r>
        <w:rPr>
          <w:i/>
          <w:iCs/>
        </w:rPr>
        <w:t>Ecological economics</w:t>
      </w:r>
      <w:r>
        <w:t xml:space="preserve"> </w:t>
      </w:r>
      <w:r>
        <w:rPr>
          <w:b/>
          <w:bCs/>
        </w:rPr>
        <w:t>1999</w:t>
      </w:r>
      <w:r>
        <w:t xml:space="preserve">, </w:t>
      </w:r>
      <w:r>
        <w:rPr>
          <w:i/>
          <w:iCs/>
        </w:rPr>
        <w:t>29</w:t>
      </w:r>
      <w:r>
        <w:t>, 293–301.</w:t>
      </w:r>
    </w:p>
    <w:p w14:paraId="2C983FD9" w14:textId="77777777" w:rsidR="00914D0D" w:rsidRDefault="00E77225">
      <w:pPr>
        <w:pStyle w:val="Bibliography"/>
      </w:pPr>
      <w:bookmarkStart w:id="47" w:name="ref-tang_carbon_2016"/>
      <w:bookmarkEnd w:id="46"/>
      <w:r>
        <w:t xml:space="preserve">26. </w:t>
      </w:r>
      <w:r>
        <w:tab/>
        <w:t xml:space="preserve">Tang, Y.; Chen, A.; Zhao, S. Carbon Storage and Sequestration of Urban Street Trees in Beijing, China. </w:t>
      </w:r>
      <w:r>
        <w:rPr>
          <w:i/>
          <w:iCs/>
        </w:rPr>
        <w:t>Frontiers in Ecology and Evolution</w:t>
      </w:r>
      <w:r>
        <w:t xml:space="preserve"> </w:t>
      </w:r>
      <w:r>
        <w:rPr>
          <w:b/>
          <w:bCs/>
        </w:rPr>
        <w:t>2016</w:t>
      </w:r>
      <w:r>
        <w:t xml:space="preserve">, </w:t>
      </w:r>
      <w:r>
        <w:rPr>
          <w:i/>
          <w:iCs/>
        </w:rPr>
        <w:t>4</w:t>
      </w:r>
      <w:r>
        <w:t>, doi:</w:t>
      </w:r>
      <w:hyperlink r:id="rId28">
        <w:r>
          <w:rPr>
            <w:rStyle w:val="Hyperlink"/>
          </w:rPr>
          <w:t>10.3389/fevo.2016.00053</w:t>
        </w:r>
      </w:hyperlink>
      <w:r>
        <w:t>.</w:t>
      </w:r>
    </w:p>
    <w:p w14:paraId="67D62233" w14:textId="77777777" w:rsidR="00914D0D" w:rsidRDefault="00E77225">
      <w:pPr>
        <w:pStyle w:val="Bibliography"/>
      </w:pPr>
      <w:bookmarkStart w:id="48" w:name="ref-szkop_evaluation_2016"/>
      <w:bookmarkEnd w:id="47"/>
      <w:r>
        <w:t xml:space="preserve">27. </w:t>
      </w:r>
      <w:r>
        <w:tab/>
        <w:t xml:space="preserve">Szkop, Z. An Evaluation of the Ecosystem Services Provided by Urban Trees: The Role of Krasinski Gardens in Air Quality and Human Health in Warsaw (Poland). </w:t>
      </w:r>
      <w:r>
        <w:rPr>
          <w:i/>
          <w:iCs/>
        </w:rPr>
        <w:t>ENVIRONMENTAL &amp; SOCIO-</w:t>
      </w:r>
      <w:r>
        <w:rPr>
          <w:i/>
          <w:iCs/>
        </w:rPr>
        <w:t>ECONOMIC STUDIES</w:t>
      </w:r>
      <w:r>
        <w:t xml:space="preserve"> </w:t>
      </w:r>
      <w:r>
        <w:rPr>
          <w:b/>
          <w:bCs/>
        </w:rPr>
        <w:t>2016</w:t>
      </w:r>
      <w:r>
        <w:t xml:space="preserve">, </w:t>
      </w:r>
      <w:r>
        <w:rPr>
          <w:i/>
          <w:iCs/>
        </w:rPr>
        <w:t>4</w:t>
      </w:r>
      <w:r>
        <w:t>, 41–50, doi:</w:t>
      </w:r>
      <w:hyperlink r:id="rId29">
        <w:r>
          <w:rPr>
            <w:rStyle w:val="Hyperlink"/>
          </w:rPr>
          <w:t>10.1515/environ-2016-0023</w:t>
        </w:r>
      </w:hyperlink>
      <w:r>
        <w:t>.</w:t>
      </w:r>
    </w:p>
    <w:p w14:paraId="1CEAEB7A" w14:textId="77777777" w:rsidR="00914D0D" w:rsidRDefault="00E77225">
      <w:pPr>
        <w:pStyle w:val="Bibliography"/>
      </w:pPr>
      <w:bookmarkStart w:id="49" w:name="ref-camps-calvet_ecosystem_2016"/>
      <w:bookmarkEnd w:id="48"/>
      <w:r>
        <w:t xml:space="preserve">28. </w:t>
      </w:r>
      <w:r>
        <w:tab/>
        <w:t>Camps-Calvet, M.; Langemeyer, J.; Calvet-Mir, L.; Gómez-Baggethun, E. Ecosystem Services Provided by Urban Gardens in Barcelon</w:t>
      </w:r>
      <w:r>
        <w:t xml:space="preserve">a, Spain: Insights for Policy and Planning. </w:t>
      </w:r>
      <w:r>
        <w:rPr>
          <w:i/>
          <w:iCs/>
        </w:rPr>
        <w:t>Environmental Science &amp; Policy</w:t>
      </w:r>
      <w:r>
        <w:t xml:space="preserve"> </w:t>
      </w:r>
      <w:r>
        <w:rPr>
          <w:b/>
          <w:bCs/>
        </w:rPr>
        <w:t>2016</w:t>
      </w:r>
      <w:r>
        <w:t xml:space="preserve">, </w:t>
      </w:r>
      <w:r>
        <w:rPr>
          <w:i/>
          <w:iCs/>
        </w:rPr>
        <w:t>62</w:t>
      </w:r>
      <w:r>
        <w:t>, 14–23, doi:</w:t>
      </w:r>
      <w:hyperlink r:id="rId30">
        <w:r>
          <w:rPr>
            <w:rStyle w:val="Hyperlink"/>
          </w:rPr>
          <w:t>10.1016/j.envsci.2016.01.007</w:t>
        </w:r>
      </w:hyperlink>
      <w:r>
        <w:t>.</w:t>
      </w:r>
    </w:p>
    <w:p w14:paraId="7B585ED7" w14:textId="77777777" w:rsidR="00914D0D" w:rsidRDefault="00E77225">
      <w:pPr>
        <w:pStyle w:val="Bibliography"/>
      </w:pPr>
      <w:bookmarkStart w:id="50" w:name="ref-nowak_urban_2016"/>
      <w:bookmarkEnd w:id="49"/>
      <w:r>
        <w:t xml:space="preserve">29. </w:t>
      </w:r>
      <w:r>
        <w:tab/>
        <w:t>Nowak, D.; Hoehn, R.; Bodine, A.; Greenfield, E.; O’Neil-Dunn</w:t>
      </w:r>
      <w:r>
        <w:t xml:space="preserve">e, J. Urban Forest Structure, Ecosystem Services and Change in Syracuse, NY. </w:t>
      </w:r>
      <w:r>
        <w:rPr>
          <w:i/>
          <w:iCs/>
        </w:rPr>
        <w:t>URBAN ECOSYSTEMS</w:t>
      </w:r>
      <w:r>
        <w:t xml:space="preserve"> </w:t>
      </w:r>
      <w:r>
        <w:rPr>
          <w:b/>
          <w:bCs/>
        </w:rPr>
        <w:t>2016</w:t>
      </w:r>
      <w:r>
        <w:t xml:space="preserve">, </w:t>
      </w:r>
      <w:r>
        <w:rPr>
          <w:i/>
          <w:iCs/>
        </w:rPr>
        <w:t>19</w:t>
      </w:r>
      <w:r>
        <w:t>, 1455–1477, doi:</w:t>
      </w:r>
      <w:hyperlink r:id="rId31">
        <w:r>
          <w:rPr>
            <w:rStyle w:val="Hyperlink"/>
          </w:rPr>
          <w:t>10.1007/s11252-013-0326-z</w:t>
        </w:r>
      </w:hyperlink>
      <w:r>
        <w:t>.</w:t>
      </w:r>
    </w:p>
    <w:p w14:paraId="083B4ECD" w14:textId="77777777" w:rsidR="00914D0D" w:rsidRDefault="00E77225">
      <w:pPr>
        <w:pStyle w:val="Bibliography"/>
      </w:pPr>
      <w:bookmarkStart w:id="51" w:name="ref-kiss_role_2015"/>
      <w:bookmarkEnd w:id="50"/>
      <w:r>
        <w:t xml:space="preserve">30. </w:t>
      </w:r>
      <w:r>
        <w:tab/>
        <w:t xml:space="preserve">Kiss, M.; Takacs, A.; Pogacsas, R.; Gulyas, </w:t>
      </w:r>
      <w:r>
        <w:t xml:space="preserve">A. The Role of Ecosystem Services in Climate and Air Quality in Urban Areas: Evaluating Carbon Sequestration and Air Pollution Removal by Street and Park Trees in Szeged (Hungary). </w:t>
      </w:r>
      <w:r>
        <w:rPr>
          <w:i/>
          <w:iCs/>
        </w:rPr>
        <w:t>MORAVIAN GEOGRAPHICAL REPORTS</w:t>
      </w:r>
      <w:r>
        <w:t xml:space="preserve"> </w:t>
      </w:r>
      <w:r>
        <w:rPr>
          <w:b/>
          <w:bCs/>
        </w:rPr>
        <w:t>2015</w:t>
      </w:r>
      <w:r>
        <w:t xml:space="preserve">, </w:t>
      </w:r>
      <w:r>
        <w:rPr>
          <w:i/>
          <w:iCs/>
        </w:rPr>
        <w:t>23</w:t>
      </w:r>
      <w:r>
        <w:t>, 36–46, doi:</w:t>
      </w:r>
      <w:hyperlink r:id="rId32">
        <w:r>
          <w:rPr>
            <w:rStyle w:val="Hyperlink"/>
          </w:rPr>
          <w:t>10.1515/mgr-2015-0016</w:t>
        </w:r>
      </w:hyperlink>
      <w:r>
        <w:t>.</w:t>
      </w:r>
    </w:p>
    <w:p w14:paraId="664AC924" w14:textId="77777777" w:rsidR="00914D0D" w:rsidRDefault="00E77225">
      <w:pPr>
        <w:pStyle w:val="Bibliography"/>
      </w:pPr>
      <w:bookmarkStart w:id="52" w:name="ref-ning_modeling_2016"/>
      <w:bookmarkEnd w:id="51"/>
      <w:r>
        <w:t xml:space="preserve">31. </w:t>
      </w:r>
      <w:r>
        <w:tab/>
        <w:t xml:space="preserve">Ning, Z.; Chambers, R.; Abdollahi, K. Modeling Air Pollutant Removal, Carbon Storage, and Co2 Sequestration Potential of Urban Forests in Scotlandville, Louisiana, USA. </w:t>
      </w:r>
      <w:r>
        <w:rPr>
          <w:i/>
          <w:iCs/>
        </w:rPr>
        <w:t>IFOREST-BIOGEOSCIENCES AND</w:t>
      </w:r>
      <w:r>
        <w:rPr>
          <w:i/>
          <w:iCs/>
        </w:rPr>
        <w:t xml:space="preserve"> FORESTRY</w:t>
      </w:r>
      <w:r>
        <w:t xml:space="preserve"> </w:t>
      </w:r>
      <w:r>
        <w:rPr>
          <w:b/>
          <w:bCs/>
        </w:rPr>
        <w:t>2016</w:t>
      </w:r>
      <w:r>
        <w:t xml:space="preserve">, </w:t>
      </w:r>
      <w:r>
        <w:rPr>
          <w:i/>
          <w:iCs/>
        </w:rPr>
        <w:t>9</w:t>
      </w:r>
      <w:r>
        <w:t>, 860–867, doi:</w:t>
      </w:r>
      <w:hyperlink r:id="rId33">
        <w:r>
          <w:rPr>
            <w:rStyle w:val="Hyperlink"/>
          </w:rPr>
          <w:t>10.3832/ifor1845-009</w:t>
        </w:r>
      </w:hyperlink>
      <w:r>
        <w:t>.</w:t>
      </w:r>
    </w:p>
    <w:p w14:paraId="5E134C88" w14:textId="77777777" w:rsidR="00914D0D" w:rsidRDefault="00E77225">
      <w:pPr>
        <w:pStyle w:val="Bibliography"/>
      </w:pPr>
      <w:bookmarkStart w:id="53" w:name="ref-baro_contribution_2014"/>
      <w:bookmarkEnd w:id="52"/>
      <w:r>
        <w:t xml:space="preserve">32. </w:t>
      </w:r>
      <w:r>
        <w:tab/>
      </w:r>
      <w:r>
        <w:t xml:space="preserve">Baro, F.; Chaparro, L.; Gomez-Baggethun, E.; Langemeyer, J.; Nowak, D.; Terradas, J. Contribution of Ecosystem Services to Air Quality and Climate Change Mitigation Policies: The Case of Urban Forests in Barcelona, Spain. </w:t>
      </w:r>
      <w:r>
        <w:rPr>
          <w:i/>
          <w:iCs/>
        </w:rPr>
        <w:t>AMBIO</w:t>
      </w:r>
      <w:r>
        <w:t xml:space="preserve"> </w:t>
      </w:r>
      <w:r>
        <w:rPr>
          <w:b/>
          <w:bCs/>
        </w:rPr>
        <w:t>2014</w:t>
      </w:r>
      <w:r>
        <w:t xml:space="preserve">, </w:t>
      </w:r>
      <w:r>
        <w:rPr>
          <w:i/>
          <w:iCs/>
        </w:rPr>
        <w:t>43</w:t>
      </w:r>
      <w:r>
        <w:t>, 466–479, doi:</w:t>
      </w:r>
      <w:hyperlink r:id="rId34">
        <w:r>
          <w:rPr>
            <w:rStyle w:val="Hyperlink"/>
          </w:rPr>
          <w:t>10.1007/s13280-014-0507-x</w:t>
        </w:r>
      </w:hyperlink>
      <w:r>
        <w:t>.</w:t>
      </w:r>
    </w:p>
    <w:p w14:paraId="256BF12C" w14:textId="77777777" w:rsidR="00914D0D" w:rsidRDefault="00E77225">
      <w:pPr>
        <w:pStyle w:val="Bibliography"/>
      </w:pPr>
      <w:bookmarkStart w:id="54" w:name="ref-briassoulis_analysis_2019"/>
      <w:bookmarkEnd w:id="53"/>
      <w:r>
        <w:lastRenderedPageBreak/>
        <w:t xml:space="preserve">33. </w:t>
      </w:r>
      <w:r>
        <w:tab/>
        <w:t xml:space="preserve">Briassoulis, H. Analysis of Land Use Change: Theoretical and Modeling Approaches. </w:t>
      </w:r>
      <w:r>
        <w:rPr>
          <w:b/>
          <w:bCs/>
        </w:rPr>
        <w:t>2019</w:t>
      </w:r>
      <w:r>
        <w:t>.</w:t>
      </w:r>
    </w:p>
    <w:p w14:paraId="390FF0D0" w14:textId="77777777" w:rsidR="00914D0D" w:rsidRDefault="00E77225">
      <w:pPr>
        <w:pStyle w:val="Bibliography"/>
      </w:pPr>
      <w:bookmarkStart w:id="55" w:name="ref-nowak_ground-based_2008"/>
      <w:bookmarkEnd w:id="54"/>
      <w:r>
        <w:t xml:space="preserve">34. </w:t>
      </w:r>
      <w:r>
        <w:tab/>
        <w:t>Nowak, D.J.; Crane, D.E.; Stevens, J.C.; Hoehn, R.E.; Walton, J.T.; Bond, J</w:t>
      </w:r>
      <w:r>
        <w:t xml:space="preserve">. A Ground-Based Method of Assessing Urban Forest Structure and Ecosystem Services. </w:t>
      </w:r>
      <w:r>
        <w:rPr>
          <w:b/>
          <w:bCs/>
        </w:rPr>
        <w:t>2008</w:t>
      </w:r>
      <w:r>
        <w:t>, 12.</w:t>
      </w:r>
    </w:p>
    <w:p w14:paraId="33962E82" w14:textId="77777777" w:rsidR="00914D0D" w:rsidRDefault="00E77225">
      <w:pPr>
        <w:pStyle w:val="Bibliography"/>
      </w:pPr>
      <w:bookmarkStart w:id="56" w:name="ref-i-tee_i-tree_2019"/>
      <w:bookmarkEnd w:id="55"/>
      <w:r>
        <w:t xml:space="preserve">35. </w:t>
      </w:r>
      <w:r>
        <w:tab/>
        <w:t>i-Tee I-Tree Manuals, Guides &amp; Workbooks 2019.</w:t>
      </w:r>
    </w:p>
    <w:p w14:paraId="23830DFD" w14:textId="77777777" w:rsidR="00914D0D" w:rsidRDefault="00E77225">
      <w:pPr>
        <w:pStyle w:val="Bibliography"/>
      </w:pPr>
      <w:bookmarkStart w:id="57" w:name="ref-nowak_compensatory_2002"/>
      <w:bookmarkEnd w:id="56"/>
      <w:r>
        <w:t xml:space="preserve">36. </w:t>
      </w:r>
      <w:r>
        <w:tab/>
        <w:t xml:space="preserve">Nowak, D.J. Compensatory Value of Urban Trees in the United States. </w:t>
      </w:r>
      <w:r>
        <w:rPr>
          <w:i/>
          <w:iCs/>
        </w:rPr>
        <w:t>Journal of Arboriculture</w:t>
      </w:r>
      <w:r>
        <w:t xml:space="preserve"> </w:t>
      </w:r>
      <w:r>
        <w:rPr>
          <w:b/>
          <w:bCs/>
        </w:rPr>
        <w:t>2002</w:t>
      </w:r>
      <w:r>
        <w:t xml:space="preserve">, </w:t>
      </w:r>
      <w:r>
        <w:rPr>
          <w:i/>
          <w:iCs/>
        </w:rPr>
        <w:t>28</w:t>
      </w:r>
      <w:r>
        <w:t>, 19</w:t>
      </w:r>
      <w:r>
        <w:t>4–199.</w:t>
      </w:r>
    </w:p>
    <w:p w14:paraId="75BC77CD" w14:textId="77777777" w:rsidR="00914D0D" w:rsidRDefault="00E77225">
      <w:pPr>
        <w:pStyle w:val="Bibliography"/>
      </w:pPr>
      <w:bookmarkStart w:id="58" w:name="ref-nowak_understanding_2020"/>
      <w:bookmarkEnd w:id="57"/>
      <w:r>
        <w:t xml:space="preserve">37. </w:t>
      </w:r>
      <w:r>
        <w:tab/>
        <w:t>Nowak, D.J. Understanding i-Tree: Summary of Programs and Methods 2020.</w:t>
      </w:r>
    </w:p>
    <w:p w14:paraId="5A4CEBF5" w14:textId="77777777" w:rsidR="00914D0D" w:rsidRDefault="00E77225">
      <w:pPr>
        <w:pStyle w:val="Bibliography"/>
      </w:pPr>
      <w:bookmarkStart w:id="59" w:name="X6621670474dbdd3271b45674f4b8371d431cb5e"/>
      <w:bookmarkEnd w:id="58"/>
      <w:r>
        <w:t xml:space="preserve">38. </w:t>
      </w:r>
      <w:r>
        <w:tab/>
        <w:t>Tree and Landscape Appraisers, C. of Guide for Plant Appraisal 1992.</w:t>
      </w:r>
    </w:p>
    <w:p w14:paraId="5404F2D7" w14:textId="77777777" w:rsidR="00914D0D" w:rsidRDefault="00E77225">
      <w:pPr>
        <w:pStyle w:val="Bibliography"/>
      </w:pPr>
      <w:bookmarkStart w:id="60" w:name="X7ac854a44931156d5a5c1eb6db404613053e4bd"/>
      <w:bookmarkEnd w:id="59"/>
      <w:r>
        <w:t xml:space="preserve">39. </w:t>
      </w:r>
      <w:r>
        <w:tab/>
        <w:t>Ministry of the Environment, G. of J. Manual for Calculation and Valuation of Ecosystem Servi</w:t>
      </w:r>
      <w:r>
        <w:t>ces Related to Biodiversity Conservation Activities for Enterprises (In Japanese) 2019.</w:t>
      </w:r>
    </w:p>
    <w:p w14:paraId="5CE4FDF7" w14:textId="77777777" w:rsidR="00914D0D" w:rsidRDefault="00E77225">
      <w:pPr>
        <w:pStyle w:val="Bibliography"/>
      </w:pPr>
      <w:bookmarkStart w:id="61" w:name="ref-hirabayashi_i-tree_2012"/>
      <w:bookmarkEnd w:id="60"/>
      <w:r>
        <w:t xml:space="preserve">40. </w:t>
      </w:r>
      <w:r>
        <w:tab/>
        <w:t xml:space="preserve">Hirabayashi, S. I-Tree Eco Precipitation Interception Model Descriptions. </w:t>
      </w:r>
      <w:r>
        <w:rPr>
          <w:i/>
          <w:iCs/>
        </w:rPr>
        <w:t>New York, NY. Disponível em:&lt; https://www. itreetools. org/eco/resources/iTree_Eco_Precip</w:t>
      </w:r>
      <w:r>
        <w:rPr>
          <w:i/>
          <w:iCs/>
        </w:rPr>
        <w:t>itation_Interception_Model_D escriptions. pdf&gt;. Acesso em</w:t>
      </w:r>
      <w:r>
        <w:t xml:space="preserve"> </w:t>
      </w:r>
      <w:r>
        <w:rPr>
          <w:b/>
          <w:bCs/>
        </w:rPr>
        <w:t>2012</w:t>
      </w:r>
      <w:r>
        <w:t xml:space="preserve">, </w:t>
      </w:r>
      <w:r>
        <w:rPr>
          <w:i/>
          <w:iCs/>
        </w:rPr>
        <w:t>17</w:t>
      </w:r>
      <w:r>
        <w:t>.</w:t>
      </w:r>
    </w:p>
    <w:p w14:paraId="57EFE118" w14:textId="77777777" w:rsidR="00914D0D" w:rsidRDefault="00E77225">
      <w:pPr>
        <w:pStyle w:val="Bibliography"/>
      </w:pPr>
      <w:bookmarkStart w:id="62" w:name="ref-hazra_biostatistics_2016"/>
      <w:bookmarkEnd w:id="61"/>
      <w:r>
        <w:t xml:space="preserve">41. </w:t>
      </w:r>
      <w:r>
        <w:tab/>
        <w:t xml:space="preserve">Hazra, A.; Gogtay, N. Biostatistics Series Module 3: Comparing Groups: Numerical Variables. </w:t>
      </w:r>
      <w:r>
        <w:rPr>
          <w:i/>
          <w:iCs/>
        </w:rPr>
        <w:t>Indian journal of dermatology</w:t>
      </w:r>
      <w:r>
        <w:t xml:space="preserve"> </w:t>
      </w:r>
      <w:r>
        <w:rPr>
          <w:b/>
          <w:bCs/>
        </w:rPr>
        <w:t>2016</w:t>
      </w:r>
      <w:r>
        <w:t xml:space="preserve">, </w:t>
      </w:r>
      <w:r>
        <w:rPr>
          <w:i/>
          <w:iCs/>
        </w:rPr>
        <w:t>61</w:t>
      </w:r>
      <w:r>
        <w:t>, 251.</w:t>
      </w:r>
    </w:p>
    <w:p w14:paraId="289B32EE" w14:textId="77777777" w:rsidR="00914D0D" w:rsidRDefault="00E77225">
      <w:pPr>
        <w:pStyle w:val="Bibliography"/>
      </w:pPr>
      <w:bookmarkStart w:id="63" w:name="ref-song_assessing_2020"/>
      <w:bookmarkEnd w:id="62"/>
      <w:r>
        <w:t xml:space="preserve">42. </w:t>
      </w:r>
      <w:r>
        <w:tab/>
        <w:t>Song, P.; Kim, G.; Mayer, A.; He, R.; Tia</w:t>
      </w:r>
      <w:r>
        <w:t xml:space="preserve">n, G. Assessing the Ecosystem Services of Various Types of Urban Green Spaces Based on i-Tree Eco. </w:t>
      </w:r>
      <w:r>
        <w:rPr>
          <w:i/>
          <w:iCs/>
        </w:rPr>
        <w:t>Sustainability</w:t>
      </w:r>
      <w:r>
        <w:t xml:space="preserve"> </w:t>
      </w:r>
      <w:r>
        <w:rPr>
          <w:b/>
          <w:bCs/>
        </w:rPr>
        <w:t>2020</w:t>
      </w:r>
      <w:r>
        <w:t xml:space="preserve">, </w:t>
      </w:r>
      <w:r>
        <w:rPr>
          <w:i/>
          <w:iCs/>
        </w:rPr>
        <w:t>12</w:t>
      </w:r>
      <w:r>
        <w:t>, 1630, doi:</w:t>
      </w:r>
      <w:hyperlink r:id="rId35">
        <w:r>
          <w:rPr>
            <w:rStyle w:val="Hyperlink"/>
          </w:rPr>
          <w:t>10.3390/su12041630</w:t>
        </w:r>
      </w:hyperlink>
      <w:r>
        <w:t>.</w:t>
      </w:r>
    </w:p>
    <w:p w14:paraId="64FDACCD" w14:textId="77777777" w:rsidR="00914D0D" w:rsidRDefault="00E77225">
      <w:pPr>
        <w:pStyle w:val="Bibliography"/>
      </w:pPr>
      <w:bookmarkStart w:id="64" w:name="ref-selmi_air_2016"/>
      <w:bookmarkEnd w:id="63"/>
      <w:r>
        <w:t xml:space="preserve">43. </w:t>
      </w:r>
      <w:r>
        <w:tab/>
        <w:t>Selmi, W.; Weber, C.; Riviere, E.; Blond, N</w:t>
      </w:r>
      <w:r>
        <w:t xml:space="preserve">.; Mehdi, L.; Nowak, D. Air Pollution Removal by Trees in Public Green Spaces in Strasbourg City, France. </w:t>
      </w:r>
      <w:r>
        <w:rPr>
          <w:i/>
          <w:iCs/>
        </w:rPr>
        <w:t>URBAN FORESTRY &amp; URBAN GREENING</w:t>
      </w:r>
      <w:r>
        <w:t xml:space="preserve"> </w:t>
      </w:r>
      <w:r>
        <w:rPr>
          <w:b/>
          <w:bCs/>
        </w:rPr>
        <w:t>2016</w:t>
      </w:r>
      <w:r>
        <w:t xml:space="preserve">, </w:t>
      </w:r>
      <w:r>
        <w:rPr>
          <w:i/>
          <w:iCs/>
        </w:rPr>
        <w:t>17</w:t>
      </w:r>
      <w:r>
        <w:t>, 192–201, doi:</w:t>
      </w:r>
      <w:hyperlink r:id="rId36">
        <w:r>
          <w:rPr>
            <w:rStyle w:val="Hyperlink"/>
          </w:rPr>
          <w:t>10.1016/j.ufug.2016.04.010</w:t>
        </w:r>
      </w:hyperlink>
      <w:r>
        <w:t>.</w:t>
      </w:r>
    </w:p>
    <w:p w14:paraId="72DB143A" w14:textId="77777777" w:rsidR="00914D0D" w:rsidRDefault="00E77225">
      <w:pPr>
        <w:pStyle w:val="Bibliography"/>
      </w:pPr>
      <w:bookmarkStart w:id="65" w:name="ref-turner_land-use_1995"/>
      <w:bookmarkEnd w:id="64"/>
      <w:r>
        <w:t xml:space="preserve">44. </w:t>
      </w:r>
      <w:r>
        <w:tab/>
      </w:r>
      <w:r>
        <w:t xml:space="preserve">Turner, B.L.; Skole, D.; Sanderson, S.; Fischer, G.; Fresco, L.; Leemans, R. Land-Use and Land-Cover Change: Science/Research Plan. </w:t>
      </w:r>
      <w:r>
        <w:rPr>
          <w:i/>
          <w:iCs/>
        </w:rPr>
        <w:t>[No source information available]</w:t>
      </w:r>
      <w:r>
        <w:t xml:space="preserve"> </w:t>
      </w:r>
      <w:r>
        <w:rPr>
          <w:b/>
          <w:bCs/>
        </w:rPr>
        <w:t>1995</w:t>
      </w:r>
      <w:r>
        <w:t>.</w:t>
      </w:r>
    </w:p>
    <w:p w14:paraId="59A3FA84" w14:textId="77777777" w:rsidR="00914D0D" w:rsidRDefault="00E77225">
      <w:pPr>
        <w:pStyle w:val="Bibliography"/>
      </w:pPr>
      <w:bookmarkStart w:id="66" w:name="ref-uchida_urban_2021"/>
      <w:bookmarkEnd w:id="65"/>
      <w:r>
        <w:t xml:space="preserve">45. </w:t>
      </w:r>
      <w:r>
        <w:tab/>
      </w:r>
      <w:r>
        <w:t xml:space="preserve">Uchida, K.; Blakey, R.V.; Burger, J.R.; Cooper, D.S.; Niesner, C.A.; Blumstein, D.T. Urban Biodiversity and the Importance of Scale. </w:t>
      </w:r>
      <w:r>
        <w:rPr>
          <w:i/>
          <w:iCs/>
        </w:rPr>
        <w:t>Trends Ecol. Evol. doi</w:t>
      </w:r>
      <w:r>
        <w:t xml:space="preserve"> </w:t>
      </w:r>
      <w:r>
        <w:rPr>
          <w:b/>
          <w:bCs/>
        </w:rPr>
        <w:t>2021</w:t>
      </w:r>
      <w:r>
        <w:t xml:space="preserve">, </w:t>
      </w:r>
      <w:r>
        <w:rPr>
          <w:i/>
          <w:iCs/>
        </w:rPr>
        <w:t>10</w:t>
      </w:r>
      <w:r>
        <w:t>.</w:t>
      </w:r>
    </w:p>
    <w:p w14:paraId="02CE8721" w14:textId="77777777" w:rsidR="00914D0D" w:rsidRDefault="00E77225">
      <w:pPr>
        <w:pStyle w:val="Bibliography"/>
      </w:pPr>
      <w:bookmarkStart w:id="67" w:name="ref-pickett_dynamic_2017"/>
      <w:bookmarkEnd w:id="66"/>
      <w:r>
        <w:t xml:space="preserve">46. </w:t>
      </w:r>
      <w:r>
        <w:tab/>
        <w:t>Pickett, S.T.A.; Cadenasso, M.L.; Rosi-Marshall, E.J.; Belt, K.T.; Groffman, P.M.; Gr</w:t>
      </w:r>
      <w:r>
        <w:t xml:space="preserve">ove, J.M.; Irwin, E.G.; Kaushal, S.S.; LaDeau, S.L.; Nilon, C.H. Dynamic Heterogeneity: A Framework to Promote Ecological Integration and Hypothesis Generation in Urban Systems. </w:t>
      </w:r>
      <w:r>
        <w:rPr>
          <w:i/>
          <w:iCs/>
        </w:rPr>
        <w:t>Urban Ecosystems</w:t>
      </w:r>
      <w:r>
        <w:t xml:space="preserve"> </w:t>
      </w:r>
      <w:r>
        <w:rPr>
          <w:b/>
          <w:bCs/>
        </w:rPr>
        <w:t>2017</w:t>
      </w:r>
      <w:r>
        <w:t xml:space="preserve">, </w:t>
      </w:r>
      <w:r>
        <w:rPr>
          <w:i/>
          <w:iCs/>
        </w:rPr>
        <w:t>20</w:t>
      </w:r>
      <w:r>
        <w:t>, 1–14.</w:t>
      </w:r>
    </w:p>
    <w:p w14:paraId="4822A30D" w14:textId="77777777" w:rsidR="00914D0D" w:rsidRDefault="00E77225">
      <w:pPr>
        <w:pStyle w:val="Bibliography"/>
      </w:pPr>
      <w:bookmarkStart w:id="68" w:name="ref-wu_concepts_2006"/>
      <w:bookmarkEnd w:id="67"/>
      <w:r>
        <w:t xml:space="preserve">47. </w:t>
      </w:r>
      <w:r>
        <w:tab/>
        <w:t>Wu, J.; Li, H. Concepts of scale and sca</w:t>
      </w:r>
      <w:r>
        <w:t xml:space="preserve">ling. In </w:t>
      </w:r>
      <w:r>
        <w:rPr>
          <w:i/>
          <w:iCs/>
        </w:rPr>
        <w:t>Scaling and uncertainty analysis in ecology</w:t>
      </w:r>
      <w:r>
        <w:t>; Springer, 2006; pp. 3–15.</w:t>
      </w:r>
    </w:p>
    <w:p w14:paraId="73D60E0D" w14:textId="77777777" w:rsidR="00914D0D" w:rsidRDefault="00E77225">
      <w:pPr>
        <w:pStyle w:val="Bibliography"/>
      </w:pPr>
      <w:bookmarkStart w:id="69" w:name="ref-wiens_spatial_1989"/>
      <w:bookmarkEnd w:id="68"/>
      <w:r>
        <w:lastRenderedPageBreak/>
        <w:t xml:space="preserve">48. </w:t>
      </w:r>
      <w:r>
        <w:tab/>
        <w:t xml:space="preserve">Wiens, J.A. Spatial Scaling in Ecology. Functional Ecology 3: 385-397. </w:t>
      </w:r>
      <w:r>
        <w:rPr>
          <w:b/>
          <w:bCs/>
        </w:rPr>
        <w:t>1989</w:t>
      </w:r>
      <w:r>
        <w:t>.</w:t>
      </w:r>
    </w:p>
    <w:p w14:paraId="75E601E1" w14:textId="77777777" w:rsidR="00914D0D" w:rsidRDefault="00E77225">
      <w:pPr>
        <w:pStyle w:val="Bibliography"/>
      </w:pPr>
      <w:bookmarkStart w:id="70" w:name="ref-grafius_impact_2016"/>
      <w:bookmarkEnd w:id="69"/>
      <w:r>
        <w:t xml:space="preserve">49. </w:t>
      </w:r>
      <w:r>
        <w:tab/>
        <w:t>Grafius, D.R.; Corstanje, R.; Warren, P.H.; Evans, K.L.; Hancock, S.; Harris, J.A. The Im</w:t>
      </w:r>
      <w:r>
        <w:t xml:space="preserve">pact of Land Use/Land Cover Scale on Modelling Urban Ecosystem Services. </w:t>
      </w:r>
      <w:r>
        <w:rPr>
          <w:i/>
          <w:iCs/>
        </w:rPr>
        <w:t>Landscape Ecology</w:t>
      </w:r>
      <w:r>
        <w:t xml:space="preserve"> </w:t>
      </w:r>
      <w:r>
        <w:rPr>
          <w:b/>
          <w:bCs/>
        </w:rPr>
        <w:t>2016</w:t>
      </w:r>
      <w:r>
        <w:t xml:space="preserve">, </w:t>
      </w:r>
      <w:r>
        <w:rPr>
          <w:i/>
          <w:iCs/>
        </w:rPr>
        <w:t>31</w:t>
      </w:r>
      <w:r>
        <w:t>, 1509–1522, doi:</w:t>
      </w:r>
      <w:hyperlink r:id="rId37">
        <w:r>
          <w:rPr>
            <w:rStyle w:val="Hyperlink"/>
          </w:rPr>
          <w:t>10.1007/s10980-015-0337-7</w:t>
        </w:r>
      </w:hyperlink>
      <w:r>
        <w:t>.</w:t>
      </w:r>
      <w:bookmarkEnd w:id="20"/>
      <w:bookmarkEnd w:id="22"/>
      <w:bookmarkEnd w:id="70"/>
    </w:p>
    <w:sectPr w:rsidR="00914D0D">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KANG 康 杰锋" w:date="2021-08-07T16:16:00Z" w:initials="K康杰">
    <w:p w14:paraId="36C1ADDA" w14:textId="368C499C" w:rsidR="003D44AE" w:rsidRPr="003D44AE" w:rsidRDefault="003D44AE">
      <w:pPr>
        <w:pStyle w:val="CommentText"/>
        <w:rPr>
          <w:rFonts w:eastAsia="宋体" w:hint="eastAsia"/>
          <w:lang w:eastAsia="zh-CN"/>
        </w:rPr>
      </w:pPr>
      <w:r>
        <w:rPr>
          <w:rStyle w:val="CommentReference"/>
        </w:rPr>
        <w:annotationRef/>
      </w:r>
      <w:r>
        <w:rPr>
          <w:rFonts w:eastAsia="宋体" w:hint="eastAsia"/>
          <w:lang w:eastAsia="zh-CN"/>
        </w:rPr>
        <w:t>M</w:t>
      </w:r>
      <w:r>
        <w:rPr>
          <w:rFonts w:eastAsia="宋体"/>
          <w:lang w:eastAsia="zh-CN"/>
        </w:rPr>
        <w:t xml:space="preserve">aybe no necessary to make this plot?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C1AD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93063" w16cex:dateUtc="2021-08-07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C1ADDA" w16cid:durableId="24B930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66C36" w14:textId="77777777" w:rsidR="00E77225" w:rsidRDefault="00E77225">
      <w:pPr>
        <w:spacing w:after="0"/>
      </w:pPr>
      <w:r>
        <w:separator/>
      </w:r>
    </w:p>
  </w:endnote>
  <w:endnote w:type="continuationSeparator" w:id="0">
    <w:p w14:paraId="6165293B" w14:textId="77777777" w:rsidR="00E77225" w:rsidRDefault="00E772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116A0" w14:textId="77777777" w:rsidR="00E77225" w:rsidRDefault="00E77225">
      <w:r>
        <w:separator/>
      </w:r>
    </w:p>
  </w:footnote>
  <w:footnote w:type="continuationSeparator" w:id="0">
    <w:p w14:paraId="0EBB832E" w14:textId="77777777" w:rsidR="00E77225" w:rsidRDefault="00E77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47838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G 康 杰锋">
    <w15:presenceInfo w15:providerId="Windows Live" w15:userId="a2def0afd6b499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K3NLY0tzC1MDS3NDdU0lEKTi0uzszPAykwrAUAXwuNnCwAAAA="/>
  </w:docVars>
  <w:rsids>
    <w:rsidRoot w:val="00590D07"/>
    <w:rsid w:val="00011C8B"/>
    <w:rsid w:val="003D44AE"/>
    <w:rsid w:val="004E29B3"/>
    <w:rsid w:val="00590D07"/>
    <w:rsid w:val="00784D58"/>
    <w:rsid w:val="008D6863"/>
    <w:rsid w:val="00914D0D"/>
    <w:rsid w:val="00B86B75"/>
    <w:rsid w:val="00BC48D5"/>
    <w:rsid w:val="00C36279"/>
    <w:rsid w:val="00E315A3"/>
    <w:rsid w:val="00E772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97FC2F"/>
  <w15:docId w15:val="{5691E6C9-3303-4902-ABE1-6F931BEC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D44AE"/>
    <w:rPr>
      <w:sz w:val="18"/>
      <w:szCs w:val="18"/>
    </w:rPr>
  </w:style>
  <w:style w:type="paragraph" w:styleId="CommentText">
    <w:name w:val="annotation text"/>
    <w:basedOn w:val="Normal"/>
    <w:link w:val="CommentTextChar"/>
    <w:semiHidden/>
    <w:unhideWhenUsed/>
    <w:rsid w:val="003D44AE"/>
  </w:style>
  <w:style w:type="character" w:customStyle="1" w:styleId="CommentTextChar">
    <w:name w:val="Comment Text Char"/>
    <w:basedOn w:val="DefaultParagraphFont"/>
    <w:link w:val="CommentText"/>
    <w:semiHidden/>
    <w:rsid w:val="003D44AE"/>
  </w:style>
  <w:style w:type="paragraph" w:styleId="CommentSubject">
    <w:name w:val="annotation subject"/>
    <w:basedOn w:val="CommentText"/>
    <w:next w:val="CommentText"/>
    <w:link w:val="CommentSubjectChar"/>
    <w:semiHidden/>
    <w:unhideWhenUsed/>
    <w:rsid w:val="003D44AE"/>
    <w:rPr>
      <w:b/>
      <w:bCs/>
    </w:rPr>
  </w:style>
  <w:style w:type="character" w:customStyle="1" w:styleId="CommentSubjectChar">
    <w:name w:val="Comment Subject Char"/>
    <w:basedOn w:val="CommentTextChar"/>
    <w:link w:val="CommentSubject"/>
    <w:semiHidden/>
    <w:rsid w:val="003D44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7211/jjsrt.42.44" TargetMode="External"/><Relationship Id="rId26" Type="http://schemas.openxmlformats.org/officeDocument/2006/relationships/hyperlink" Target="https://doi.org/10.1016/j.ecoser.2018.07.002" TargetMode="External"/><Relationship Id="rId39" Type="http://schemas.microsoft.com/office/2011/relationships/people" Target="people.xml"/><Relationship Id="rId21" Type="http://schemas.openxmlformats.org/officeDocument/2006/relationships/hyperlink" Target="https://doi.org/10.5632/jilaonline.14.1" TargetMode="External"/><Relationship Id="rId34" Type="http://schemas.openxmlformats.org/officeDocument/2006/relationships/hyperlink" Target="https://doi.org/10.1007/s13280-014-0507-x" TargetMode="Externa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s://doi.org/10.1016/j.ecoser.2016.09.008" TargetMode="External"/><Relationship Id="rId25" Type="http://schemas.openxmlformats.org/officeDocument/2006/relationships/hyperlink" Target="https://doi.org/10.1016/j.scitotenv.2018.04.277" TargetMode="External"/><Relationship Id="rId33" Type="http://schemas.openxmlformats.org/officeDocument/2006/relationships/hyperlink" Target="https://doi.org/10.3832/ifor1845-009"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envsci.2016.04.012" TargetMode="External"/><Relationship Id="rId20" Type="http://schemas.openxmlformats.org/officeDocument/2006/relationships/hyperlink" Target="https://doi.org/10.3390/f12030311" TargetMode="External"/><Relationship Id="rId29" Type="http://schemas.openxmlformats.org/officeDocument/2006/relationships/hyperlink" Target="https://doi.org/10.1515/environ-2016-0023"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doi.org/10.1016/j.ecolecon.2016.11.019" TargetMode="External"/><Relationship Id="rId32" Type="http://schemas.openxmlformats.org/officeDocument/2006/relationships/hyperlink" Target="https://doi.org/10.1515/mgr-2015-0016" TargetMode="External"/><Relationship Id="rId37" Type="http://schemas.openxmlformats.org/officeDocument/2006/relationships/hyperlink" Target="https://doi.org/10.1007/s10980-015-0337-7"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orldcat.org/isbn/978-94-007-7087-4%20978-94-007-7088-1" TargetMode="External"/><Relationship Id="rId23" Type="http://schemas.openxmlformats.org/officeDocument/2006/relationships/hyperlink" Target="https://doi.org/10.1016/j.gloenvcha.2014.04.002" TargetMode="External"/><Relationship Id="rId28" Type="http://schemas.openxmlformats.org/officeDocument/2006/relationships/hyperlink" Target="https://doi.org/10.3389/fevo.2016.00053" TargetMode="External"/><Relationship Id="rId36" Type="http://schemas.openxmlformats.org/officeDocument/2006/relationships/hyperlink" Target="https://doi.org/10.1016/j.ufug.2016.04.010" TargetMode="External"/><Relationship Id="rId10" Type="http://schemas.openxmlformats.org/officeDocument/2006/relationships/comments" Target="comments.xml"/><Relationship Id="rId19" Type="http://schemas.openxmlformats.org/officeDocument/2006/relationships/hyperlink" Target="https://doi.org/10.7211/jjsrt.45.200" TargetMode="External"/><Relationship Id="rId31" Type="http://schemas.openxmlformats.org/officeDocument/2006/relationships/hyperlink" Target="https://doi.org/10.1007/s11252-013-0326-z"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s://doi.org/10.1016/j.landurbplan.2018.03.007" TargetMode="External"/><Relationship Id="rId27" Type="http://schemas.openxmlformats.org/officeDocument/2006/relationships/hyperlink" Target="https://doi.org/10.1016/j.ufug.2015.05.003" TargetMode="External"/><Relationship Id="rId30" Type="http://schemas.openxmlformats.org/officeDocument/2006/relationships/hyperlink" Target="https://doi.org/10.1016/j.envsci.2016.01.007" TargetMode="External"/><Relationship Id="rId35" Type="http://schemas.openxmlformats.org/officeDocument/2006/relationships/hyperlink" Target="https://doi.org/10.3390/su12041630"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6514</Words>
  <Characters>37130</Characters>
  <Application>Microsoft Office Word</Application>
  <DocSecurity>0</DocSecurity>
  <Lines>309</Lines>
  <Paragraphs>87</Paragraphs>
  <ScaleCrop>false</ScaleCrop>
  <Company/>
  <LinksUpToDate>false</LinksUpToDate>
  <CharactersWithSpaces>43557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of urban forest ecosystem services across land use and onsite land cover</dc:title>
  <dc:creator>Jiefeng Kang, Satoshi Hirabayashi, Shozo Shibata</dc:creator>
  <cp:keywords/>
  <cp:lastModifiedBy>KANG 康 杰锋</cp:lastModifiedBy>
  <cp:revision>2</cp:revision>
  <dcterms:created xsi:type="dcterms:W3CDTF">2021-08-07T07:12:00Z</dcterms:created>
  <dcterms:modified xsi:type="dcterms:W3CDTF">2021-08-07T07:22:00Z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 Library.bib</vt:lpwstr>
  </property>
  <property fmtid="{D5CDD505-2E9C-101B-9397-08002B2CF9AE}" pid="3" name="csl">
    <vt:lpwstr>In_forests.csl</vt:lpwstr>
  </property>
  <property fmtid="{D5CDD505-2E9C-101B-9397-08002B2CF9AE}" pid="4" name="output">
    <vt:lpwstr/>
  </property>
</Properties>
</file>