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000000"/>
          <w:sz w:val="36"/>
        </w:rPr>
        <w:t>원문 수정표시본</w:t>
      </w:r>
    </w:p>
    <w:p>
      <w:r>
        <w:rPr>
          <w:rFonts w:ascii="Malgun Gothic" w:hAnsi="Malgun Gothic" w:eastAsia="Malgun Gothic"/>
          <w:b/>
          <w:sz w:val="21"/>
        </w:rPr>
        <w:t>patent/도면부호.md</w:t>
      </w:r>
    </w:p>
    <w:p>
      <w:r>
        <w:rPr>
          <w:rFonts w:ascii="Malgun Gothic" w:hAnsi="Malgun Gothic" w:eastAsia="Malgun Gothic"/>
          <w:b w:val="0"/>
          <w:sz w:val="20"/>
        </w:rPr>
        <w:t xml:space="preserve">검은색은 기존 내용이며, </w:t>
      </w:r>
      <w:r>
        <w:rPr>
          <w:rFonts w:ascii="Malgun Gothic" w:hAnsi="Malgun Gothic" w:eastAsia="Malgun Gothic"/>
          <w:b/>
          <w:color w:val="0969DA"/>
          <w:sz w:val="20"/>
        </w:rPr>
        <w:t>파란색만 이번 수정 부분입니다.</w:t>
      </w:r>
    </w:p>
    <w:p/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 도면부호 및 구성요소 대응표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## 본 발명의 구성요소 부호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도면부호 | 구성요소 | 주요 기능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|---:|---|---|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100 | 다중 도구 실행계획 보완 시스템 | 본 발명의 전체 오케스트레이션/보완 시스템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110 | 사용자 요청 인터페이스 | 사용자 또는 상위 시스템의 작업 요청 수신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120 | 실행계획 생성부 | 도구 정보에 기초하여 초기 실행계획 생성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130 | 도구 정보 관리부 | 도구 명세, 실제 조건정보 및 요구 조건정보 관리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131 | 실제 조건정보 | 선행 도구 출력 데이터의 실제 실행조건 메타데이터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132 | 요구 조건정보 | 후속 도구 입력이 요구하는 실행조건 메타데이터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140 | 의존관계 분석부 | 선행-후속 도구 간 데이터 전달 의존관계 추출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150 | 실행조건 평가부 | 실제 조건과 요구 조건 비교 및 결손도 산출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151 | 실행조건 결손도 벡터 | 조건별 위반 정도를 나타내는 벡터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160 | 위험도 산정부 | 의존관계 위험도 및 계획 위험도 산출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161 | 의존관계 위험도 | 하나의 데이터 전달 의존관계에 대한 위험도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162 | 실행계획 위험도 | 실행계획 전체에 대한 위험도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170 | 보완 결정부 | 위험도 기준값과 비교하여 보완 수행 여부 결정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180 | 보완 후보 생성부 | 위반조건에 대응하는 보완 도구/후보 계획 생성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181 | 위반조건 식별정보 | 위험도에 기여한 실행조건 식별 결과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182 | 보완 후보 집합 | 적용 가능한 하나 이상의 보완 후보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190 | 보완 최적화부 | 잔여 위험도 및 실행비용에 기초한 후보 선택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191 | 잔여 위험도 | 보완 후보 적용 후 남는 계획 위험도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192 | 실행비용 | 추가 지연, 호출 수, 자원비용 등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193 | 후보 목적값 | 잔여 위험도와 비용을 결합한 후보 평가값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200 | 실행계획 갱신 및 재검증부 | 선택 후보 삽입 후 실행조건 및 위험도 재검증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210 | 도구 실행부 | 확정된 실행계획에 따른 외부 도구 호출 수행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220 | 외부 도구 호출 클라이언트 | MCP 또는 기타 도구 호출 프로토콜 클라이언트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230 | 외부 도구 서버 | 복수의 외부 도구를 제공하는 서버/서비스 |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## 종래기술 설명용 부호(도 1)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 도면부호 | 구성요소 | 주요 기능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|---:|---|---|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 10 | 사용자 요청 | 사용자의 작업 요청 입력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 20 | LLM/계획 생성기 | 도구 선택 및 호출 순서 결정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 30 | 도구 레지스트리 | 도구의 입·출력 스키마 제공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 40 | 선행 도구 | 후속 도구에 전달할 데이터 출력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 50 | 후속 도구 | 선행 도구의 출력 데이터를 입력으로 사용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 60 | 후속 도구/최종 처리 | 후속 처리 및 최종 결과 생성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  <w:t>| 70 | 실행 후 오류/재실행 | 실행 후 오류수정 또는 재실행 |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/>
          <w:color w:val="0969DA"/>
          <w:sz w:val="18"/>
        </w:rPr>
      </w:r>
    </w:p>
    <w:p>
      <w:pPr>
        <w:spacing w:before="100" w:after="60" w:line="240" w:lineRule="auto"/>
      </w:pPr>
      <w:r>
        <w:rPr>
          <w:rFonts w:ascii="Malgun Gothic" w:hAnsi="Malgun Gothic" w:eastAsia="Malgun Gothic"/>
          <w:b/>
          <w:sz w:val="18"/>
        </w:rPr>
        <w:t>## 실행조건 기호</w:t>
      </w:r>
    </w:p>
    <w:p>
      <w:pPr>
        <w:spacing w:before="0" w:after="0" w:line="240" w:lineRule="auto"/>
      </w:pPr>
      <w:r>
        <w:rPr>
          <w:rFonts w:ascii="Malgun Gothic" w:hAnsi="Malgun Gothic" w:eastAsia="Malgun Gothic"/>
          <w:b w:val="0"/>
          <w:sz w:val="18"/>
        </w:rPr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기호 | 의미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|---|---|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τ | 스키마 유형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s | 의미 유형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u | 단위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r | 기준좌표계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t | 최신성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q | 신뢰도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p | 출처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d(i,j,k) | 의존관계 (i,j)의 k번째 실행조건 결손도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R(i,j) | 의존관계 위험도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R(W) | 실행계획 위험도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θ | 보완 판단 위험도 기준값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C(r) | 보완 후보 r의 실행비용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λ | 비용 반영계수 |</w:t>
      </w:r>
    </w:p>
    <w:p>
      <w:pPr>
        <w:spacing w:before="0" w:after="30" w:line="240" w:lineRule="auto"/>
      </w:pPr>
      <w:r>
        <w:rPr>
          <w:rFonts w:ascii="Malgun Gothic" w:hAnsi="Malgun Gothic" w:eastAsia="Malgun Gothic"/>
          <w:b w:val="0"/>
          <w:sz w:val="18"/>
        </w:rPr>
        <w:t>| J(r) | 보완 후보 목적값 |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