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Figure 1. DEGORA workflow.</w:t>
      </w:r>
    </w:p>
    <w:p>
      <w:r>
        <w:t>A, Public RNA-seq and microarray DEG tables are harmonized into a common gene-level schema and collapsed by independent source units before scoring. B, Primary score weights for source support, direction concordance, evidence strength, rank signal, and effect size. C, Output files used for analysis, local browsing, and manuscript reporting.</w:t>
      </w:r>
    </w:p>
    <w:sectPr/>
  </w:body>
</w:document>
</file>