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EBA" w:rsidRDefault="00520EBA" w:rsidP="00520EBA">
      <w:pPr>
        <w:jc w:val="center"/>
        <w:rPr>
          <w:b/>
          <w:sz w:val="28"/>
          <w:szCs w:val="28"/>
        </w:rPr>
      </w:pPr>
      <w:r w:rsidRPr="00520EBA">
        <w:rPr>
          <w:b/>
          <w:sz w:val="28"/>
          <w:szCs w:val="28"/>
        </w:rPr>
        <w:t>Gender Based Discriminat</w:t>
      </w:r>
      <w:r>
        <w:rPr>
          <w:b/>
          <w:sz w:val="28"/>
          <w:szCs w:val="28"/>
        </w:rPr>
        <w:t>ion</w:t>
      </w:r>
      <w:r w:rsidRPr="00520EBA">
        <w:rPr>
          <w:b/>
          <w:sz w:val="28"/>
          <w:szCs w:val="28"/>
        </w:rPr>
        <w:t xml:space="preserve"> Medical Professionals</w:t>
      </w:r>
      <w:r>
        <w:rPr>
          <w:b/>
          <w:sz w:val="28"/>
          <w:szCs w:val="28"/>
        </w:rPr>
        <w:t>’ Salary:</w:t>
      </w:r>
    </w:p>
    <w:p w:rsidR="00520EBA" w:rsidRPr="00520EBA" w:rsidRDefault="00520EBA" w:rsidP="00520EBA">
      <w:pPr>
        <w:jc w:val="center"/>
        <w:rPr>
          <w:b/>
          <w:sz w:val="28"/>
          <w:szCs w:val="28"/>
        </w:rPr>
      </w:pPr>
      <w:r w:rsidRPr="00520EBA">
        <w:rPr>
          <w:b/>
          <w:sz w:val="28"/>
          <w:szCs w:val="28"/>
        </w:rPr>
        <w:t xml:space="preserve"> A Case Study</w:t>
      </w:r>
    </w:p>
    <w:p w:rsidR="00520EBA" w:rsidRDefault="00520EBA" w:rsidP="00520EBA">
      <w:pPr>
        <w:jc w:val="center"/>
        <w:rPr>
          <w:sz w:val="24"/>
          <w:szCs w:val="24"/>
        </w:rPr>
      </w:pPr>
    </w:p>
    <w:p w:rsidR="000C119D" w:rsidRDefault="006D4A16" w:rsidP="00520EBA">
      <w:pPr>
        <w:jc w:val="center"/>
        <w:rPr>
          <w:sz w:val="24"/>
          <w:szCs w:val="24"/>
        </w:rPr>
      </w:pPr>
      <w:r>
        <w:rPr>
          <w:sz w:val="24"/>
          <w:szCs w:val="24"/>
        </w:rPr>
        <w:t>Abstract:</w:t>
      </w:r>
    </w:p>
    <w:p w:rsidR="00520EBA" w:rsidRDefault="00520EBA" w:rsidP="00520EBA">
      <w:pPr>
        <w:rPr>
          <w:sz w:val="24"/>
          <w:szCs w:val="24"/>
        </w:rPr>
      </w:pPr>
      <w:r>
        <w:rPr>
          <w:sz w:val="24"/>
          <w:szCs w:val="24"/>
        </w:rPr>
        <w:t>This report uses statistical analysis to find evidence for (or against) discrimination against females in salary. A multiple linear regression model was fitted based on statistical principles, using data of sample size N=261 from a lawsuit against the Houston College of Medicine, in the mid 1990’s. Based on rigorous analysis, we believe there is a strong possibility of discrimination against women based on the data, provided that some assumptions we made hold.</w:t>
      </w:r>
    </w:p>
    <w:p w:rsidR="00520EBA" w:rsidRDefault="00520EBA" w:rsidP="00520EBA">
      <w:pPr>
        <w:rPr>
          <w:sz w:val="24"/>
          <w:szCs w:val="24"/>
        </w:rPr>
      </w:pPr>
    </w:p>
    <w:p w:rsidR="00520EBA" w:rsidRDefault="00520EBA" w:rsidP="00520EBA">
      <w:pPr>
        <w:rPr>
          <w:sz w:val="24"/>
          <w:szCs w:val="24"/>
        </w:rPr>
      </w:pPr>
      <w:r>
        <w:rPr>
          <w:sz w:val="24"/>
          <w:szCs w:val="24"/>
        </w:rPr>
        <w:t>By Kang-Li Cheng</w:t>
      </w:r>
    </w:p>
    <w:p w:rsidR="006D4A16" w:rsidRDefault="006D4A16">
      <w:pPr>
        <w:rPr>
          <w:sz w:val="24"/>
          <w:szCs w:val="24"/>
        </w:rPr>
      </w:pPr>
    </w:p>
    <w:p w:rsidR="00A557E8" w:rsidRPr="007257A2" w:rsidRDefault="00A557E8">
      <w:pPr>
        <w:rPr>
          <w:sz w:val="24"/>
          <w:szCs w:val="24"/>
        </w:rPr>
      </w:pPr>
    </w:p>
    <w:p w:rsidR="0031115D" w:rsidRPr="00A557E8" w:rsidRDefault="00CE6550">
      <w:pPr>
        <w:rPr>
          <w:rFonts w:ascii="Times New Roman" w:hAnsi="Times New Roman" w:cs="Times New Roman"/>
          <w:b/>
          <w:sz w:val="24"/>
          <w:szCs w:val="24"/>
        </w:rPr>
      </w:pPr>
      <w:r w:rsidRPr="00A557E8">
        <w:rPr>
          <w:rFonts w:ascii="Times New Roman" w:hAnsi="Times New Roman" w:cs="Times New Roman"/>
          <w:b/>
          <w:sz w:val="24"/>
          <w:szCs w:val="24"/>
        </w:rPr>
        <w:t>Introduction:</w:t>
      </w:r>
    </w:p>
    <w:p w:rsidR="00CE6550" w:rsidRPr="007257A2" w:rsidRDefault="00CE6550">
      <w:pPr>
        <w:rPr>
          <w:rFonts w:ascii="Times New Roman" w:hAnsi="Times New Roman" w:cs="Times New Roman"/>
        </w:rPr>
      </w:pPr>
    </w:p>
    <w:p w:rsidR="00CE6550" w:rsidRPr="007257A2" w:rsidRDefault="00CE6550" w:rsidP="00520EBA">
      <w:pPr>
        <w:spacing w:line="480" w:lineRule="auto"/>
        <w:ind w:firstLine="720"/>
        <w:rPr>
          <w:rFonts w:ascii="Times New Roman" w:hAnsi="Times New Roman" w:cs="Times New Roman"/>
          <w:sz w:val="24"/>
          <w:szCs w:val="24"/>
        </w:rPr>
      </w:pPr>
      <w:r w:rsidRPr="007257A2">
        <w:rPr>
          <w:rFonts w:ascii="Times New Roman" w:hAnsi="Times New Roman" w:cs="Times New Roman"/>
          <w:sz w:val="24"/>
          <w:szCs w:val="24"/>
        </w:rPr>
        <w:t xml:space="preserve">Gender discrimination has been a long-standing problem in the United States, despite a history of progress starting from suffrage and leading to laws such as Equal Employment Opportunity Act and other new legislation. But more subtle forms of discrimination have persisted, for example the discrepancy in pay between genders, which is claimed to be widespread but harder to quantify given the complicated factors that go into deciding compensation for an individual. This report will examine a particular case of possible gender discrimination in salary and promotion, using data from a legal case involving Houston College of Medicine and several all-female plaintiffs. </w:t>
      </w:r>
    </w:p>
    <w:p w:rsidR="00CE6550" w:rsidRPr="007257A2" w:rsidRDefault="00CE6550" w:rsidP="007257A2">
      <w:pPr>
        <w:spacing w:line="480" w:lineRule="auto"/>
        <w:rPr>
          <w:rFonts w:ascii="Times New Roman" w:hAnsi="Times New Roman" w:cs="Times New Roman"/>
          <w:sz w:val="24"/>
          <w:szCs w:val="24"/>
        </w:rPr>
      </w:pPr>
    </w:p>
    <w:p w:rsidR="00CE6550" w:rsidRPr="00A557E8" w:rsidRDefault="00CE6550" w:rsidP="007257A2">
      <w:pPr>
        <w:spacing w:line="480" w:lineRule="auto"/>
        <w:rPr>
          <w:rFonts w:ascii="Times New Roman" w:hAnsi="Times New Roman" w:cs="Times New Roman"/>
          <w:b/>
          <w:sz w:val="24"/>
          <w:szCs w:val="24"/>
        </w:rPr>
      </w:pPr>
      <w:r w:rsidRPr="00A557E8">
        <w:rPr>
          <w:rFonts w:ascii="Times New Roman" w:hAnsi="Times New Roman" w:cs="Times New Roman"/>
          <w:b/>
          <w:sz w:val="24"/>
          <w:szCs w:val="24"/>
        </w:rPr>
        <w:t xml:space="preserve">Methods: </w:t>
      </w:r>
    </w:p>
    <w:p w:rsidR="000C119D" w:rsidRPr="007257A2" w:rsidRDefault="00A557E8" w:rsidP="007257A2">
      <w:p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0C119D" w:rsidRPr="00A557E8">
        <w:rPr>
          <w:rFonts w:ascii="Times New Roman" w:hAnsi="Times New Roman" w:cs="Times New Roman"/>
          <w:sz w:val="24"/>
          <w:szCs w:val="24"/>
        </w:rPr>
        <w:t>Examining the Data</w:t>
      </w:r>
    </w:p>
    <w:p w:rsidR="00CE025B" w:rsidRPr="007257A2" w:rsidRDefault="00F656F7" w:rsidP="00520EBA">
      <w:pPr>
        <w:spacing w:line="480" w:lineRule="auto"/>
        <w:ind w:firstLine="720"/>
        <w:rPr>
          <w:rFonts w:ascii="Times New Roman" w:hAnsi="Times New Roman" w:cs="Times New Roman"/>
          <w:sz w:val="24"/>
          <w:szCs w:val="24"/>
        </w:rPr>
      </w:pPr>
      <w:r w:rsidRPr="007257A2">
        <w:rPr>
          <w:rFonts w:ascii="Times New Roman" w:hAnsi="Times New Roman" w:cs="Times New Roman"/>
          <w:sz w:val="24"/>
          <w:szCs w:val="24"/>
        </w:rPr>
        <w:t>The dataset contains observations of 9 variables from N=261 individuals</w:t>
      </w:r>
      <w:r w:rsidR="00CE025B" w:rsidRPr="007257A2">
        <w:rPr>
          <w:rFonts w:ascii="Times New Roman" w:hAnsi="Times New Roman" w:cs="Times New Roman"/>
          <w:sz w:val="24"/>
          <w:szCs w:val="24"/>
        </w:rPr>
        <w:t>, of which 106 are females and 155 are males</w:t>
      </w:r>
      <w:r w:rsidRPr="007257A2">
        <w:rPr>
          <w:rFonts w:ascii="Times New Roman" w:hAnsi="Times New Roman" w:cs="Times New Roman"/>
          <w:sz w:val="24"/>
          <w:szCs w:val="24"/>
        </w:rPr>
        <w:t>.</w:t>
      </w:r>
      <w:r w:rsidR="00CE025B" w:rsidRPr="007257A2">
        <w:rPr>
          <w:rFonts w:ascii="Times New Roman" w:hAnsi="Times New Roman" w:cs="Times New Roman"/>
          <w:sz w:val="24"/>
          <w:szCs w:val="24"/>
        </w:rPr>
        <w:t xml:space="preserve"> There is salary information for the years 1994 and 1995, academic department, publication rate per year, experience in years, board certified (yes/no), clinical or research, and rank of professorship. The variables are summarized in Table 1. </w:t>
      </w:r>
      <w:r w:rsidRPr="007257A2">
        <w:rPr>
          <w:rFonts w:ascii="Times New Roman" w:hAnsi="Times New Roman" w:cs="Times New Roman"/>
          <w:sz w:val="24"/>
          <w:szCs w:val="24"/>
        </w:rPr>
        <w:t xml:space="preserve"> After </w:t>
      </w:r>
      <w:r w:rsidRPr="007257A2">
        <w:rPr>
          <w:rFonts w:ascii="Times New Roman" w:hAnsi="Times New Roman" w:cs="Times New Roman"/>
          <w:sz w:val="24"/>
          <w:szCs w:val="24"/>
        </w:rPr>
        <w:lastRenderedPageBreak/>
        <w:t xml:space="preserve">checking data quality, (no problems found) we proceeded with exploratory analysis. </w:t>
      </w:r>
      <w:r w:rsidR="00CE025B" w:rsidRPr="007257A2">
        <w:rPr>
          <w:rFonts w:ascii="Times New Roman" w:hAnsi="Times New Roman" w:cs="Times New Roman"/>
          <w:sz w:val="24"/>
          <w:szCs w:val="24"/>
        </w:rPr>
        <w:t>By plotting the salary in 1994 against Rank and Department respectively while grouping by gender, it seems clear that the male group tends to have higher medians across the board.</w:t>
      </w:r>
    </w:p>
    <w:p w:rsidR="00CE025B" w:rsidRDefault="00CE025B"/>
    <w:p w:rsidR="007257A2" w:rsidRDefault="007257A2"/>
    <w:p w:rsidR="007257A2" w:rsidRDefault="007257A2"/>
    <w:p w:rsidR="007257A2" w:rsidRDefault="007257A2"/>
    <w:p w:rsidR="007257A2" w:rsidRDefault="007257A2"/>
    <w:p w:rsidR="007257A2" w:rsidRDefault="007257A2"/>
    <w:p w:rsidR="007257A2" w:rsidRDefault="007257A2"/>
    <w:p w:rsidR="007257A2" w:rsidRDefault="007257A2"/>
    <w:p w:rsidR="00CE025B" w:rsidRDefault="00CE025B">
      <w:r>
        <w:t>Figure 1)</w:t>
      </w:r>
    </w:p>
    <w:p w:rsidR="00F656F7" w:rsidRDefault="00CE025B">
      <w:r>
        <w:rPr>
          <w:noProof/>
        </w:rPr>
        <w:drawing>
          <wp:inline distT="0" distB="0" distL="0" distR="0">
            <wp:extent cx="3046730" cy="1904711"/>
            <wp:effectExtent l="0" t="0" r="1270" b="635"/>
            <wp:docPr id="1" name="Picture 1" descr="C:\Users\PubLibrary\Deskto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brary\Desktop\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85100" cy="1928698"/>
                    </a:xfrm>
                    <a:prstGeom prst="rect">
                      <a:avLst/>
                    </a:prstGeom>
                    <a:noFill/>
                    <a:ln>
                      <a:noFill/>
                    </a:ln>
                  </pic:spPr>
                </pic:pic>
              </a:graphicData>
            </a:graphic>
          </wp:inline>
        </w:drawing>
      </w:r>
      <w:r>
        <w:rPr>
          <w:noProof/>
        </w:rPr>
        <w:drawing>
          <wp:inline distT="0" distB="0" distL="0" distR="0">
            <wp:extent cx="2847975" cy="1959525"/>
            <wp:effectExtent l="0" t="0" r="0" b="3175"/>
            <wp:docPr id="2" name="Picture 2" descr="C:\Users\PubLibrary\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brary\Desktop\p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3216" cy="2004414"/>
                    </a:xfrm>
                    <a:prstGeom prst="rect">
                      <a:avLst/>
                    </a:prstGeom>
                    <a:noFill/>
                    <a:ln>
                      <a:noFill/>
                    </a:ln>
                  </pic:spPr>
                </pic:pic>
              </a:graphicData>
            </a:graphic>
          </wp:inline>
        </w:drawing>
      </w:r>
      <w:r w:rsidR="00F656F7">
        <w:t xml:space="preserve"> </w:t>
      </w:r>
    </w:p>
    <w:p w:rsidR="00CE6550" w:rsidRDefault="00CE6550"/>
    <w:p w:rsidR="00812078" w:rsidRDefault="00CE025B">
      <w:r>
        <w:t>Table 1</w:t>
      </w:r>
      <w:r w:rsidR="00812078">
        <w:t>a</w:t>
      </w:r>
      <w:r>
        <w:t>)</w:t>
      </w:r>
      <w:r w:rsidR="00812078">
        <w:t xml:space="preserve"> Summary Statistics f</w:t>
      </w:r>
      <w:r w:rsidR="003D4721">
        <w:t>or Continuous Covariates (Males), SD in parenthesis</w:t>
      </w:r>
    </w:p>
    <w:tbl>
      <w:tblPr>
        <w:tblStyle w:val="TableGrid"/>
        <w:tblW w:w="0" w:type="auto"/>
        <w:tblLook w:val="04A0" w:firstRow="1" w:lastRow="0" w:firstColumn="1" w:lastColumn="0" w:noHBand="0" w:noVBand="1"/>
      </w:tblPr>
      <w:tblGrid>
        <w:gridCol w:w="1870"/>
        <w:gridCol w:w="465"/>
        <w:gridCol w:w="1350"/>
        <w:gridCol w:w="1723"/>
        <w:gridCol w:w="2147"/>
      </w:tblGrid>
      <w:tr w:rsidR="00812078" w:rsidTr="00E02BBA">
        <w:trPr>
          <w:trHeight w:val="350"/>
        </w:trPr>
        <w:tc>
          <w:tcPr>
            <w:tcW w:w="1870" w:type="dxa"/>
          </w:tcPr>
          <w:p w:rsidR="00812078" w:rsidRDefault="00812078">
            <w:r>
              <w:t>Rank</w:t>
            </w:r>
          </w:p>
        </w:tc>
        <w:tc>
          <w:tcPr>
            <w:tcW w:w="465" w:type="dxa"/>
          </w:tcPr>
          <w:p w:rsidR="00812078" w:rsidRDefault="00812078">
            <w:r>
              <w:t>N</w:t>
            </w:r>
          </w:p>
        </w:tc>
        <w:tc>
          <w:tcPr>
            <w:tcW w:w="1350" w:type="dxa"/>
          </w:tcPr>
          <w:p w:rsidR="00812078" w:rsidRDefault="00812078">
            <w:r>
              <w:t>Experience</w:t>
            </w:r>
          </w:p>
        </w:tc>
        <w:tc>
          <w:tcPr>
            <w:tcW w:w="1723" w:type="dxa"/>
          </w:tcPr>
          <w:p w:rsidR="00812078" w:rsidRDefault="00812078">
            <w:r>
              <w:t>Publication Rate</w:t>
            </w:r>
          </w:p>
        </w:tc>
        <w:tc>
          <w:tcPr>
            <w:tcW w:w="2147" w:type="dxa"/>
          </w:tcPr>
          <w:p w:rsidR="00812078" w:rsidRDefault="003D4721">
            <w:r>
              <w:t xml:space="preserve">Avg. </w:t>
            </w:r>
            <w:r w:rsidR="00812078">
              <w:t>Salary</w:t>
            </w:r>
            <w:r>
              <w:t xml:space="preserve"> 1994</w:t>
            </w:r>
          </w:p>
        </w:tc>
      </w:tr>
      <w:tr w:rsidR="00812078" w:rsidTr="00E02BBA">
        <w:tc>
          <w:tcPr>
            <w:tcW w:w="1870" w:type="dxa"/>
          </w:tcPr>
          <w:p w:rsidR="00812078" w:rsidRDefault="00812078">
            <w:r>
              <w:t>Assistant</w:t>
            </w:r>
          </w:p>
        </w:tc>
        <w:tc>
          <w:tcPr>
            <w:tcW w:w="465" w:type="dxa"/>
          </w:tcPr>
          <w:p w:rsidR="00812078" w:rsidRDefault="003D4721">
            <w:r>
              <w:t>43</w:t>
            </w:r>
          </w:p>
        </w:tc>
        <w:tc>
          <w:tcPr>
            <w:tcW w:w="1350" w:type="dxa"/>
          </w:tcPr>
          <w:p w:rsidR="00812078" w:rsidRDefault="003D4721">
            <w:r>
              <w:t>6.42 (3.04)</w:t>
            </w:r>
          </w:p>
        </w:tc>
        <w:tc>
          <w:tcPr>
            <w:tcW w:w="1723" w:type="dxa"/>
          </w:tcPr>
          <w:p w:rsidR="00812078" w:rsidRDefault="003D4721">
            <w:r>
              <w:t>3.56 (1.44)</w:t>
            </w:r>
          </w:p>
        </w:tc>
        <w:tc>
          <w:tcPr>
            <w:tcW w:w="2147" w:type="dxa"/>
          </w:tcPr>
          <w:p w:rsidR="00812078" w:rsidRDefault="003D4721">
            <w:r>
              <w:t>188874.7</w:t>
            </w:r>
            <w:r w:rsidR="00E02BBA">
              <w:t xml:space="preserve"> </w:t>
            </w:r>
            <w:r>
              <w:t>(</w:t>
            </w:r>
            <w:r w:rsidR="00E02BBA">
              <w:t>73207.46)</w:t>
            </w:r>
          </w:p>
        </w:tc>
      </w:tr>
      <w:tr w:rsidR="00812078" w:rsidTr="00E02BBA">
        <w:tc>
          <w:tcPr>
            <w:tcW w:w="1870" w:type="dxa"/>
          </w:tcPr>
          <w:p w:rsidR="00812078" w:rsidRDefault="00812078">
            <w:r>
              <w:t>Associate</w:t>
            </w:r>
          </w:p>
        </w:tc>
        <w:tc>
          <w:tcPr>
            <w:tcW w:w="465" w:type="dxa"/>
          </w:tcPr>
          <w:p w:rsidR="00812078" w:rsidRDefault="003D4721">
            <w:r>
              <w:t>43</w:t>
            </w:r>
          </w:p>
        </w:tc>
        <w:tc>
          <w:tcPr>
            <w:tcW w:w="1350" w:type="dxa"/>
          </w:tcPr>
          <w:p w:rsidR="00812078" w:rsidRDefault="003D4721">
            <w:r>
              <w:t>11.79 (6.03)</w:t>
            </w:r>
          </w:p>
        </w:tc>
        <w:tc>
          <w:tcPr>
            <w:tcW w:w="1723" w:type="dxa"/>
          </w:tcPr>
          <w:p w:rsidR="00812078" w:rsidRDefault="003D4721">
            <w:r>
              <w:t>4.80 (2.01)</w:t>
            </w:r>
          </w:p>
        </w:tc>
        <w:tc>
          <w:tcPr>
            <w:tcW w:w="2147" w:type="dxa"/>
          </w:tcPr>
          <w:p w:rsidR="00812078" w:rsidRDefault="003D4721">
            <w:r>
              <w:t>171058.8</w:t>
            </w:r>
            <w:r w:rsidR="00E02BBA">
              <w:t xml:space="preserve"> (84797.4)</w:t>
            </w:r>
          </w:p>
        </w:tc>
      </w:tr>
      <w:tr w:rsidR="00812078" w:rsidTr="00E02BBA">
        <w:tc>
          <w:tcPr>
            <w:tcW w:w="1870" w:type="dxa"/>
          </w:tcPr>
          <w:p w:rsidR="00812078" w:rsidRDefault="00812078">
            <w:r>
              <w:t>Full</w:t>
            </w:r>
          </w:p>
        </w:tc>
        <w:tc>
          <w:tcPr>
            <w:tcW w:w="465" w:type="dxa"/>
          </w:tcPr>
          <w:p w:rsidR="00812078" w:rsidRDefault="003D4721">
            <w:r>
              <w:t>69</w:t>
            </w:r>
          </w:p>
        </w:tc>
        <w:tc>
          <w:tcPr>
            <w:tcW w:w="1350" w:type="dxa"/>
          </w:tcPr>
          <w:p w:rsidR="00812078" w:rsidRDefault="003D4721">
            <w:r>
              <w:t>15.84 (6.24)</w:t>
            </w:r>
          </w:p>
        </w:tc>
        <w:tc>
          <w:tcPr>
            <w:tcW w:w="1723" w:type="dxa"/>
          </w:tcPr>
          <w:p w:rsidR="00812078" w:rsidRDefault="003D4721">
            <w:r>
              <w:t>1.90 (1.90)</w:t>
            </w:r>
          </w:p>
        </w:tc>
        <w:tc>
          <w:tcPr>
            <w:tcW w:w="2147" w:type="dxa"/>
          </w:tcPr>
          <w:p w:rsidR="00812078" w:rsidRDefault="003D4721">
            <w:r>
              <w:t>193803.7</w:t>
            </w:r>
            <w:r w:rsidR="00E02BBA">
              <w:t xml:space="preserve"> (102699.10)</w:t>
            </w:r>
          </w:p>
        </w:tc>
      </w:tr>
    </w:tbl>
    <w:p w:rsidR="00CE025B" w:rsidRDefault="00CE025B"/>
    <w:p w:rsidR="00812078" w:rsidRDefault="00812078">
      <w:r>
        <w:t>Table 1b) Summary Statistics for Continuous Covariates (Females)</w:t>
      </w:r>
      <w:r w:rsidR="003D4721">
        <w:t>, SD in parenthesis</w:t>
      </w:r>
    </w:p>
    <w:tbl>
      <w:tblPr>
        <w:tblStyle w:val="TableGrid"/>
        <w:tblW w:w="0" w:type="auto"/>
        <w:tblLook w:val="04A0" w:firstRow="1" w:lastRow="0" w:firstColumn="1" w:lastColumn="0" w:noHBand="0" w:noVBand="1"/>
      </w:tblPr>
      <w:tblGrid>
        <w:gridCol w:w="1791"/>
        <w:gridCol w:w="543"/>
        <w:gridCol w:w="1261"/>
        <w:gridCol w:w="1813"/>
        <w:gridCol w:w="2147"/>
      </w:tblGrid>
      <w:tr w:rsidR="00812078" w:rsidTr="00E02BBA">
        <w:tc>
          <w:tcPr>
            <w:tcW w:w="1791" w:type="dxa"/>
          </w:tcPr>
          <w:p w:rsidR="00812078" w:rsidRDefault="00812078" w:rsidP="00F154EC">
            <w:r>
              <w:t>Rank</w:t>
            </w:r>
          </w:p>
        </w:tc>
        <w:tc>
          <w:tcPr>
            <w:tcW w:w="543" w:type="dxa"/>
          </w:tcPr>
          <w:p w:rsidR="00812078" w:rsidRDefault="00812078" w:rsidP="00F154EC">
            <w:r>
              <w:t>N</w:t>
            </w:r>
          </w:p>
        </w:tc>
        <w:tc>
          <w:tcPr>
            <w:tcW w:w="1261" w:type="dxa"/>
          </w:tcPr>
          <w:p w:rsidR="00812078" w:rsidRDefault="00812078" w:rsidP="00F154EC">
            <w:r>
              <w:t>Experience</w:t>
            </w:r>
          </w:p>
        </w:tc>
        <w:tc>
          <w:tcPr>
            <w:tcW w:w="1813" w:type="dxa"/>
          </w:tcPr>
          <w:p w:rsidR="00812078" w:rsidRDefault="00812078" w:rsidP="00F154EC">
            <w:r>
              <w:t>Publication rate</w:t>
            </w:r>
          </w:p>
        </w:tc>
        <w:tc>
          <w:tcPr>
            <w:tcW w:w="2147" w:type="dxa"/>
          </w:tcPr>
          <w:p w:rsidR="00812078" w:rsidRDefault="003D4721" w:rsidP="00F154EC">
            <w:r>
              <w:t>Avg. Salary 1994</w:t>
            </w:r>
          </w:p>
        </w:tc>
      </w:tr>
      <w:tr w:rsidR="00E02BBA" w:rsidTr="00E02BBA">
        <w:tc>
          <w:tcPr>
            <w:tcW w:w="1791" w:type="dxa"/>
          </w:tcPr>
          <w:p w:rsidR="00812078" w:rsidRDefault="00812078" w:rsidP="00F154EC">
            <w:r>
              <w:t>Assistant</w:t>
            </w:r>
          </w:p>
        </w:tc>
        <w:tc>
          <w:tcPr>
            <w:tcW w:w="543" w:type="dxa"/>
          </w:tcPr>
          <w:p w:rsidR="00812078" w:rsidRDefault="00812078" w:rsidP="00F154EC">
            <w:r>
              <w:t>69</w:t>
            </w:r>
          </w:p>
        </w:tc>
        <w:tc>
          <w:tcPr>
            <w:tcW w:w="1261" w:type="dxa"/>
          </w:tcPr>
          <w:p w:rsidR="00812078" w:rsidRDefault="00812078" w:rsidP="00F154EC">
            <w:r>
              <w:t>5.68</w:t>
            </w:r>
            <w:r w:rsidR="003D4721">
              <w:t xml:space="preserve"> (3.07)</w:t>
            </w:r>
          </w:p>
        </w:tc>
        <w:tc>
          <w:tcPr>
            <w:tcW w:w="1813" w:type="dxa"/>
          </w:tcPr>
          <w:p w:rsidR="00812078" w:rsidRDefault="00812078" w:rsidP="00F154EC">
            <w:r>
              <w:t>5.31</w:t>
            </w:r>
            <w:r w:rsidR="003D4721">
              <w:t xml:space="preserve"> (1.89)</w:t>
            </w:r>
          </w:p>
        </w:tc>
        <w:tc>
          <w:tcPr>
            <w:tcW w:w="2147" w:type="dxa"/>
          </w:tcPr>
          <w:p w:rsidR="00E02BBA" w:rsidRDefault="00812078" w:rsidP="00F154EC">
            <w:r>
              <w:t>114303</w:t>
            </w:r>
            <w:r w:rsidR="00E02BBA">
              <w:t xml:space="preserve"> (51443.45)</w:t>
            </w:r>
          </w:p>
        </w:tc>
      </w:tr>
      <w:tr w:rsidR="00E02BBA" w:rsidTr="00E02BBA">
        <w:tc>
          <w:tcPr>
            <w:tcW w:w="1791" w:type="dxa"/>
          </w:tcPr>
          <w:p w:rsidR="00812078" w:rsidRDefault="00812078" w:rsidP="00F154EC">
            <w:r>
              <w:t>Associate</w:t>
            </w:r>
          </w:p>
        </w:tc>
        <w:tc>
          <w:tcPr>
            <w:tcW w:w="543" w:type="dxa"/>
          </w:tcPr>
          <w:p w:rsidR="00812078" w:rsidRDefault="00812078" w:rsidP="00F154EC">
            <w:r>
              <w:t>21</w:t>
            </w:r>
          </w:p>
        </w:tc>
        <w:tc>
          <w:tcPr>
            <w:tcW w:w="1261" w:type="dxa"/>
          </w:tcPr>
          <w:p w:rsidR="00812078" w:rsidRDefault="00812078" w:rsidP="00F154EC">
            <w:r>
              <w:t>9.33</w:t>
            </w:r>
            <w:r w:rsidR="003D4721">
              <w:t xml:space="preserve"> (3.18)</w:t>
            </w:r>
          </w:p>
        </w:tc>
        <w:tc>
          <w:tcPr>
            <w:tcW w:w="1813" w:type="dxa"/>
          </w:tcPr>
          <w:p w:rsidR="00812078" w:rsidRDefault="00812078" w:rsidP="00F154EC">
            <w:r>
              <w:t>5.64</w:t>
            </w:r>
            <w:r w:rsidR="003D4721">
              <w:t xml:space="preserve"> (1.99)</w:t>
            </w:r>
          </w:p>
        </w:tc>
        <w:tc>
          <w:tcPr>
            <w:tcW w:w="2147" w:type="dxa"/>
          </w:tcPr>
          <w:p w:rsidR="00E02BBA" w:rsidRDefault="00812078" w:rsidP="00F154EC">
            <w:r>
              <w:t>128217</w:t>
            </w:r>
            <w:r w:rsidR="00E02BBA">
              <w:t xml:space="preserve"> (57922.2)</w:t>
            </w:r>
          </w:p>
        </w:tc>
      </w:tr>
      <w:tr w:rsidR="00E02BBA" w:rsidTr="00E02BBA">
        <w:tc>
          <w:tcPr>
            <w:tcW w:w="1791" w:type="dxa"/>
          </w:tcPr>
          <w:p w:rsidR="00812078" w:rsidRDefault="00812078" w:rsidP="00F154EC">
            <w:r>
              <w:t>Full</w:t>
            </w:r>
          </w:p>
        </w:tc>
        <w:tc>
          <w:tcPr>
            <w:tcW w:w="543" w:type="dxa"/>
          </w:tcPr>
          <w:p w:rsidR="00812078" w:rsidRDefault="00812078" w:rsidP="00F154EC">
            <w:r>
              <w:t>16</w:t>
            </w:r>
          </w:p>
        </w:tc>
        <w:tc>
          <w:tcPr>
            <w:tcW w:w="1261" w:type="dxa"/>
          </w:tcPr>
          <w:p w:rsidR="00812078" w:rsidRDefault="00812078" w:rsidP="00F154EC">
            <w:r>
              <w:t>12.88</w:t>
            </w:r>
            <w:r w:rsidR="003D4721">
              <w:t xml:space="preserve"> (3.81)</w:t>
            </w:r>
          </w:p>
        </w:tc>
        <w:tc>
          <w:tcPr>
            <w:tcW w:w="1813" w:type="dxa"/>
          </w:tcPr>
          <w:p w:rsidR="00812078" w:rsidRDefault="00812078" w:rsidP="00F154EC">
            <w:r>
              <w:t>5.14</w:t>
            </w:r>
            <w:r w:rsidR="003D4721">
              <w:t xml:space="preserve"> (1.79)</w:t>
            </w:r>
          </w:p>
        </w:tc>
        <w:tc>
          <w:tcPr>
            <w:tcW w:w="2147" w:type="dxa"/>
          </w:tcPr>
          <w:p w:rsidR="00E02BBA" w:rsidRDefault="00812078" w:rsidP="00F154EC">
            <w:r>
              <w:t>166073</w:t>
            </w:r>
            <w:r w:rsidR="00E02BBA">
              <w:t xml:space="preserve"> (75036.57)</w:t>
            </w:r>
          </w:p>
        </w:tc>
      </w:tr>
    </w:tbl>
    <w:p w:rsidR="00812078" w:rsidRDefault="00812078"/>
    <w:p w:rsidR="000C119D" w:rsidRPr="007257A2" w:rsidRDefault="000C119D">
      <w:pPr>
        <w:rPr>
          <w:rFonts w:ascii="Times New Roman" w:hAnsi="Times New Roman" w:cs="Times New Roman"/>
          <w:sz w:val="24"/>
          <w:szCs w:val="24"/>
        </w:rPr>
      </w:pPr>
      <w:r w:rsidRPr="007257A2">
        <w:rPr>
          <w:rFonts w:ascii="Times New Roman" w:hAnsi="Times New Roman" w:cs="Times New Roman"/>
          <w:sz w:val="24"/>
          <w:szCs w:val="24"/>
        </w:rPr>
        <w:t>Fitting Regression Models</w:t>
      </w:r>
    </w:p>
    <w:p w:rsidR="000C119D" w:rsidRPr="007257A2" w:rsidRDefault="000C119D">
      <w:pPr>
        <w:rPr>
          <w:rFonts w:ascii="Times New Roman" w:hAnsi="Times New Roman" w:cs="Times New Roman"/>
          <w:sz w:val="24"/>
          <w:szCs w:val="24"/>
        </w:rPr>
      </w:pPr>
    </w:p>
    <w:p w:rsidR="000C119D" w:rsidRPr="007257A2" w:rsidRDefault="00AF1393" w:rsidP="007257A2">
      <w:pPr>
        <w:spacing w:line="480" w:lineRule="auto"/>
        <w:rPr>
          <w:rFonts w:ascii="Times New Roman" w:hAnsi="Times New Roman" w:cs="Times New Roman"/>
          <w:sz w:val="24"/>
          <w:szCs w:val="24"/>
        </w:rPr>
      </w:pPr>
      <w:r w:rsidRPr="007257A2">
        <w:rPr>
          <w:rFonts w:ascii="Times New Roman" w:hAnsi="Times New Roman" w:cs="Times New Roman"/>
          <w:sz w:val="24"/>
          <w:szCs w:val="24"/>
        </w:rPr>
        <w:t xml:space="preserve">We started with regressing the log average of the 1995 and 1994 salaries against all possible covariates. In this model, the multiple F-test showed that all covariates except “gender” and </w:t>
      </w:r>
      <w:r w:rsidRPr="007257A2">
        <w:rPr>
          <w:rFonts w:ascii="Times New Roman" w:hAnsi="Times New Roman" w:cs="Times New Roman"/>
          <w:sz w:val="24"/>
          <w:szCs w:val="24"/>
        </w:rPr>
        <w:lastRenderedPageBreak/>
        <w:t>“prate” were significant. Because “gender” is the main variable of interest, we remove only “prate” and refit the model.</w:t>
      </w:r>
      <w:r w:rsidR="007257A2" w:rsidRPr="007257A2">
        <w:rPr>
          <w:rFonts w:ascii="Times New Roman" w:hAnsi="Times New Roman" w:cs="Times New Roman"/>
          <w:sz w:val="24"/>
          <w:szCs w:val="24"/>
        </w:rPr>
        <w:t xml:space="preserve"> Again “gender” came up as not significant by its high pvalue. </w:t>
      </w:r>
    </w:p>
    <w:p w:rsidR="007257A2" w:rsidRPr="007257A2" w:rsidRDefault="007257A2" w:rsidP="007257A2">
      <w:pPr>
        <w:spacing w:line="480" w:lineRule="auto"/>
        <w:rPr>
          <w:rFonts w:ascii="Times New Roman" w:hAnsi="Times New Roman" w:cs="Times New Roman"/>
          <w:sz w:val="24"/>
          <w:szCs w:val="24"/>
        </w:rPr>
      </w:pPr>
    </w:p>
    <w:p w:rsidR="007257A2" w:rsidRDefault="007257A2" w:rsidP="007257A2">
      <w:pPr>
        <w:spacing w:line="480" w:lineRule="auto"/>
        <w:rPr>
          <w:rFonts w:ascii="Times New Roman" w:hAnsi="Times New Roman" w:cs="Times New Roman"/>
          <w:sz w:val="24"/>
          <w:szCs w:val="24"/>
        </w:rPr>
      </w:pPr>
      <w:r w:rsidRPr="007257A2">
        <w:rPr>
          <w:rFonts w:ascii="Times New Roman" w:hAnsi="Times New Roman" w:cs="Times New Roman"/>
          <w:sz w:val="24"/>
          <w:szCs w:val="24"/>
        </w:rPr>
        <w:t xml:space="preserve">The next step we took was to test for possible interaction terms. In the original model, we added the interaction term “gender*Dept”. Then the process was repeated to test for interaction between clinical and gender, Prate and gender, and etc. Finally, we found that the interaction term for Rank and Gender was significant. Prate was not included in the final model because it is highly correlated with experience and also negatively correlated with salary. The explanation for this is likely because our data contains both clinical and non-clinical individuals, so using the publication rate as a predictor of salary is not very meaningful, since clinical individuals tend not to publish much. Experience is probably a better predictor of salary for both clinical and non-clinical individuals. </w:t>
      </w:r>
    </w:p>
    <w:p w:rsidR="005872B9" w:rsidRPr="005872B9" w:rsidRDefault="006D4A16" w:rsidP="007257A2">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t>The final mode</w:t>
      </w:r>
      <w:r w:rsidR="005872B9">
        <w:rPr>
          <w:rFonts w:ascii="Times New Roman" w:hAnsi="Times New Roman" w:cs="Times New Roman"/>
          <w:sz w:val="24"/>
          <w:szCs w:val="24"/>
        </w:rPr>
        <w:t xml:space="preserve"> is:</w:t>
      </w:r>
    </w:p>
    <w:p w:rsidR="005872B9" w:rsidRPr="005872B9" w:rsidRDefault="005872B9" w:rsidP="007257A2">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r>
            <w:rPr>
              <w:rFonts w:ascii="Cambria Math" w:hAnsi="Cambria Math" w:cs="Times New Roman"/>
              <w:sz w:val="24"/>
              <w:szCs w:val="24"/>
            </w:rPr>
            <m:t>lnAvgSal=10.141+0.12*Dept2</m:t>
          </m:r>
          <m:r>
            <w:rPr>
              <w:rFonts w:ascii="Cambria Math" w:eastAsiaTheme="minorEastAsia" w:hAnsi="Cambria Math" w:cs="Times New Roman"/>
              <w:sz w:val="24"/>
              <w:szCs w:val="24"/>
            </w:rPr>
            <m:t>+0.274*Dept3</m:t>
          </m:r>
          <m:r>
            <w:rPr>
              <w:rFonts w:ascii="Cambria Math" w:hAnsi="Cambria Math" w:cs="Times New Roman"/>
              <w:sz w:val="24"/>
              <w:szCs w:val="24"/>
            </w:rPr>
            <m:t>+0.321*Dept4+ 0.671*Dept5+1.08*Dept6+0.194*Gender+0.019*Exper+0.171*Rank+0.2219*Cert+ -0.096*Gender:Rank</m:t>
          </m:r>
        </m:oMath>
      </m:oMathPara>
    </w:p>
    <w:p w:rsidR="007257A2" w:rsidRDefault="007257A2"/>
    <w:p w:rsidR="005872B9" w:rsidRDefault="00A557E8" w:rsidP="00DD6585">
      <w:r>
        <w:t>Table 2) Summary of Final Model</w:t>
      </w:r>
      <w:r w:rsidR="005872B9">
        <w:tab/>
      </w:r>
    </w:p>
    <w:tbl>
      <w:tblPr>
        <w:tblStyle w:val="TableGrid"/>
        <w:tblW w:w="0" w:type="auto"/>
        <w:tblLook w:val="04A0" w:firstRow="1" w:lastRow="0" w:firstColumn="1" w:lastColumn="0" w:noHBand="0" w:noVBand="1"/>
      </w:tblPr>
      <w:tblGrid>
        <w:gridCol w:w="1329"/>
        <w:gridCol w:w="1318"/>
        <w:gridCol w:w="1318"/>
        <w:gridCol w:w="1318"/>
        <w:gridCol w:w="1319"/>
      </w:tblGrid>
      <w:tr w:rsidR="005872B9" w:rsidTr="00DD6585">
        <w:trPr>
          <w:trHeight w:val="485"/>
        </w:trPr>
        <w:tc>
          <w:tcPr>
            <w:tcW w:w="1318" w:type="dxa"/>
          </w:tcPr>
          <w:p w:rsidR="005872B9" w:rsidRPr="00DD6585" w:rsidRDefault="00DD6585" w:rsidP="005872B9">
            <w:pPr>
              <w:spacing w:line="480" w:lineRule="auto"/>
              <w:rPr>
                <w:b/>
              </w:rPr>
            </w:pPr>
            <w:r w:rsidRPr="00DD6585">
              <w:rPr>
                <w:b/>
              </w:rPr>
              <w:t>Covariate</w:t>
            </w:r>
          </w:p>
        </w:tc>
        <w:tc>
          <w:tcPr>
            <w:tcW w:w="1318" w:type="dxa"/>
          </w:tcPr>
          <w:p w:rsidR="005872B9" w:rsidRPr="00DD6585" w:rsidRDefault="005872B9" w:rsidP="005872B9">
            <w:pPr>
              <w:spacing w:line="480" w:lineRule="auto"/>
              <w:rPr>
                <w:b/>
              </w:rPr>
            </w:pPr>
            <w:r w:rsidRPr="00DD6585">
              <w:rPr>
                <w:b/>
              </w:rPr>
              <w:t>Estimate</w:t>
            </w:r>
          </w:p>
        </w:tc>
        <w:tc>
          <w:tcPr>
            <w:tcW w:w="1318" w:type="dxa"/>
          </w:tcPr>
          <w:p w:rsidR="005872B9" w:rsidRPr="00DD6585" w:rsidRDefault="005872B9" w:rsidP="005872B9">
            <w:pPr>
              <w:spacing w:line="480" w:lineRule="auto"/>
              <w:rPr>
                <w:b/>
              </w:rPr>
            </w:pPr>
            <w:r w:rsidRPr="00DD6585">
              <w:rPr>
                <w:b/>
              </w:rPr>
              <w:t>Std. Error</w:t>
            </w:r>
          </w:p>
        </w:tc>
        <w:tc>
          <w:tcPr>
            <w:tcW w:w="1318" w:type="dxa"/>
          </w:tcPr>
          <w:p w:rsidR="005872B9" w:rsidRPr="00DD6585" w:rsidRDefault="005872B9" w:rsidP="005872B9">
            <w:pPr>
              <w:spacing w:line="480" w:lineRule="auto"/>
              <w:rPr>
                <w:b/>
              </w:rPr>
            </w:pPr>
            <w:r w:rsidRPr="00DD6585">
              <w:rPr>
                <w:b/>
              </w:rPr>
              <w:t xml:space="preserve">T value </w:t>
            </w:r>
          </w:p>
        </w:tc>
        <w:tc>
          <w:tcPr>
            <w:tcW w:w="1319" w:type="dxa"/>
          </w:tcPr>
          <w:p w:rsidR="005872B9" w:rsidRPr="00DD6585" w:rsidRDefault="005872B9" w:rsidP="005872B9">
            <w:pPr>
              <w:spacing w:line="480" w:lineRule="auto"/>
              <w:rPr>
                <w:b/>
              </w:rPr>
            </w:pPr>
            <w:r w:rsidRPr="00DD6585">
              <w:rPr>
                <w:b/>
              </w:rPr>
              <w:t>P value</w:t>
            </w:r>
          </w:p>
        </w:tc>
      </w:tr>
      <w:tr w:rsidR="005872B9" w:rsidTr="00DD6585">
        <w:trPr>
          <w:trHeight w:val="485"/>
        </w:trPr>
        <w:tc>
          <w:tcPr>
            <w:tcW w:w="1318" w:type="dxa"/>
          </w:tcPr>
          <w:p w:rsidR="005872B9" w:rsidRDefault="005872B9" w:rsidP="005872B9">
            <w:pPr>
              <w:spacing w:line="480" w:lineRule="auto"/>
            </w:pPr>
            <w:r>
              <w:t>Dept2</w:t>
            </w:r>
          </w:p>
        </w:tc>
        <w:tc>
          <w:tcPr>
            <w:tcW w:w="1318" w:type="dxa"/>
          </w:tcPr>
          <w:p w:rsidR="005872B9" w:rsidRDefault="00DD6585" w:rsidP="005872B9">
            <w:pPr>
              <w:spacing w:line="480" w:lineRule="auto"/>
            </w:pPr>
            <w:r>
              <w:t>-0.1277</w:t>
            </w:r>
          </w:p>
        </w:tc>
        <w:tc>
          <w:tcPr>
            <w:tcW w:w="1318" w:type="dxa"/>
          </w:tcPr>
          <w:p w:rsidR="005872B9" w:rsidRDefault="00DD6585" w:rsidP="005872B9">
            <w:pPr>
              <w:spacing w:line="480" w:lineRule="auto"/>
            </w:pPr>
            <w:r>
              <w:t>0.0327</w:t>
            </w:r>
          </w:p>
        </w:tc>
        <w:tc>
          <w:tcPr>
            <w:tcW w:w="1318" w:type="dxa"/>
          </w:tcPr>
          <w:p w:rsidR="005872B9" w:rsidRDefault="00DD6585" w:rsidP="005872B9">
            <w:pPr>
              <w:spacing w:line="480" w:lineRule="auto"/>
            </w:pPr>
            <w:r>
              <w:t>-3.913</w:t>
            </w:r>
          </w:p>
        </w:tc>
        <w:tc>
          <w:tcPr>
            <w:tcW w:w="1319" w:type="dxa"/>
          </w:tcPr>
          <w:p w:rsidR="005872B9" w:rsidRDefault="00DD6585" w:rsidP="005872B9">
            <w:pPr>
              <w:spacing w:line="480" w:lineRule="auto"/>
            </w:pPr>
            <w:r>
              <w:t>0.000117</w:t>
            </w:r>
          </w:p>
        </w:tc>
      </w:tr>
      <w:tr w:rsidR="005872B9" w:rsidTr="00DD6585">
        <w:trPr>
          <w:trHeight w:val="485"/>
        </w:trPr>
        <w:tc>
          <w:tcPr>
            <w:tcW w:w="1318" w:type="dxa"/>
          </w:tcPr>
          <w:p w:rsidR="005872B9" w:rsidRDefault="00DD6585" w:rsidP="005872B9">
            <w:pPr>
              <w:spacing w:line="480" w:lineRule="auto"/>
            </w:pPr>
            <w:r>
              <w:t>Dept3</w:t>
            </w:r>
          </w:p>
        </w:tc>
        <w:tc>
          <w:tcPr>
            <w:tcW w:w="1318" w:type="dxa"/>
          </w:tcPr>
          <w:p w:rsidR="005872B9" w:rsidRPr="00DD6585" w:rsidRDefault="00DD6585" w:rsidP="00DD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D6585">
              <w:rPr>
                <w:rFonts w:ascii="Lucida Console" w:eastAsia="Times New Roman" w:hAnsi="Lucida Console" w:cs="Courier New"/>
                <w:color w:val="000000"/>
                <w:sz w:val="20"/>
                <w:szCs w:val="20"/>
              </w:rPr>
              <w:t xml:space="preserve">  0.274059</w:t>
            </w:r>
          </w:p>
        </w:tc>
        <w:tc>
          <w:tcPr>
            <w:tcW w:w="1318" w:type="dxa"/>
          </w:tcPr>
          <w:p w:rsidR="005872B9" w:rsidRPr="00DD6585" w:rsidRDefault="00DD6585" w:rsidP="00DD65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0.040015</w:t>
            </w:r>
          </w:p>
        </w:tc>
        <w:tc>
          <w:tcPr>
            <w:tcW w:w="1318" w:type="dxa"/>
          </w:tcPr>
          <w:p w:rsidR="005872B9" w:rsidRPr="00DD6585" w:rsidRDefault="00DD6585" w:rsidP="00DD65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6.849</w:t>
            </w:r>
          </w:p>
        </w:tc>
        <w:tc>
          <w:tcPr>
            <w:tcW w:w="1319" w:type="dxa"/>
          </w:tcPr>
          <w:p w:rsidR="005872B9" w:rsidRPr="00DD6585" w:rsidRDefault="00DD6585" w:rsidP="00DD65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5.75e-11</w:t>
            </w:r>
          </w:p>
        </w:tc>
      </w:tr>
      <w:tr w:rsidR="005872B9" w:rsidTr="00DD6585">
        <w:trPr>
          <w:trHeight w:val="471"/>
        </w:trPr>
        <w:tc>
          <w:tcPr>
            <w:tcW w:w="1318" w:type="dxa"/>
          </w:tcPr>
          <w:p w:rsidR="005872B9" w:rsidRDefault="00DD6585" w:rsidP="005872B9">
            <w:pPr>
              <w:spacing w:line="480" w:lineRule="auto"/>
            </w:pPr>
            <w:r>
              <w:t>Dept4</w:t>
            </w:r>
          </w:p>
        </w:tc>
        <w:tc>
          <w:tcPr>
            <w:tcW w:w="1318" w:type="dxa"/>
          </w:tcPr>
          <w:p w:rsidR="005872B9" w:rsidRPr="00DD6585" w:rsidRDefault="00DD6585" w:rsidP="00DD65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0.320546</w:t>
            </w:r>
          </w:p>
        </w:tc>
        <w:tc>
          <w:tcPr>
            <w:tcW w:w="1318" w:type="dxa"/>
          </w:tcPr>
          <w:p w:rsidR="00DD6585" w:rsidRDefault="00DD6585" w:rsidP="00DD65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0.038148</w:t>
            </w:r>
          </w:p>
          <w:p w:rsidR="005872B9" w:rsidRPr="00DD6585" w:rsidRDefault="005872B9" w:rsidP="00DD6585">
            <w:pPr>
              <w:pStyle w:val="HTMLPreformatted"/>
              <w:shd w:val="clear" w:color="auto" w:fill="FFFFFF"/>
              <w:wordWrap w:val="0"/>
              <w:spacing w:line="225" w:lineRule="atLeast"/>
              <w:rPr>
                <w:rFonts w:ascii="Lucida Console" w:hAnsi="Lucida Console"/>
                <w:color w:val="000000"/>
              </w:rPr>
            </w:pPr>
          </w:p>
        </w:tc>
        <w:tc>
          <w:tcPr>
            <w:tcW w:w="1318" w:type="dxa"/>
          </w:tcPr>
          <w:p w:rsidR="005872B9" w:rsidRPr="00DD6585" w:rsidRDefault="00DD6585" w:rsidP="00DD65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8.403</w:t>
            </w:r>
          </w:p>
        </w:tc>
        <w:tc>
          <w:tcPr>
            <w:tcW w:w="1319" w:type="dxa"/>
          </w:tcPr>
          <w:p w:rsidR="005872B9" w:rsidRPr="00DD6585" w:rsidRDefault="00DD6585" w:rsidP="00DD65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3.32e-15</w:t>
            </w:r>
          </w:p>
        </w:tc>
      </w:tr>
      <w:tr w:rsidR="005872B9" w:rsidTr="00DD6585">
        <w:trPr>
          <w:trHeight w:val="485"/>
        </w:trPr>
        <w:tc>
          <w:tcPr>
            <w:tcW w:w="1318" w:type="dxa"/>
          </w:tcPr>
          <w:p w:rsidR="005872B9" w:rsidRPr="00DD6585" w:rsidRDefault="00DD6585" w:rsidP="00DD65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Dept5</w:t>
            </w:r>
          </w:p>
        </w:tc>
        <w:tc>
          <w:tcPr>
            <w:tcW w:w="1318" w:type="dxa"/>
          </w:tcPr>
          <w:p w:rsidR="005872B9" w:rsidRPr="00DD6585" w:rsidRDefault="00DD6585" w:rsidP="00DD65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0.670665</w:t>
            </w:r>
          </w:p>
        </w:tc>
        <w:tc>
          <w:tcPr>
            <w:tcW w:w="1318" w:type="dxa"/>
          </w:tcPr>
          <w:p w:rsidR="005872B9" w:rsidRPr="00DD6585" w:rsidRDefault="00DD6585" w:rsidP="00DD65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0.029377</w:t>
            </w:r>
          </w:p>
        </w:tc>
        <w:tc>
          <w:tcPr>
            <w:tcW w:w="1318" w:type="dxa"/>
          </w:tcPr>
          <w:p w:rsidR="005872B9" w:rsidRPr="00DD6585" w:rsidRDefault="00DD6585" w:rsidP="00DD65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22.829</w:t>
            </w:r>
          </w:p>
        </w:tc>
        <w:tc>
          <w:tcPr>
            <w:tcW w:w="1319" w:type="dxa"/>
          </w:tcPr>
          <w:p w:rsidR="005872B9" w:rsidRDefault="00DD6585" w:rsidP="005872B9">
            <w:pPr>
              <w:spacing w:line="480" w:lineRule="auto"/>
            </w:pPr>
            <w:r>
              <w:t>&lt;2e-16</w:t>
            </w:r>
          </w:p>
        </w:tc>
      </w:tr>
      <w:tr w:rsidR="005872B9" w:rsidTr="00DD6585">
        <w:trPr>
          <w:trHeight w:val="485"/>
        </w:trPr>
        <w:tc>
          <w:tcPr>
            <w:tcW w:w="1318" w:type="dxa"/>
          </w:tcPr>
          <w:p w:rsidR="005872B9" w:rsidRDefault="00DD6585" w:rsidP="005872B9">
            <w:pPr>
              <w:spacing w:line="480" w:lineRule="auto"/>
            </w:pPr>
            <w:r>
              <w:t>Dept6</w:t>
            </w:r>
          </w:p>
        </w:tc>
        <w:tc>
          <w:tcPr>
            <w:tcW w:w="1318" w:type="dxa"/>
          </w:tcPr>
          <w:p w:rsidR="005872B9" w:rsidRDefault="00DD6585" w:rsidP="005872B9">
            <w:pPr>
              <w:spacing w:line="480" w:lineRule="auto"/>
            </w:pPr>
            <w:r>
              <w:t>1.0837</w:t>
            </w:r>
          </w:p>
        </w:tc>
        <w:tc>
          <w:tcPr>
            <w:tcW w:w="1318" w:type="dxa"/>
          </w:tcPr>
          <w:p w:rsidR="005872B9" w:rsidRDefault="00DD6585" w:rsidP="005872B9">
            <w:pPr>
              <w:spacing w:line="480" w:lineRule="auto"/>
            </w:pPr>
            <w:r>
              <w:t>0.35698</w:t>
            </w:r>
          </w:p>
        </w:tc>
        <w:tc>
          <w:tcPr>
            <w:tcW w:w="1318" w:type="dxa"/>
          </w:tcPr>
          <w:p w:rsidR="005872B9" w:rsidRDefault="00DD6585" w:rsidP="005872B9">
            <w:pPr>
              <w:spacing w:line="480" w:lineRule="auto"/>
            </w:pPr>
            <w:r>
              <w:t>30.359</w:t>
            </w:r>
          </w:p>
        </w:tc>
        <w:tc>
          <w:tcPr>
            <w:tcW w:w="1319" w:type="dxa"/>
          </w:tcPr>
          <w:p w:rsidR="005872B9" w:rsidRDefault="00DD6585" w:rsidP="005872B9">
            <w:pPr>
              <w:spacing w:line="480" w:lineRule="auto"/>
            </w:pPr>
            <w:r>
              <w:t>&lt;2e-16</w:t>
            </w:r>
          </w:p>
        </w:tc>
      </w:tr>
      <w:tr w:rsidR="005872B9" w:rsidTr="00DD6585">
        <w:trPr>
          <w:trHeight w:val="485"/>
        </w:trPr>
        <w:tc>
          <w:tcPr>
            <w:tcW w:w="1318" w:type="dxa"/>
          </w:tcPr>
          <w:p w:rsidR="005872B9" w:rsidRDefault="00DD6585" w:rsidP="005872B9">
            <w:pPr>
              <w:spacing w:line="480" w:lineRule="auto"/>
            </w:pPr>
            <w:r>
              <w:lastRenderedPageBreak/>
              <w:t>Gender</w:t>
            </w:r>
          </w:p>
        </w:tc>
        <w:tc>
          <w:tcPr>
            <w:tcW w:w="1318" w:type="dxa"/>
          </w:tcPr>
          <w:p w:rsidR="005872B9" w:rsidRDefault="00DD6585" w:rsidP="005872B9">
            <w:pPr>
              <w:spacing w:line="480" w:lineRule="auto"/>
            </w:pPr>
            <w:r>
              <w:t>0.194348</w:t>
            </w:r>
          </w:p>
        </w:tc>
        <w:tc>
          <w:tcPr>
            <w:tcW w:w="1318" w:type="dxa"/>
          </w:tcPr>
          <w:p w:rsidR="005872B9" w:rsidRDefault="00DD6585" w:rsidP="005872B9">
            <w:pPr>
              <w:spacing w:line="480" w:lineRule="auto"/>
            </w:pPr>
            <w:r>
              <w:t>0.049477</w:t>
            </w:r>
          </w:p>
        </w:tc>
        <w:tc>
          <w:tcPr>
            <w:tcW w:w="1318" w:type="dxa"/>
          </w:tcPr>
          <w:p w:rsidR="005872B9" w:rsidRDefault="00DD6585" w:rsidP="005872B9">
            <w:pPr>
              <w:spacing w:line="480" w:lineRule="auto"/>
            </w:pPr>
            <w:r>
              <w:t>3.928</w:t>
            </w:r>
          </w:p>
        </w:tc>
        <w:tc>
          <w:tcPr>
            <w:tcW w:w="1319" w:type="dxa"/>
          </w:tcPr>
          <w:p w:rsidR="005872B9" w:rsidRDefault="00DD6585" w:rsidP="005872B9">
            <w:pPr>
              <w:spacing w:line="480" w:lineRule="auto"/>
            </w:pPr>
            <w:r>
              <w:t>0.000111</w:t>
            </w:r>
          </w:p>
        </w:tc>
      </w:tr>
      <w:tr w:rsidR="005872B9" w:rsidTr="00DD6585">
        <w:trPr>
          <w:trHeight w:val="485"/>
        </w:trPr>
        <w:tc>
          <w:tcPr>
            <w:tcW w:w="1318" w:type="dxa"/>
          </w:tcPr>
          <w:p w:rsidR="005872B9" w:rsidRDefault="00DD6585" w:rsidP="005872B9">
            <w:pPr>
              <w:spacing w:line="480" w:lineRule="auto"/>
            </w:pPr>
            <w:r>
              <w:t>Exper</w:t>
            </w:r>
          </w:p>
        </w:tc>
        <w:tc>
          <w:tcPr>
            <w:tcW w:w="1318" w:type="dxa"/>
          </w:tcPr>
          <w:p w:rsidR="005872B9" w:rsidRDefault="00DD6585" w:rsidP="005872B9">
            <w:pPr>
              <w:spacing w:line="480" w:lineRule="auto"/>
            </w:pPr>
            <w:r>
              <w:t>0.018563</w:t>
            </w:r>
          </w:p>
        </w:tc>
        <w:tc>
          <w:tcPr>
            <w:tcW w:w="1318" w:type="dxa"/>
          </w:tcPr>
          <w:p w:rsidR="005872B9" w:rsidRDefault="00DD6585" w:rsidP="005872B9">
            <w:pPr>
              <w:spacing w:line="480" w:lineRule="auto"/>
            </w:pPr>
            <w:r>
              <w:t>0.002069</w:t>
            </w:r>
          </w:p>
        </w:tc>
        <w:tc>
          <w:tcPr>
            <w:tcW w:w="1318" w:type="dxa"/>
          </w:tcPr>
          <w:p w:rsidR="005872B9" w:rsidRDefault="00DD6585" w:rsidP="005872B9">
            <w:pPr>
              <w:spacing w:line="480" w:lineRule="auto"/>
            </w:pPr>
            <w:r>
              <w:t>8.97</w:t>
            </w:r>
          </w:p>
        </w:tc>
        <w:tc>
          <w:tcPr>
            <w:tcW w:w="1319" w:type="dxa"/>
          </w:tcPr>
          <w:p w:rsidR="005872B9" w:rsidRDefault="00DD6585" w:rsidP="005872B9">
            <w:pPr>
              <w:spacing w:line="480" w:lineRule="auto"/>
            </w:pPr>
            <w:r>
              <w:t>&lt;2e-16</w:t>
            </w:r>
          </w:p>
        </w:tc>
      </w:tr>
      <w:tr w:rsidR="00DD6585" w:rsidTr="00DD6585">
        <w:trPr>
          <w:trHeight w:val="485"/>
        </w:trPr>
        <w:tc>
          <w:tcPr>
            <w:tcW w:w="1318" w:type="dxa"/>
          </w:tcPr>
          <w:p w:rsidR="00DD6585" w:rsidRDefault="00DD6585" w:rsidP="005872B9">
            <w:pPr>
              <w:spacing w:line="480" w:lineRule="auto"/>
            </w:pPr>
            <w:r>
              <w:t>Rank</w:t>
            </w:r>
          </w:p>
        </w:tc>
        <w:tc>
          <w:tcPr>
            <w:tcW w:w="1318" w:type="dxa"/>
          </w:tcPr>
          <w:p w:rsidR="00DD6585" w:rsidRDefault="00DD6585" w:rsidP="005872B9">
            <w:pPr>
              <w:spacing w:line="480" w:lineRule="auto"/>
            </w:pPr>
            <w:r>
              <w:t>0.170596</w:t>
            </w:r>
          </w:p>
        </w:tc>
        <w:tc>
          <w:tcPr>
            <w:tcW w:w="1318" w:type="dxa"/>
          </w:tcPr>
          <w:p w:rsidR="00DD6585" w:rsidRDefault="00DD6585" w:rsidP="005872B9">
            <w:pPr>
              <w:spacing w:line="480" w:lineRule="auto"/>
            </w:pPr>
            <w:r>
              <w:t>0.021390</w:t>
            </w:r>
          </w:p>
        </w:tc>
        <w:tc>
          <w:tcPr>
            <w:tcW w:w="1318" w:type="dxa"/>
          </w:tcPr>
          <w:p w:rsidR="00DD6585" w:rsidRDefault="00DD6585" w:rsidP="005872B9">
            <w:pPr>
              <w:spacing w:line="480" w:lineRule="auto"/>
            </w:pPr>
            <w:r>
              <w:t>7.975</w:t>
            </w:r>
          </w:p>
        </w:tc>
        <w:tc>
          <w:tcPr>
            <w:tcW w:w="1319" w:type="dxa"/>
          </w:tcPr>
          <w:p w:rsidR="00DD6585" w:rsidRDefault="00DD6585" w:rsidP="005872B9">
            <w:pPr>
              <w:spacing w:line="480" w:lineRule="auto"/>
            </w:pPr>
            <w:r>
              <w:t>5.45e-14</w:t>
            </w:r>
          </w:p>
        </w:tc>
      </w:tr>
      <w:tr w:rsidR="00DD6585" w:rsidTr="00DD6585">
        <w:trPr>
          <w:trHeight w:val="485"/>
        </w:trPr>
        <w:tc>
          <w:tcPr>
            <w:tcW w:w="1318" w:type="dxa"/>
          </w:tcPr>
          <w:p w:rsidR="00DD6585" w:rsidRDefault="00DD6585" w:rsidP="005872B9">
            <w:pPr>
              <w:spacing w:line="480" w:lineRule="auto"/>
            </w:pPr>
            <w:r>
              <w:t>Cert</w:t>
            </w:r>
          </w:p>
        </w:tc>
        <w:tc>
          <w:tcPr>
            <w:tcW w:w="1318" w:type="dxa"/>
          </w:tcPr>
          <w:p w:rsidR="00DD6585" w:rsidRDefault="00DD6585" w:rsidP="005872B9">
            <w:pPr>
              <w:spacing w:line="480" w:lineRule="auto"/>
            </w:pPr>
            <w:r>
              <w:t>0.12932</w:t>
            </w:r>
          </w:p>
        </w:tc>
        <w:tc>
          <w:tcPr>
            <w:tcW w:w="1318" w:type="dxa"/>
          </w:tcPr>
          <w:p w:rsidR="00DD6585" w:rsidRDefault="00DD6585" w:rsidP="005872B9">
            <w:pPr>
              <w:spacing w:line="480" w:lineRule="auto"/>
            </w:pPr>
            <w:r>
              <w:t>0.023842</w:t>
            </w:r>
          </w:p>
        </w:tc>
        <w:tc>
          <w:tcPr>
            <w:tcW w:w="1318" w:type="dxa"/>
          </w:tcPr>
          <w:p w:rsidR="00DD6585" w:rsidRDefault="00DD6585" w:rsidP="005872B9">
            <w:pPr>
              <w:spacing w:line="480" w:lineRule="auto"/>
            </w:pPr>
            <w:r>
              <w:t>9.199</w:t>
            </w:r>
          </w:p>
        </w:tc>
        <w:tc>
          <w:tcPr>
            <w:tcW w:w="1319" w:type="dxa"/>
          </w:tcPr>
          <w:p w:rsidR="00DD6585" w:rsidRDefault="00DD6585" w:rsidP="005872B9">
            <w:pPr>
              <w:spacing w:line="480" w:lineRule="auto"/>
            </w:pPr>
            <w:r>
              <w:t>2e-16</w:t>
            </w:r>
          </w:p>
        </w:tc>
      </w:tr>
      <w:tr w:rsidR="00DD6585" w:rsidTr="00DD6585">
        <w:trPr>
          <w:trHeight w:val="70"/>
        </w:trPr>
        <w:tc>
          <w:tcPr>
            <w:tcW w:w="1318" w:type="dxa"/>
          </w:tcPr>
          <w:p w:rsidR="00DD6585" w:rsidRDefault="00DD6585" w:rsidP="005872B9">
            <w:pPr>
              <w:spacing w:line="480" w:lineRule="auto"/>
            </w:pPr>
            <w:r>
              <w:t>Gender:Rank</w:t>
            </w:r>
          </w:p>
        </w:tc>
        <w:tc>
          <w:tcPr>
            <w:tcW w:w="1318" w:type="dxa"/>
          </w:tcPr>
          <w:p w:rsidR="00DD6585" w:rsidRDefault="00DD6585" w:rsidP="005872B9">
            <w:pPr>
              <w:spacing w:line="480" w:lineRule="auto"/>
            </w:pPr>
            <w:r>
              <w:t>-0.096312</w:t>
            </w:r>
          </w:p>
        </w:tc>
        <w:tc>
          <w:tcPr>
            <w:tcW w:w="1318" w:type="dxa"/>
          </w:tcPr>
          <w:p w:rsidR="00DD6585" w:rsidRDefault="00DD6585" w:rsidP="005872B9">
            <w:pPr>
              <w:spacing w:line="480" w:lineRule="auto"/>
            </w:pPr>
            <w:r>
              <w:t>0.024186</w:t>
            </w:r>
          </w:p>
        </w:tc>
        <w:tc>
          <w:tcPr>
            <w:tcW w:w="1318" w:type="dxa"/>
          </w:tcPr>
          <w:p w:rsidR="00DD6585" w:rsidRDefault="00DD6585" w:rsidP="005872B9">
            <w:pPr>
              <w:spacing w:line="480" w:lineRule="auto"/>
            </w:pPr>
            <w:r>
              <w:t>-3.824</w:t>
            </w:r>
          </w:p>
        </w:tc>
        <w:tc>
          <w:tcPr>
            <w:tcW w:w="1319" w:type="dxa"/>
          </w:tcPr>
          <w:p w:rsidR="00DD6585" w:rsidRDefault="00DD6585" w:rsidP="005872B9">
            <w:pPr>
              <w:spacing w:line="480" w:lineRule="auto"/>
            </w:pPr>
            <w:r>
              <w:t>0.000166</w:t>
            </w:r>
          </w:p>
        </w:tc>
      </w:tr>
      <w:tr w:rsidR="00DD6585" w:rsidTr="00DD6585">
        <w:trPr>
          <w:trHeight w:val="70"/>
        </w:trPr>
        <w:tc>
          <w:tcPr>
            <w:tcW w:w="1318" w:type="dxa"/>
          </w:tcPr>
          <w:p w:rsidR="00DD6585" w:rsidRDefault="00DD6585" w:rsidP="005872B9">
            <w:pPr>
              <w:spacing w:line="480" w:lineRule="auto"/>
            </w:pPr>
            <w:r>
              <w:t>Intercept</w:t>
            </w:r>
          </w:p>
        </w:tc>
        <w:tc>
          <w:tcPr>
            <w:tcW w:w="1318" w:type="dxa"/>
          </w:tcPr>
          <w:p w:rsidR="00DD6585" w:rsidRDefault="00DD6585" w:rsidP="005872B9">
            <w:pPr>
              <w:spacing w:line="480" w:lineRule="auto"/>
            </w:pPr>
            <w:r>
              <w:t>10.141161</w:t>
            </w:r>
          </w:p>
        </w:tc>
        <w:tc>
          <w:tcPr>
            <w:tcW w:w="1318" w:type="dxa"/>
          </w:tcPr>
          <w:p w:rsidR="00DD6585" w:rsidRDefault="00DD6585" w:rsidP="005872B9">
            <w:pPr>
              <w:spacing w:line="480" w:lineRule="auto"/>
            </w:pPr>
            <w:r>
              <w:t>0.041315</w:t>
            </w:r>
          </w:p>
        </w:tc>
        <w:tc>
          <w:tcPr>
            <w:tcW w:w="1318" w:type="dxa"/>
          </w:tcPr>
          <w:p w:rsidR="00DD6585" w:rsidRDefault="00DD6585" w:rsidP="005872B9">
            <w:pPr>
              <w:spacing w:line="480" w:lineRule="auto"/>
            </w:pPr>
            <w:r>
              <w:t>245.46</w:t>
            </w:r>
          </w:p>
        </w:tc>
        <w:tc>
          <w:tcPr>
            <w:tcW w:w="1319" w:type="dxa"/>
          </w:tcPr>
          <w:p w:rsidR="00DD6585" w:rsidRDefault="00DD6585" w:rsidP="005872B9">
            <w:pPr>
              <w:spacing w:line="480" w:lineRule="auto"/>
            </w:pPr>
            <w:r>
              <w:t>&lt;2e-16</w:t>
            </w:r>
          </w:p>
        </w:tc>
      </w:tr>
    </w:tbl>
    <w:p w:rsidR="005872B9" w:rsidRDefault="005872B9" w:rsidP="005872B9">
      <w:pPr>
        <w:spacing w:line="480" w:lineRule="auto"/>
      </w:pPr>
    </w:p>
    <w:p w:rsidR="005872B9" w:rsidRPr="00DD6585" w:rsidRDefault="005872B9" w:rsidP="005872B9">
      <w:pPr>
        <w:spacing w:line="480" w:lineRule="auto"/>
        <w:ind w:firstLine="720"/>
        <w:rPr>
          <w:rFonts w:ascii="Times New Roman" w:hAnsi="Times New Roman" w:cs="Times New Roman"/>
          <w:sz w:val="24"/>
          <w:szCs w:val="24"/>
        </w:rPr>
      </w:pPr>
      <w:r w:rsidRPr="00DD6585">
        <w:rPr>
          <w:rFonts w:ascii="Times New Roman" w:hAnsi="Times New Roman" w:cs="Times New Roman"/>
          <w:sz w:val="24"/>
          <w:szCs w:val="24"/>
        </w:rPr>
        <w:t xml:space="preserve">We then proceeded to see if being male would predict having a higher salary. Using random 25%  subset of the data, we trained the full model on that data and predicted it on two test sets, one male only test set and another female only test set. The model predicted the log salary for males to be 11.37, and predicted 11.056 for females, which translates to an average of 2.9% higher salary for males. This finding is in line with the interpretation of the final model. </w:t>
      </w:r>
    </w:p>
    <w:p w:rsidR="005872B9" w:rsidRPr="00DD6585" w:rsidRDefault="005872B9">
      <w:pPr>
        <w:rPr>
          <w:rFonts w:ascii="Times New Roman" w:hAnsi="Times New Roman" w:cs="Times New Roman"/>
          <w:sz w:val="24"/>
          <w:szCs w:val="24"/>
        </w:rPr>
      </w:pPr>
    </w:p>
    <w:p w:rsidR="00A557E8" w:rsidRDefault="00A557E8">
      <w:pPr>
        <w:rPr>
          <w:rFonts w:ascii="Times New Roman" w:hAnsi="Times New Roman" w:cs="Times New Roman"/>
          <w:b/>
          <w:sz w:val="24"/>
          <w:szCs w:val="24"/>
        </w:rPr>
      </w:pPr>
      <w:r w:rsidRPr="00DD6585">
        <w:rPr>
          <w:rFonts w:ascii="Times New Roman" w:hAnsi="Times New Roman" w:cs="Times New Roman"/>
          <w:b/>
          <w:sz w:val="24"/>
          <w:szCs w:val="24"/>
        </w:rPr>
        <w:t>Discussion</w:t>
      </w:r>
    </w:p>
    <w:p w:rsidR="00DD6585" w:rsidRDefault="00DD6585">
      <w:pPr>
        <w:rPr>
          <w:rFonts w:ascii="Times New Roman" w:hAnsi="Times New Roman" w:cs="Times New Roman"/>
          <w:b/>
          <w:sz w:val="24"/>
          <w:szCs w:val="24"/>
        </w:rPr>
      </w:pPr>
    </w:p>
    <w:p w:rsidR="004C4F69" w:rsidRPr="004C4F69" w:rsidRDefault="004C4F69">
      <w:pPr>
        <w:rPr>
          <w:rFonts w:ascii="Times New Roman" w:hAnsi="Times New Roman" w:cs="Times New Roman"/>
          <w:sz w:val="24"/>
          <w:szCs w:val="24"/>
        </w:rPr>
      </w:pPr>
      <w:r>
        <w:rPr>
          <w:rFonts w:ascii="Times New Roman" w:hAnsi="Times New Roman" w:cs="Times New Roman"/>
          <w:sz w:val="24"/>
          <w:szCs w:val="24"/>
        </w:rPr>
        <w:t>Figure 2) Standard diagnostic plots</w:t>
      </w:r>
    </w:p>
    <w:p w:rsidR="00DD6585" w:rsidRDefault="004C4F6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97CF73B" wp14:editId="3A254ADB">
            <wp:extent cx="2761407" cy="15335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png"/>
                    <pic:cNvPicPr/>
                  </pic:nvPicPr>
                  <pic:blipFill>
                    <a:blip r:embed="rId6">
                      <a:extLst>
                        <a:ext uri="{28A0092B-C50C-407E-A947-70E740481C1C}">
                          <a14:useLocalDpi xmlns:a14="http://schemas.microsoft.com/office/drawing/2010/main" val="0"/>
                        </a:ext>
                      </a:extLst>
                    </a:blip>
                    <a:stretch>
                      <a:fillRect/>
                    </a:stretch>
                  </pic:blipFill>
                  <pic:spPr>
                    <a:xfrm>
                      <a:off x="0" y="0"/>
                      <a:ext cx="2774241" cy="1540652"/>
                    </a:xfrm>
                    <a:prstGeom prst="rect">
                      <a:avLst/>
                    </a:prstGeom>
                  </pic:spPr>
                </pic:pic>
              </a:graphicData>
            </a:graphic>
          </wp:inline>
        </w:drawing>
      </w:r>
      <w:r>
        <w:rPr>
          <w:rFonts w:ascii="Times New Roman" w:hAnsi="Times New Roman" w:cs="Times New Roman"/>
          <w:b/>
          <w:noProof/>
          <w:sz w:val="24"/>
          <w:szCs w:val="24"/>
        </w:rPr>
        <w:drawing>
          <wp:inline distT="0" distB="0" distL="0" distR="0" wp14:anchorId="67736201" wp14:editId="5083AF08">
            <wp:extent cx="2830013" cy="15716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png"/>
                    <pic:cNvPicPr/>
                  </pic:nvPicPr>
                  <pic:blipFill>
                    <a:blip r:embed="rId7">
                      <a:extLst>
                        <a:ext uri="{28A0092B-C50C-407E-A947-70E740481C1C}">
                          <a14:useLocalDpi xmlns:a14="http://schemas.microsoft.com/office/drawing/2010/main" val="0"/>
                        </a:ext>
                      </a:extLst>
                    </a:blip>
                    <a:stretch>
                      <a:fillRect/>
                    </a:stretch>
                  </pic:blipFill>
                  <pic:spPr>
                    <a:xfrm>
                      <a:off x="0" y="0"/>
                      <a:ext cx="2869386" cy="1593491"/>
                    </a:xfrm>
                    <a:prstGeom prst="rect">
                      <a:avLst/>
                    </a:prstGeom>
                  </pic:spPr>
                </pic:pic>
              </a:graphicData>
            </a:graphic>
          </wp:inline>
        </w:drawing>
      </w:r>
      <w:r>
        <w:rPr>
          <w:rFonts w:ascii="Times New Roman" w:hAnsi="Times New Roman" w:cs="Times New Roman"/>
          <w:b/>
          <w:noProof/>
          <w:sz w:val="24"/>
          <w:szCs w:val="24"/>
        </w:rPr>
        <w:drawing>
          <wp:inline distT="0" distB="0" distL="0" distR="0" wp14:anchorId="7CE35A89" wp14:editId="391524D8">
            <wp:extent cx="3076575" cy="170855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d.png"/>
                    <pic:cNvPicPr/>
                  </pic:nvPicPr>
                  <pic:blipFill>
                    <a:blip r:embed="rId8">
                      <a:extLst>
                        <a:ext uri="{28A0092B-C50C-407E-A947-70E740481C1C}">
                          <a14:useLocalDpi xmlns:a14="http://schemas.microsoft.com/office/drawing/2010/main" val="0"/>
                        </a:ext>
                      </a:extLst>
                    </a:blip>
                    <a:stretch>
                      <a:fillRect/>
                    </a:stretch>
                  </pic:blipFill>
                  <pic:spPr>
                    <a:xfrm>
                      <a:off x="0" y="0"/>
                      <a:ext cx="3087655" cy="1714704"/>
                    </a:xfrm>
                    <a:prstGeom prst="rect">
                      <a:avLst/>
                    </a:prstGeom>
                  </pic:spPr>
                </pic:pic>
              </a:graphicData>
            </a:graphic>
          </wp:inline>
        </w:drawing>
      </w:r>
      <w:r>
        <w:rPr>
          <w:rFonts w:ascii="Times New Roman" w:hAnsi="Times New Roman" w:cs="Times New Roman"/>
          <w:b/>
          <w:noProof/>
          <w:sz w:val="24"/>
          <w:szCs w:val="24"/>
        </w:rPr>
        <w:drawing>
          <wp:inline distT="0" distB="0" distL="0" distR="0">
            <wp:extent cx="2695575" cy="149696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le.png"/>
                    <pic:cNvPicPr/>
                  </pic:nvPicPr>
                  <pic:blipFill>
                    <a:blip r:embed="rId9">
                      <a:extLst>
                        <a:ext uri="{28A0092B-C50C-407E-A947-70E740481C1C}">
                          <a14:useLocalDpi xmlns:a14="http://schemas.microsoft.com/office/drawing/2010/main" val="0"/>
                        </a:ext>
                      </a:extLst>
                    </a:blip>
                    <a:stretch>
                      <a:fillRect/>
                    </a:stretch>
                  </pic:blipFill>
                  <pic:spPr>
                    <a:xfrm>
                      <a:off x="0" y="0"/>
                      <a:ext cx="2710792" cy="1505417"/>
                    </a:xfrm>
                    <a:prstGeom prst="rect">
                      <a:avLst/>
                    </a:prstGeom>
                  </pic:spPr>
                </pic:pic>
              </a:graphicData>
            </a:graphic>
          </wp:inline>
        </w:drawing>
      </w:r>
    </w:p>
    <w:p w:rsidR="004C4F69" w:rsidRDefault="004C4F69">
      <w:pPr>
        <w:rPr>
          <w:rFonts w:ascii="Times New Roman" w:hAnsi="Times New Roman" w:cs="Times New Roman"/>
          <w:b/>
          <w:sz w:val="24"/>
          <w:szCs w:val="24"/>
        </w:rPr>
      </w:pPr>
    </w:p>
    <w:p w:rsidR="004C4F69" w:rsidRDefault="004C4F69">
      <w:pPr>
        <w:rPr>
          <w:rFonts w:ascii="Times New Roman" w:hAnsi="Times New Roman" w:cs="Times New Roman"/>
          <w:b/>
          <w:sz w:val="24"/>
          <w:szCs w:val="24"/>
        </w:rPr>
      </w:pPr>
    </w:p>
    <w:p w:rsidR="004C4F69" w:rsidRDefault="004C4F69" w:rsidP="00520E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QQ-Plot, we see that the residuals follow a fairly straight line, which is a good sign. The residuals vs leverage however, show many outlying cases near the end of the left hand side. The residuals vs fitted  plot seems to support that there is no strong non-linear relationship present, so a regression is valid. Finally, the scale-location plot shows that the residuals are fairly randomly spread out, so we are not too worried about homoscedasticity. </w:t>
      </w:r>
    </w:p>
    <w:p w:rsidR="004C4F69" w:rsidRDefault="004C4F69">
      <w:pPr>
        <w:rPr>
          <w:rFonts w:ascii="Times New Roman" w:hAnsi="Times New Roman" w:cs="Times New Roman"/>
          <w:sz w:val="24"/>
          <w:szCs w:val="24"/>
        </w:rPr>
      </w:pPr>
    </w:p>
    <w:p w:rsidR="004C4F69" w:rsidRDefault="004C4F69">
      <w:pPr>
        <w:rPr>
          <w:rFonts w:ascii="Times New Roman" w:hAnsi="Times New Roman" w:cs="Times New Roman"/>
          <w:b/>
          <w:sz w:val="24"/>
          <w:szCs w:val="24"/>
        </w:rPr>
      </w:pPr>
      <w:r w:rsidRPr="004C4F69">
        <w:rPr>
          <w:rFonts w:ascii="Times New Roman" w:hAnsi="Times New Roman" w:cs="Times New Roman"/>
          <w:b/>
          <w:sz w:val="24"/>
          <w:szCs w:val="24"/>
        </w:rPr>
        <w:t>Conclusion:</w:t>
      </w:r>
    </w:p>
    <w:p w:rsidR="004C4F69" w:rsidRDefault="004C4F69">
      <w:pPr>
        <w:rPr>
          <w:rFonts w:ascii="Times New Roman" w:hAnsi="Times New Roman" w:cs="Times New Roman"/>
          <w:b/>
          <w:sz w:val="24"/>
          <w:szCs w:val="24"/>
        </w:rPr>
      </w:pPr>
    </w:p>
    <w:p w:rsidR="00E544EE" w:rsidRDefault="004C4F69" w:rsidP="000B104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statistical analysis, we can say that gender is a significant factor in determining salary amongst professionals at Houston College of Medicine. From the initial exploratory plots to the more rigorous regression modeling, it seems that there is strong evidence that there is discrimination based on gender. The regression model adjusted for each of the covariates still showed that gender is significant. If we wanted to show that discrimination was not at play, then we would expect that gender is not significant in the model, despite the appearance of a correlation when plotting the raw data. The effect of being male is positive, meaning one would expect males to earn a higher salary, holding all else equal. </w:t>
      </w:r>
      <w:r w:rsidR="00520EBA">
        <w:rPr>
          <w:rFonts w:ascii="Times New Roman" w:hAnsi="Times New Roman" w:cs="Times New Roman"/>
          <w:sz w:val="24"/>
          <w:szCs w:val="24"/>
        </w:rPr>
        <w:t>This is also assuming that the data set includes nearly all the relevant employees at the College, but if this is not so, the analysis should be re-performed since a more complete sample should give a more accurate picture.</w:t>
      </w:r>
    </w:p>
    <w:p w:rsidR="000B1048" w:rsidRDefault="00E544EE" w:rsidP="000B1048">
      <w:pPr>
        <w:rPr>
          <w:rFonts w:ascii="Times New Roman" w:hAnsi="Times New Roman" w:cs="Times New Roman"/>
          <w:b/>
          <w:sz w:val="24"/>
          <w:szCs w:val="24"/>
        </w:rPr>
      </w:pPr>
      <w:r>
        <w:rPr>
          <w:rFonts w:ascii="Times New Roman" w:hAnsi="Times New Roman" w:cs="Times New Roman"/>
          <w:b/>
          <w:sz w:val="24"/>
          <w:szCs w:val="24"/>
        </w:rPr>
        <w:t>References:</w:t>
      </w:r>
    </w:p>
    <w:p w:rsidR="00E544EE" w:rsidRDefault="00E544EE" w:rsidP="000B1048">
      <w:pPr>
        <w:rPr>
          <w:rStyle w:val="citationtext"/>
          <w:rFonts w:ascii="Helvetica" w:hAnsi="Helvetica"/>
          <w:color w:val="000000"/>
          <w:shd w:val="clear" w:color="auto" w:fill="FFFFFF"/>
        </w:rPr>
      </w:pPr>
      <w:bookmarkStart w:id="0" w:name="_GoBack"/>
      <w:bookmarkEnd w:id="0"/>
      <w:r>
        <w:br/>
      </w:r>
      <w:r>
        <w:rPr>
          <w:rStyle w:val="apple-converted-space"/>
          <w:rFonts w:ascii="Helvetica" w:hAnsi="Helvetica"/>
          <w:color w:val="000000"/>
          <w:shd w:val="clear" w:color="auto" w:fill="FFFFFF"/>
        </w:rPr>
        <w:t> </w:t>
      </w:r>
      <w:r>
        <w:rPr>
          <w:rStyle w:val="apple-converted-space"/>
          <w:rFonts w:ascii="Helvetica" w:hAnsi="Helvetica"/>
          <w:color w:val="000000"/>
          <w:shd w:val="clear" w:color="auto" w:fill="FFFFFF"/>
        </w:rPr>
        <w:tab/>
      </w:r>
      <w:r>
        <w:rPr>
          <w:rStyle w:val="citationtext"/>
          <w:rFonts w:ascii="Helvetica" w:hAnsi="Helvetica"/>
          <w:color w:val="000000"/>
          <w:shd w:val="clear" w:color="auto" w:fill="FFFFFF"/>
        </w:rPr>
        <w:t>James, Gareth, Daniela Witten, Trevor Hastie, and Robert Tibshirani.</w:t>
      </w:r>
      <w:r>
        <w:rPr>
          <w:rStyle w:val="apple-converted-space"/>
          <w:rFonts w:ascii="Helvetica" w:hAnsi="Helvetica"/>
          <w:color w:val="000000"/>
          <w:shd w:val="clear" w:color="auto" w:fill="FFFFFF"/>
        </w:rPr>
        <w:t> </w:t>
      </w:r>
      <w:r>
        <w:rPr>
          <w:rStyle w:val="citationtext"/>
          <w:rFonts w:ascii="Helvetica" w:hAnsi="Helvetica"/>
          <w:i/>
          <w:iCs/>
          <w:color w:val="000000"/>
          <w:shd w:val="clear" w:color="auto" w:fill="FFFFFF"/>
        </w:rPr>
        <w:t>An Introduction to Statistical Learning: With Applications in R</w:t>
      </w:r>
      <w:r>
        <w:rPr>
          <w:rStyle w:val="citationtext"/>
          <w:rFonts w:ascii="Helvetica" w:hAnsi="Helvetica"/>
          <w:color w:val="000000"/>
          <w:shd w:val="clear" w:color="auto" w:fill="FFFFFF"/>
        </w:rPr>
        <w:t xml:space="preserve">. Springer. </w:t>
      </w:r>
      <w:r>
        <w:rPr>
          <w:rStyle w:val="citationtext"/>
          <w:rFonts w:ascii="Helvetica" w:hAnsi="Helvetica"/>
          <w:color w:val="000000"/>
          <w:shd w:val="clear" w:color="auto" w:fill="FFFFFF"/>
        </w:rPr>
        <w:t>Print</w:t>
      </w:r>
    </w:p>
    <w:p w:rsidR="000B1048" w:rsidRDefault="000B1048" w:rsidP="000B1048">
      <w:pPr>
        <w:rPr>
          <w:rStyle w:val="citationtext"/>
          <w:rFonts w:ascii="Helvetica" w:hAnsi="Helvetica"/>
          <w:color w:val="000000"/>
          <w:shd w:val="clear" w:color="auto" w:fill="FFFFFF"/>
        </w:rPr>
      </w:pPr>
    </w:p>
    <w:p w:rsidR="00E544EE" w:rsidRPr="00E544EE" w:rsidRDefault="000B1048" w:rsidP="000B1048">
      <w:pPr>
        <w:rPr>
          <w:rFonts w:ascii="Times New Roman" w:hAnsi="Times New Roman" w:cs="Times New Roman"/>
          <w:b/>
          <w:sz w:val="24"/>
          <w:szCs w:val="24"/>
        </w:rPr>
      </w:pPr>
      <w:r>
        <w:rPr>
          <w:rFonts w:ascii="Helvetica" w:hAnsi="Helvetica"/>
          <w:color w:val="000000"/>
          <w:shd w:val="clear" w:color="auto" w:fill="FFFFFF"/>
        </w:rPr>
        <w:t>"Women's Rights."</w:t>
      </w:r>
      <w:r>
        <w:rPr>
          <w:rStyle w:val="apple-converted-space"/>
          <w:rFonts w:ascii="Helvetica" w:hAnsi="Helvetica"/>
          <w:color w:val="000000"/>
          <w:shd w:val="clear" w:color="auto" w:fill="FFFFFF"/>
        </w:rPr>
        <w:t> </w:t>
      </w:r>
      <w:r>
        <w:rPr>
          <w:rFonts w:ascii="Helvetica" w:hAnsi="Helvetica"/>
          <w:i/>
          <w:iCs/>
          <w:color w:val="000000"/>
          <w:shd w:val="clear" w:color="auto" w:fill="FFFFFF"/>
        </w:rPr>
        <w:t>Wikipedia</w:t>
      </w:r>
      <w:r>
        <w:rPr>
          <w:rFonts w:ascii="Helvetica" w:hAnsi="Helvetica"/>
          <w:color w:val="000000"/>
          <w:shd w:val="clear" w:color="auto" w:fill="FFFFFF"/>
        </w:rPr>
        <w:t>. Wikimedia Foundation, 04 May 2017. Web. 10 May 2017.</w:t>
      </w:r>
    </w:p>
    <w:sectPr w:rsidR="00E544EE" w:rsidRPr="00E54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50"/>
    <w:rsid w:val="000B1048"/>
    <w:rsid w:val="000C119D"/>
    <w:rsid w:val="0031115D"/>
    <w:rsid w:val="003D4721"/>
    <w:rsid w:val="004C4F69"/>
    <w:rsid w:val="00520EBA"/>
    <w:rsid w:val="005872B9"/>
    <w:rsid w:val="005F328D"/>
    <w:rsid w:val="006D4A16"/>
    <w:rsid w:val="007257A2"/>
    <w:rsid w:val="00812078"/>
    <w:rsid w:val="0091590C"/>
    <w:rsid w:val="00A557E8"/>
    <w:rsid w:val="00AF1393"/>
    <w:rsid w:val="00CE025B"/>
    <w:rsid w:val="00CE6550"/>
    <w:rsid w:val="00DD6585"/>
    <w:rsid w:val="00E02BBA"/>
    <w:rsid w:val="00E544EE"/>
    <w:rsid w:val="00F6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CB695-E2A7-4A99-8EB5-07CA3FF8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90C"/>
  </w:style>
  <w:style w:type="paragraph" w:styleId="Heading1">
    <w:name w:val="heading 1"/>
    <w:basedOn w:val="Normal"/>
    <w:next w:val="Normal"/>
    <w:link w:val="Heading1Char"/>
    <w:uiPriority w:val="9"/>
    <w:qFormat/>
    <w:rsid w:val="0091590C"/>
    <w:pPr>
      <w:keepNext/>
      <w:keepLines/>
      <w:pBdr>
        <w:left w:val="single" w:sz="12" w:space="12" w:color="ED7D31" w:themeColor="accent2"/>
      </w:pBdr>
      <w:spacing w:before="80" w:after="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91590C"/>
    <w:pPr>
      <w:keepNext/>
      <w:keepLines/>
      <w:spacing w:before="12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91590C"/>
    <w:pPr>
      <w:keepNext/>
      <w:keepLines/>
      <w:spacing w:before="80"/>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91590C"/>
    <w:pPr>
      <w:keepNext/>
      <w:keepLines/>
      <w:spacing w:before="8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1590C"/>
    <w:pPr>
      <w:keepNext/>
      <w:keepLines/>
      <w:spacing w:before="8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1590C"/>
    <w:pPr>
      <w:keepNext/>
      <w:keepLines/>
      <w:spacing w:before="8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1590C"/>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1590C"/>
    <w:pPr>
      <w:keepNext/>
      <w:keepLines/>
      <w:spacing w:before="8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1590C"/>
    <w:pPr>
      <w:keepNext/>
      <w:keepLines/>
      <w:spacing w:before="8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90C"/>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91590C"/>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91590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91590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1590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1590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1590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1590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1590C"/>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1590C"/>
    <w:rPr>
      <w:b/>
      <w:bCs/>
      <w:color w:val="ED7D31" w:themeColor="accent2"/>
      <w:spacing w:val="10"/>
      <w:sz w:val="16"/>
      <w:szCs w:val="16"/>
    </w:rPr>
  </w:style>
  <w:style w:type="paragraph" w:styleId="Title">
    <w:name w:val="Title"/>
    <w:basedOn w:val="Normal"/>
    <w:next w:val="Normal"/>
    <w:link w:val="TitleChar"/>
    <w:uiPriority w:val="10"/>
    <w:qFormat/>
    <w:rsid w:val="0091590C"/>
    <w:pPr>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1590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1590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1590C"/>
    <w:rPr>
      <w:color w:val="000000" w:themeColor="text1"/>
      <w:sz w:val="24"/>
      <w:szCs w:val="24"/>
    </w:rPr>
  </w:style>
  <w:style w:type="character" w:styleId="Strong">
    <w:name w:val="Strong"/>
    <w:basedOn w:val="DefaultParagraphFont"/>
    <w:uiPriority w:val="22"/>
    <w:qFormat/>
    <w:rsid w:val="0091590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1590C"/>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91590C"/>
  </w:style>
  <w:style w:type="paragraph" w:styleId="ListParagraph">
    <w:name w:val="List Paragraph"/>
    <w:basedOn w:val="Normal"/>
    <w:uiPriority w:val="34"/>
    <w:qFormat/>
    <w:rsid w:val="0091590C"/>
    <w:pPr>
      <w:ind w:left="720"/>
      <w:contextualSpacing/>
    </w:pPr>
  </w:style>
  <w:style w:type="paragraph" w:styleId="Quote">
    <w:name w:val="Quote"/>
    <w:basedOn w:val="Normal"/>
    <w:next w:val="Normal"/>
    <w:link w:val="QuoteChar"/>
    <w:uiPriority w:val="29"/>
    <w:qFormat/>
    <w:rsid w:val="0091590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1590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1590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91590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91590C"/>
    <w:rPr>
      <w:i/>
      <w:iCs/>
      <w:color w:val="auto"/>
    </w:rPr>
  </w:style>
  <w:style w:type="character" w:styleId="IntenseEmphasis">
    <w:name w:val="Intense Emphasis"/>
    <w:basedOn w:val="DefaultParagraphFont"/>
    <w:uiPriority w:val="21"/>
    <w:qFormat/>
    <w:rsid w:val="0091590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91590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1590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1590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1590C"/>
    <w:pPr>
      <w:outlineLvl w:val="9"/>
    </w:pPr>
  </w:style>
  <w:style w:type="table" w:styleId="TableGrid">
    <w:name w:val="Table Grid"/>
    <w:basedOn w:val="TableNormal"/>
    <w:uiPriority w:val="39"/>
    <w:rsid w:val="00812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872B9"/>
    <w:rPr>
      <w:color w:val="808080"/>
    </w:rPr>
  </w:style>
  <w:style w:type="paragraph" w:styleId="HTMLPreformatted">
    <w:name w:val="HTML Preformatted"/>
    <w:basedOn w:val="Normal"/>
    <w:link w:val="HTMLPreformattedChar"/>
    <w:uiPriority w:val="99"/>
    <w:unhideWhenUsed/>
    <w:rsid w:val="00DD6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6585"/>
    <w:rPr>
      <w:rFonts w:ascii="Courier New" w:eastAsia="Times New Roman" w:hAnsi="Courier New" w:cs="Courier New"/>
      <w:sz w:val="20"/>
      <w:szCs w:val="20"/>
    </w:rPr>
  </w:style>
  <w:style w:type="character" w:customStyle="1" w:styleId="apple-converted-space">
    <w:name w:val="apple-converted-space"/>
    <w:basedOn w:val="DefaultParagraphFont"/>
    <w:rsid w:val="00E544EE"/>
  </w:style>
  <w:style w:type="character" w:customStyle="1" w:styleId="citationtext">
    <w:name w:val="citation_text"/>
    <w:basedOn w:val="DefaultParagraphFont"/>
    <w:rsid w:val="00E54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7443">
      <w:bodyDiv w:val="1"/>
      <w:marLeft w:val="0"/>
      <w:marRight w:val="0"/>
      <w:marTop w:val="0"/>
      <w:marBottom w:val="0"/>
      <w:divBdr>
        <w:top w:val="none" w:sz="0" w:space="0" w:color="auto"/>
        <w:left w:val="none" w:sz="0" w:space="0" w:color="auto"/>
        <w:bottom w:val="none" w:sz="0" w:space="0" w:color="auto"/>
        <w:right w:val="none" w:sz="0" w:space="0" w:color="auto"/>
      </w:divBdr>
    </w:div>
    <w:div w:id="233711864">
      <w:bodyDiv w:val="1"/>
      <w:marLeft w:val="0"/>
      <w:marRight w:val="0"/>
      <w:marTop w:val="0"/>
      <w:marBottom w:val="0"/>
      <w:divBdr>
        <w:top w:val="none" w:sz="0" w:space="0" w:color="auto"/>
        <w:left w:val="none" w:sz="0" w:space="0" w:color="auto"/>
        <w:bottom w:val="none" w:sz="0" w:space="0" w:color="auto"/>
        <w:right w:val="none" w:sz="0" w:space="0" w:color="auto"/>
      </w:divBdr>
    </w:div>
    <w:div w:id="565729689">
      <w:bodyDiv w:val="1"/>
      <w:marLeft w:val="0"/>
      <w:marRight w:val="0"/>
      <w:marTop w:val="0"/>
      <w:marBottom w:val="0"/>
      <w:divBdr>
        <w:top w:val="none" w:sz="0" w:space="0" w:color="auto"/>
        <w:left w:val="none" w:sz="0" w:space="0" w:color="auto"/>
        <w:bottom w:val="none" w:sz="0" w:space="0" w:color="auto"/>
        <w:right w:val="none" w:sz="0" w:space="0" w:color="auto"/>
      </w:divBdr>
    </w:div>
    <w:div w:id="586159433">
      <w:bodyDiv w:val="1"/>
      <w:marLeft w:val="0"/>
      <w:marRight w:val="0"/>
      <w:marTop w:val="0"/>
      <w:marBottom w:val="0"/>
      <w:divBdr>
        <w:top w:val="none" w:sz="0" w:space="0" w:color="auto"/>
        <w:left w:val="none" w:sz="0" w:space="0" w:color="auto"/>
        <w:bottom w:val="none" w:sz="0" w:space="0" w:color="auto"/>
        <w:right w:val="none" w:sz="0" w:space="0" w:color="auto"/>
      </w:divBdr>
    </w:div>
    <w:div w:id="780761998">
      <w:bodyDiv w:val="1"/>
      <w:marLeft w:val="0"/>
      <w:marRight w:val="0"/>
      <w:marTop w:val="0"/>
      <w:marBottom w:val="0"/>
      <w:divBdr>
        <w:top w:val="none" w:sz="0" w:space="0" w:color="auto"/>
        <w:left w:val="none" w:sz="0" w:space="0" w:color="auto"/>
        <w:bottom w:val="none" w:sz="0" w:space="0" w:color="auto"/>
        <w:right w:val="none" w:sz="0" w:space="0" w:color="auto"/>
      </w:divBdr>
    </w:div>
    <w:div w:id="990712816">
      <w:bodyDiv w:val="1"/>
      <w:marLeft w:val="0"/>
      <w:marRight w:val="0"/>
      <w:marTop w:val="0"/>
      <w:marBottom w:val="0"/>
      <w:divBdr>
        <w:top w:val="none" w:sz="0" w:space="0" w:color="auto"/>
        <w:left w:val="none" w:sz="0" w:space="0" w:color="auto"/>
        <w:bottom w:val="none" w:sz="0" w:space="0" w:color="auto"/>
        <w:right w:val="none" w:sz="0" w:space="0" w:color="auto"/>
      </w:divBdr>
    </w:div>
    <w:div w:id="1115908251">
      <w:bodyDiv w:val="1"/>
      <w:marLeft w:val="0"/>
      <w:marRight w:val="0"/>
      <w:marTop w:val="0"/>
      <w:marBottom w:val="0"/>
      <w:divBdr>
        <w:top w:val="none" w:sz="0" w:space="0" w:color="auto"/>
        <w:left w:val="none" w:sz="0" w:space="0" w:color="auto"/>
        <w:bottom w:val="none" w:sz="0" w:space="0" w:color="auto"/>
        <w:right w:val="none" w:sz="0" w:space="0" w:color="auto"/>
      </w:divBdr>
    </w:div>
    <w:div w:id="1121726681">
      <w:bodyDiv w:val="1"/>
      <w:marLeft w:val="0"/>
      <w:marRight w:val="0"/>
      <w:marTop w:val="0"/>
      <w:marBottom w:val="0"/>
      <w:divBdr>
        <w:top w:val="none" w:sz="0" w:space="0" w:color="auto"/>
        <w:left w:val="none" w:sz="0" w:space="0" w:color="auto"/>
        <w:bottom w:val="none" w:sz="0" w:space="0" w:color="auto"/>
        <w:right w:val="none" w:sz="0" w:space="0" w:color="auto"/>
      </w:divBdr>
    </w:div>
    <w:div w:id="1145199907">
      <w:bodyDiv w:val="1"/>
      <w:marLeft w:val="0"/>
      <w:marRight w:val="0"/>
      <w:marTop w:val="0"/>
      <w:marBottom w:val="0"/>
      <w:divBdr>
        <w:top w:val="none" w:sz="0" w:space="0" w:color="auto"/>
        <w:left w:val="none" w:sz="0" w:space="0" w:color="auto"/>
        <w:bottom w:val="none" w:sz="0" w:space="0" w:color="auto"/>
        <w:right w:val="none" w:sz="0" w:space="0" w:color="auto"/>
      </w:divBdr>
    </w:div>
    <w:div w:id="1194415991">
      <w:bodyDiv w:val="1"/>
      <w:marLeft w:val="0"/>
      <w:marRight w:val="0"/>
      <w:marTop w:val="0"/>
      <w:marBottom w:val="0"/>
      <w:divBdr>
        <w:top w:val="none" w:sz="0" w:space="0" w:color="auto"/>
        <w:left w:val="none" w:sz="0" w:space="0" w:color="auto"/>
        <w:bottom w:val="none" w:sz="0" w:space="0" w:color="auto"/>
        <w:right w:val="none" w:sz="0" w:space="0" w:color="auto"/>
      </w:divBdr>
    </w:div>
    <w:div w:id="1211191985">
      <w:bodyDiv w:val="1"/>
      <w:marLeft w:val="0"/>
      <w:marRight w:val="0"/>
      <w:marTop w:val="0"/>
      <w:marBottom w:val="0"/>
      <w:divBdr>
        <w:top w:val="none" w:sz="0" w:space="0" w:color="auto"/>
        <w:left w:val="none" w:sz="0" w:space="0" w:color="auto"/>
        <w:bottom w:val="none" w:sz="0" w:space="0" w:color="auto"/>
        <w:right w:val="none" w:sz="0" w:space="0" w:color="auto"/>
      </w:divBdr>
    </w:div>
    <w:div w:id="1340161334">
      <w:bodyDiv w:val="1"/>
      <w:marLeft w:val="0"/>
      <w:marRight w:val="0"/>
      <w:marTop w:val="0"/>
      <w:marBottom w:val="0"/>
      <w:divBdr>
        <w:top w:val="none" w:sz="0" w:space="0" w:color="auto"/>
        <w:left w:val="none" w:sz="0" w:space="0" w:color="auto"/>
        <w:bottom w:val="none" w:sz="0" w:space="0" w:color="auto"/>
        <w:right w:val="none" w:sz="0" w:space="0" w:color="auto"/>
      </w:divBdr>
    </w:div>
    <w:div w:id="1475372118">
      <w:bodyDiv w:val="1"/>
      <w:marLeft w:val="0"/>
      <w:marRight w:val="0"/>
      <w:marTop w:val="0"/>
      <w:marBottom w:val="0"/>
      <w:divBdr>
        <w:top w:val="none" w:sz="0" w:space="0" w:color="auto"/>
        <w:left w:val="none" w:sz="0" w:space="0" w:color="auto"/>
        <w:bottom w:val="none" w:sz="0" w:space="0" w:color="auto"/>
        <w:right w:val="none" w:sz="0" w:space="0" w:color="auto"/>
      </w:divBdr>
    </w:div>
    <w:div w:id="1636834331">
      <w:bodyDiv w:val="1"/>
      <w:marLeft w:val="0"/>
      <w:marRight w:val="0"/>
      <w:marTop w:val="0"/>
      <w:marBottom w:val="0"/>
      <w:divBdr>
        <w:top w:val="none" w:sz="0" w:space="0" w:color="auto"/>
        <w:left w:val="none" w:sz="0" w:space="0" w:color="auto"/>
        <w:bottom w:val="none" w:sz="0" w:space="0" w:color="auto"/>
        <w:right w:val="none" w:sz="0" w:space="0" w:color="auto"/>
      </w:divBdr>
    </w:div>
    <w:div w:id="1647709840">
      <w:bodyDiv w:val="1"/>
      <w:marLeft w:val="0"/>
      <w:marRight w:val="0"/>
      <w:marTop w:val="0"/>
      <w:marBottom w:val="0"/>
      <w:divBdr>
        <w:top w:val="none" w:sz="0" w:space="0" w:color="auto"/>
        <w:left w:val="none" w:sz="0" w:space="0" w:color="auto"/>
        <w:bottom w:val="none" w:sz="0" w:space="0" w:color="auto"/>
        <w:right w:val="none" w:sz="0" w:space="0" w:color="auto"/>
      </w:divBdr>
    </w:div>
    <w:div w:id="1827700451">
      <w:bodyDiv w:val="1"/>
      <w:marLeft w:val="0"/>
      <w:marRight w:val="0"/>
      <w:marTop w:val="0"/>
      <w:marBottom w:val="0"/>
      <w:divBdr>
        <w:top w:val="none" w:sz="0" w:space="0" w:color="auto"/>
        <w:left w:val="none" w:sz="0" w:space="0" w:color="auto"/>
        <w:bottom w:val="none" w:sz="0" w:space="0" w:color="auto"/>
        <w:right w:val="none" w:sz="0" w:space="0" w:color="auto"/>
      </w:divBdr>
    </w:div>
    <w:div w:id="212476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Columbia University Medical Center</Company>
  <LinksUpToDate>false</LinksUpToDate>
  <CharactersWithSpaces>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 Library</dc:creator>
  <cp:keywords/>
  <dc:description/>
  <cp:lastModifiedBy>Pub, Library</cp:lastModifiedBy>
  <cp:revision>7</cp:revision>
  <dcterms:created xsi:type="dcterms:W3CDTF">2017-05-10T15:20:00Z</dcterms:created>
  <dcterms:modified xsi:type="dcterms:W3CDTF">2017-05-10T20:51:00Z</dcterms:modified>
</cp:coreProperties>
</file>