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70"/>
        <w:gridCol w:w="1984"/>
      </w:tblGrid>
      <w:tr w14:paraId="21296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vAlign w:val="center"/>
          </w:tcPr>
          <w:p w14:paraId="77302DAB">
            <w:pPr>
              <w:spacing w:after="40"/>
            </w:pPr>
            <w:r>
              <w:rPr>
                <w:rFonts w:ascii="Helvetica" w:hAnsi="Helvetica" w:eastAsia="PingFang SC"/>
                <w:b/>
                <w:color w:val="1E6091"/>
                <w:sz w:val="52"/>
              </w:rPr>
              <w:t>李 翠 萍</w:t>
            </w:r>
          </w:p>
          <w:p w14:paraId="4FEC3231">
            <w:pPr>
              <w:spacing w:after="120"/>
            </w:pPr>
            <w:r>
              <w:rPr>
                <w:rFonts w:ascii="Helvetica" w:hAnsi="Helvetica" w:eastAsia="PingFang SC"/>
                <w:color w:val="6C7A89"/>
                <w:sz w:val="22"/>
              </w:rPr>
              <w:t>康复治疗师   ·   求职意向：康复治疗师</w:t>
            </w:r>
          </w:p>
          <w:p w14:paraId="1EA6DBE8">
            <w:pPr>
              <w:spacing w:after="40"/>
            </w:pPr>
            <w:r>
              <w:rPr>
                <w:rFonts w:ascii="Helvetica" w:hAnsi="Helvetica" w:eastAsia="PingFang SC"/>
                <w:color w:val="2C3E50"/>
                <w:sz w:val="20"/>
              </w:rPr>
              <w:t>女 / 1994.09</w:t>
            </w:r>
            <w:r>
              <w:rPr>
                <w:rFonts w:ascii="Helvetica" w:hAnsi="Helvetica" w:eastAsia="PingFang SC"/>
                <w:b/>
                <w:color w:val="1E6091"/>
                <w:sz w:val="20"/>
              </w:rPr>
              <w:t xml:space="preserve">    |    </w:t>
            </w:r>
            <w:r>
              <w:rPr>
                <w:rFonts w:ascii="Helvetica" w:hAnsi="Helvetica" w:eastAsia="PingFang SC"/>
                <w:color w:val="2C3E50"/>
                <w:sz w:val="20"/>
              </w:rPr>
              <w:t>汉族</w:t>
            </w:r>
            <w:r>
              <w:rPr>
                <w:rFonts w:ascii="Helvetica" w:hAnsi="Helvetica" w:eastAsia="PingFang SC"/>
                <w:b/>
                <w:color w:val="1E6091"/>
                <w:sz w:val="20"/>
              </w:rPr>
              <w:t xml:space="preserve">    |    </w:t>
            </w:r>
            <w:r>
              <w:rPr>
                <w:rFonts w:ascii="Helvetica" w:hAnsi="Helvetica" w:eastAsia="PingFang SC"/>
                <w:color w:val="2C3E50"/>
                <w:sz w:val="20"/>
              </w:rPr>
              <w:t>身高 162cm</w:t>
            </w:r>
          </w:p>
          <w:p w14:paraId="1E42A2CA">
            <w:pPr>
              <w:spacing w:after="40"/>
            </w:pPr>
            <w:r>
              <w:rPr>
                <w:rFonts w:ascii="Helvetica" w:hAnsi="Helvetica" w:eastAsia="PingFang SC"/>
                <w:color w:val="2C3E50"/>
                <w:sz w:val="20"/>
              </w:rPr>
              <w:t>电话 15068857250</w:t>
            </w:r>
            <w:r>
              <w:rPr>
                <w:rFonts w:ascii="Helvetica" w:hAnsi="Helvetica" w:eastAsia="PingFang SC"/>
                <w:b/>
                <w:color w:val="1E6091"/>
                <w:sz w:val="20"/>
              </w:rPr>
              <w:t xml:space="preserve">    |    </w:t>
            </w:r>
            <w:r>
              <w:rPr>
                <w:rFonts w:ascii="Helvetica" w:hAnsi="Helvetica" w:eastAsia="PingFang SC"/>
                <w:color w:val="2C3E50"/>
                <w:sz w:val="20"/>
              </w:rPr>
              <w:t>邮箱 15068857250@163.com</w:t>
            </w:r>
          </w:p>
        </w:tc>
        <w:tc>
          <w:tcPr>
            <w:tcW w:w="4986" w:type="dxa"/>
            <w:vAlign w:val="center"/>
          </w:tcPr>
          <w:p w14:paraId="5831B2FD">
            <w:pPr>
              <w:spacing w:after="0"/>
              <w:jc w:val="right"/>
            </w:pPr>
            <w:r>
              <w:drawing>
                <wp:inline distT="0" distB="0" distL="114300" distR="114300">
                  <wp:extent cx="1151890" cy="16713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152000" cy="1671837"/>
                          </a:xfrm>
                          <a:prstGeom prst="rect">
                            <a:avLst/>
                          </a:prstGeom>
                        </pic:spPr>
                      </pic:pic>
                    </a:graphicData>
                  </a:graphic>
                </wp:inline>
              </w:drawing>
            </w:r>
          </w:p>
        </w:tc>
      </w:tr>
    </w:tbl>
    <w:p w14:paraId="1DD9276E">
      <w:pPr>
        <w:pBdr>
          <w:bottom w:val="single" w:color="1E6091" w:sz="18" w:space="4"/>
        </w:pBdr>
        <w:spacing w:before="80" w:after="160"/>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
        <w:gridCol w:w="9354"/>
      </w:tblGrid>
      <w:tr w14:paraId="62E35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 w:type="dxa"/>
            <w:shd w:val="clear" w:color="auto" w:fill="1E6091"/>
          </w:tcPr>
          <w:p w14:paraId="54F200DA"/>
        </w:tc>
        <w:tc>
          <w:tcPr>
            <w:tcW w:w="9354" w:type="dxa"/>
          </w:tcPr>
          <w:p w14:paraId="273EDB9C">
            <w:pPr>
              <w:spacing w:before="0" w:after="0"/>
              <w:ind w:left="113"/>
            </w:pPr>
            <w:r>
              <w:rPr>
                <w:rFonts w:ascii="Helvetica" w:hAnsi="Helvetica" w:eastAsia="PingFang SC"/>
                <w:b/>
                <w:color w:val="1E6091"/>
                <w:sz w:val="28"/>
              </w:rPr>
              <w:t>专业技能</w:t>
            </w:r>
          </w:p>
        </w:tc>
      </w:tr>
    </w:tbl>
    <w:p w14:paraId="70A04979">
      <w:pPr>
        <w:spacing w:before="0" w:after="40"/>
      </w:pPr>
    </w:p>
    <w:p w14:paraId="6B6384C1">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熟练掌握物理治疗（PT）、作业治疗（OT）、言语治疗（ST）及物理因子治疗等综合康复技术。</w:t>
      </w:r>
    </w:p>
    <w:p w14:paraId="5E58859E">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独立操作电刺激仪、超声波、蜡疗、牵引、经颅磁刺激、冲击波等现代化康复设备。</w:t>
      </w:r>
    </w:p>
    <w:p w14:paraId="47C7D6DE">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擅长神经系统疾病（脑卒中、脊髓损伤、颅脑外伤）与骨科术后患者的功能评估及康复方案制定。</w:t>
      </w:r>
    </w:p>
    <w:p w14:paraId="2DB74DCF">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沟通表达能力突出，善于与患者及家属建立信任，清晰讲解病情评估与阶段性康复计划。</w:t>
      </w:r>
    </w:p>
    <w:p w14:paraId="14BE0A41">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持康复治疗师初级职称，具备 9 年一线临床康复治疗经验，熟悉常用康复评定量表与循证实践路径。</w:t>
      </w:r>
    </w:p>
    <w:p w14:paraId="31CFC314">
      <w:pPr>
        <w:spacing w:before="0" w:after="80" w:line="336"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
        <w:gridCol w:w="9354"/>
      </w:tblGrid>
      <w:tr w14:paraId="4DBC9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 w:type="dxa"/>
            <w:shd w:val="clear" w:color="auto" w:fill="1E6091"/>
          </w:tcPr>
          <w:p w14:paraId="3E9D19A0"/>
        </w:tc>
        <w:tc>
          <w:tcPr>
            <w:tcW w:w="9354" w:type="dxa"/>
          </w:tcPr>
          <w:p w14:paraId="1E521D96">
            <w:pPr>
              <w:spacing w:before="0" w:after="0"/>
              <w:ind w:left="113"/>
            </w:pPr>
            <w:r>
              <w:rPr>
                <w:rFonts w:ascii="Helvetica" w:hAnsi="Helvetica" w:eastAsia="PingFang SC"/>
                <w:b/>
                <w:color w:val="1E6091"/>
                <w:sz w:val="28"/>
              </w:rPr>
              <w:t>工作经历</w:t>
            </w:r>
          </w:p>
        </w:tc>
      </w:tr>
    </w:tbl>
    <w:p w14:paraId="31ED674D">
      <w:pPr>
        <w:spacing w:before="0" w:after="40"/>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6"/>
        <w:gridCol w:w="3118"/>
      </w:tblGrid>
      <w:tr w14:paraId="18814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tcPr>
          <w:p w14:paraId="54726CD3">
            <w:pPr>
              <w:spacing w:after="0"/>
              <w:ind w:left="170"/>
            </w:pPr>
            <w:r>
              <w:rPr>
                <w:rFonts w:ascii="Helvetica" w:hAnsi="Helvetica" w:eastAsia="PingFang SC"/>
                <w:b/>
                <w:color w:val="2C3E50"/>
                <w:sz w:val="24"/>
              </w:rPr>
              <w:t>未来科技城医院</w:t>
            </w:r>
          </w:p>
        </w:tc>
        <w:tc>
          <w:tcPr>
            <w:tcW w:w="4986" w:type="dxa"/>
          </w:tcPr>
          <w:p w14:paraId="50EBBBA5">
            <w:pPr>
              <w:spacing w:after="0"/>
              <w:jc w:val="right"/>
            </w:pPr>
            <w:r>
              <w:rPr>
                <w:rFonts w:ascii="Helvetica" w:hAnsi="Helvetica" w:eastAsia="PingFang SC"/>
                <w:i/>
                <w:color w:val="6C7A89"/>
                <w:sz w:val="20"/>
              </w:rPr>
              <w:t>2021.12 — 至今</w:t>
            </w:r>
          </w:p>
        </w:tc>
      </w:tr>
    </w:tbl>
    <w:p w14:paraId="30AEC9A1">
      <w:pPr>
        <w:spacing w:after="40"/>
        <w:ind w:left="170"/>
      </w:pPr>
      <w:r>
        <w:rPr>
          <w:rFonts w:ascii="Helvetica" w:hAnsi="Helvetica" w:eastAsia="PingFang SC"/>
          <w:b/>
          <w:color w:val="1E6091"/>
          <w:sz w:val="21"/>
        </w:rPr>
        <w:t>康复治疗师</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承担科室神经康复与骨科康复门诊及住院患者的功能评估与治疗工作，独立管理患者治疗全周期。</w:t>
      </w:r>
    </w:p>
    <w:p w14:paraId="48C8CE0A">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制定并执行个性化康复治疗方案，定期复评康复进展，动态调整治疗策略以保障疗效。</w:t>
      </w:r>
    </w:p>
    <w:p w14:paraId="026126B5">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组织康复知识讲座与家庭训练指导，帮助患者及家属掌握居家康复要点，提升出院后依从性。</w:t>
      </w:r>
    </w:p>
    <w:p w14:paraId="137A3170">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参与科室质控与治疗流程优化，协助新员工入职培训与技术规范落地。</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主导科室业务学习，定期组织病例讨论、新技术专题培训与操作考核，推动团队治疗规范与技术能力同步提升。</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担任实习生管理老师，负责实习轮转计划制定、临床带教与出科考核，每年带教院校实习生 4 名。</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凭借治疗效果与服务态度获患者及家属赠予锦旗 4 面，获科室及院级表彰。</w:t>
      </w:r>
    </w:p>
    <w:p w14:paraId="5E868953">
      <w:pPr>
        <w:spacing w:before="0" w:after="80" w:line="336"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6"/>
        <w:gridCol w:w="3118"/>
      </w:tblGrid>
      <w:tr w14:paraId="61CAC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tcPr>
          <w:p w14:paraId="4A67F79B">
            <w:pPr>
              <w:spacing w:after="0"/>
              <w:ind w:left="170"/>
            </w:pPr>
            <w:r>
              <w:rPr>
                <w:rFonts w:ascii="Helvetica" w:hAnsi="Helvetica" w:eastAsia="PingFang SC"/>
                <w:b/>
                <w:color w:val="2C3E50"/>
                <w:sz w:val="24"/>
              </w:rPr>
              <w:t>康馨康复医院（现顾连通济医院）</w:t>
            </w:r>
          </w:p>
        </w:tc>
        <w:tc>
          <w:tcPr>
            <w:tcW w:w="4986" w:type="dxa"/>
          </w:tcPr>
          <w:p w14:paraId="7F0F735D">
            <w:pPr>
              <w:spacing w:after="0"/>
              <w:jc w:val="right"/>
            </w:pPr>
            <w:r>
              <w:rPr>
                <w:rFonts w:ascii="Helvetica" w:hAnsi="Helvetica" w:eastAsia="PingFang SC"/>
                <w:i/>
                <w:color w:val="6C7A89"/>
                <w:sz w:val="20"/>
              </w:rPr>
              <w:t>2018.07 — 2021.11</w:t>
            </w:r>
          </w:p>
        </w:tc>
      </w:tr>
    </w:tbl>
    <w:p w14:paraId="4BDB96A5">
      <w:pPr>
        <w:spacing w:after="40"/>
        <w:ind w:left="170"/>
      </w:pPr>
      <w:r>
        <w:rPr>
          <w:rFonts w:ascii="Helvetica" w:hAnsi="Helvetica" w:eastAsia="PingFang SC"/>
          <w:b/>
          <w:color w:val="1E6091"/>
          <w:sz w:val="21"/>
        </w:rPr>
        <w:t>康复治疗师</w:t>
      </w:r>
    </w:p>
    <w:p w14:paraId="786D0624">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负责神经系统疾病康复，重点开展脑卒中、脊髓损伤及颅脑外伤后患者的运动功能、平衡功能与日常生活活动（ADL）训练。</w:t>
      </w:r>
    </w:p>
    <w:p w14:paraId="20DE472A">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运用 Brunnstrom、Fugl-Meyer、Barthel 等量表完成系统功能评估，据此制定阶段性康复目标并跟踪达成情况。</w:t>
      </w:r>
    </w:p>
    <w:p w14:paraId="35115EBE">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深度参与多学科协作（MDT），与医生、护士及家属协同推进康复进程，提升整体康复效率。</w:t>
      </w:r>
    </w:p>
    <w:p w14:paraId="7B3531A2">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参与院内康复教学与实习生带教，协助规范化培训落地。</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担任康复科病区组长，统筹病区治疗师排班与患者分配，组织交班与疑难病例讨论，保障病区治疗质量与安全。</w:t>
      </w:r>
    </w:p>
    <w:p w14:paraId="6FF1DD88">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负责科室耗材管理，建立出入库台账与定期盘点机制，优化库存结构，有效降低损耗与闲置成本。</w:t>
      </w:r>
    </w:p>
    <w:p w14:paraId="39227461">
      <w:pPr>
        <w:spacing w:before="0" w:after="80" w:line="336"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6"/>
        <w:gridCol w:w="3118"/>
      </w:tblGrid>
      <w:tr w14:paraId="56298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tcPr>
          <w:p w14:paraId="7FFFF455">
            <w:pPr>
              <w:spacing w:after="0"/>
              <w:ind w:left="170"/>
            </w:pPr>
            <w:r>
              <w:rPr>
                <w:rFonts w:ascii="Helvetica" w:hAnsi="Helvetica" w:eastAsia="PingFang SC"/>
                <w:b/>
                <w:color w:val="2C3E50"/>
                <w:sz w:val="24"/>
              </w:rPr>
              <w:t>傅氏骨伤科医院</w:t>
            </w:r>
          </w:p>
        </w:tc>
        <w:tc>
          <w:tcPr>
            <w:tcW w:w="4986" w:type="dxa"/>
          </w:tcPr>
          <w:p w14:paraId="42652D2B">
            <w:pPr>
              <w:spacing w:after="0"/>
              <w:jc w:val="right"/>
            </w:pPr>
            <w:r>
              <w:rPr>
                <w:rFonts w:ascii="Helvetica" w:hAnsi="Helvetica" w:eastAsia="PingFang SC"/>
                <w:i/>
                <w:color w:val="6C7A89"/>
                <w:sz w:val="20"/>
              </w:rPr>
              <w:t>2017.06 — 2018.06</w:t>
            </w:r>
          </w:p>
        </w:tc>
      </w:tr>
    </w:tbl>
    <w:p w14:paraId="1F7A2588">
      <w:pPr>
        <w:spacing w:after="40"/>
        <w:ind w:left="170"/>
      </w:pPr>
      <w:r>
        <w:rPr>
          <w:rFonts w:ascii="Helvetica" w:hAnsi="Helvetica" w:eastAsia="PingFang SC"/>
          <w:b/>
          <w:color w:val="1E6091"/>
          <w:sz w:val="21"/>
        </w:rPr>
        <w:t>康复治疗师</w:t>
      </w:r>
    </w:p>
    <w:p w14:paraId="096CF822">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负责骨科术后患者（关节置换、骨折术后、脊柱手术等）的早期康复介入与功能恢复训练。</w:t>
      </w:r>
    </w:p>
    <w:p w14:paraId="7FA45E79">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综合运用物理因子治疗、关节松动术、肌力与关节活动度训练，有效缩短患者康复周期。</w:t>
      </w:r>
    </w:p>
    <w:p w14:paraId="59475E2E">
      <w:pPr>
        <w:spacing w:after="40" w:line="348" w:lineRule="auto"/>
        <w:ind w:left="510" w:hanging="227"/>
      </w:pPr>
      <w:r>
        <w:rPr>
          <w:rFonts w:ascii="Helvetica" w:hAnsi="Helvetica" w:eastAsia="PingFang SC"/>
          <w:b/>
          <w:color w:val="1E6091"/>
          <w:sz w:val="21"/>
        </w:rPr>
        <w:t xml:space="preserve">▸  </w:t>
      </w:r>
      <w:r>
        <w:rPr>
          <w:rFonts w:ascii="Helvetica" w:hAnsi="Helvetica" w:eastAsia="PingFang SC"/>
          <w:color w:val="2C3E50"/>
          <w:sz w:val="21"/>
        </w:rPr>
        <w:t xml:space="preserve">配合医生完成康复评估，规范记录并持续跟踪患者治疗效果与功能改善情况。</w:t>
      </w:r>
    </w:p>
    <w:p w14:paraId="0043B921">
      <w:pPr>
        <w:spacing w:before="0" w:after="80" w:line="336"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
        <w:gridCol w:w="9354"/>
      </w:tblGrid>
      <w:tr w14:paraId="5E7D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 w:type="dxa"/>
            <w:shd w:val="clear" w:color="auto" w:fill="1E6091"/>
          </w:tcPr>
          <w:p w14:paraId="297F6A5F"/>
        </w:tc>
        <w:tc>
          <w:tcPr>
            <w:tcW w:w="9354" w:type="dxa"/>
          </w:tcPr>
          <w:p w14:paraId="2DD106EA">
            <w:pPr>
              <w:spacing w:before="0" w:after="0"/>
              <w:ind w:left="113"/>
            </w:pPr>
            <w:r>
              <w:rPr>
                <w:rFonts w:ascii="Helvetica" w:hAnsi="Helvetica" w:eastAsia="PingFang SC"/>
                <w:b/>
                <w:color w:val="1E6091"/>
                <w:sz w:val="28"/>
              </w:rPr>
              <w:t>教育背景</w:t>
            </w:r>
          </w:p>
        </w:tc>
      </w:tr>
    </w:tbl>
    <w:p w14:paraId="79BD3DC3">
      <w:pPr>
        <w:spacing w:before="0" w:after="40"/>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36"/>
        <w:gridCol w:w="3118"/>
      </w:tblGrid>
      <w:tr w14:paraId="2366E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tcPr>
          <w:p w14:paraId="376F120F">
            <w:pPr>
              <w:spacing w:after="0"/>
              <w:ind w:left="170"/>
            </w:pPr>
            <w:r>
              <w:rPr>
                <w:rFonts w:ascii="Helvetica" w:hAnsi="Helvetica" w:eastAsia="PingFang SC"/>
                <w:b/>
                <w:color w:val="2C3E50"/>
                <w:sz w:val="22"/>
              </w:rPr>
              <w:t>浙江中医药大学</w:t>
            </w:r>
            <w:r>
              <w:rPr>
                <w:rFonts w:ascii="Helvetica" w:hAnsi="Helvetica" w:eastAsia="PingFang SC"/>
                <w:color w:val="2C3E50"/>
                <w:sz w:val="21"/>
              </w:rPr>
              <w:t xml:space="preserve">   ·   康复治疗学</w:t>
            </w:r>
          </w:p>
        </w:tc>
        <w:tc>
          <w:tcPr>
            <w:tcW w:w="4986" w:type="dxa"/>
          </w:tcPr>
          <w:p w14:paraId="1FD9F444">
            <w:pPr>
              <w:spacing w:after="0"/>
              <w:jc w:val="right"/>
            </w:pPr>
            <w:r>
              <w:rPr>
                <w:rFonts w:ascii="Helvetica" w:hAnsi="Helvetica" w:eastAsia="PingFang SC"/>
                <w:i/>
                <w:color w:val="6C7A89"/>
                <w:sz w:val="20"/>
              </w:rPr>
              <w:t>2018.02 — 2020.06   ·   专升本本科</w:t>
            </w:r>
          </w:p>
        </w:tc>
      </w:tr>
      <w:tr w14:paraId="4306B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986" w:type="dxa"/>
          </w:tcPr>
          <w:p w14:paraId="71821785">
            <w:pPr>
              <w:spacing w:after="0"/>
              <w:ind w:left="170"/>
            </w:pPr>
            <w:r>
              <w:rPr>
                <w:rFonts w:ascii="Helvetica" w:hAnsi="Helvetica" w:eastAsia="PingFang SC"/>
                <w:b/>
                <w:color w:val="2C3E50"/>
                <w:sz w:val="22"/>
              </w:rPr>
              <w:t>安庆医药高等专科学校</w:t>
            </w:r>
            <w:r>
              <w:rPr>
                <w:rFonts w:ascii="Helvetica" w:hAnsi="Helvetica" w:eastAsia="PingFang SC"/>
                <w:color w:val="2C3E50"/>
                <w:sz w:val="21"/>
              </w:rPr>
              <w:t xml:space="preserve">   ·   康复治疗技术</w:t>
            </w:r>
          </w:p>
        </w:tc>
        <w:tc>
          <w:tcPr>
            <w:tcW w:w="4986" w:type="dxa"/>
          </w:tcPr>
          <w:p w14:paraId="753A5399">
            <w:pPr>
              <w:spacing w:after="0"/>
              <w:jc w:val="right"/>
            </w:pPr>
            <w:r>
              <w:rPr>
                <w:rFonts w:ascii="Helvetica" w:hAnsi="Helvetica" w:eastAsia="PingFang SC"/>
                <w:i/>
                <w:color w:val="6C7A89"/>
                <w:sz w:val="20"/>
              </w:rPr>
              <w:t>2014.09 起   ·   专科</w:t>
            </w:r>
          </w:p>
        </w:tc>
      </w:tr>
    </w:tbl>
    <w:p w14:paraId="7DAFAC87">
      <w:pPr>
        <w:spacing w:before="0" w:after="80" w:line="336"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
        <w:gridCol w:w="9354"/>
      </w:tblGrid>
      <w:tr w14:paraId="46BBB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 w:type="dxa"/>
            <w:shd w:val="clear" w:color="auto" w:fill="1E6091"/>
          </w:tcPr>
          <w:p w14:paraId="019CD54C"/>
        </w:tc>
        <w:tc>
          <w:tcPr>
            <w:tcW w:w="9354" w:type="dxa"/>
          </w:tcPr>
          <w:p w14:paraId="482CF3C7">
            <w:pPr>
              <w:spacing w:before="0" w:after="0"/>
              <w:ind w:left="113"/>
            </w:pPr>
            <w:r>
              <w:rPr>
                <w:rFonts w:ascii="Helvetica" w:hAnsi="Helvetica" w:eastAsia="PingFang SC"/>
                <w:b/>
                <w:color w:val="1E6091"/>
                <w:sz w:val="28"/>
              </w:rPr>
              <w:t>自我评价</w:t>
            </w:r>
          </w:p>
        </w:tc>
      </w:tr>
    </w:tbl>
    <w:p w14:paraId="5B26BCC1">
      <w:pPr>
        <w:spacing w:before="0" w:after="40"/>
      </w:pPr>
    </w:p>
    <w:p w14:paraId="4D9F2875">
      <w:pPr>
        <w:spacing w:after="0" w:line="384" w:lineRule="auto"/>
        <w:ind w:left="170"/>
      </w:pPr>
      <w:r>
        <w:rPr>
          <w:color w:val="2C3E50"/>
          <w:sz w:val="21"/>
        </w:rPr>
        <w:t xml:space="preserve">9 年一线康复临床经验，覆盖神经康复与骨科术后康复两大方向，具备病区组长与教学带教双重管理经历。工作细致负责，富有耐心与同理心，善于与患者建立长期信任；持续学习前沿康复理念与技术，注重循证实践与团队协作，期待在新岗位上继续为患者的功能恢复贡献专业力量。</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86"/>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Cambria">
    <w:altName w:val="Noto Sans Medefaidrin"/>
    <w:panose1 w:val="02040503050406030204"/>
    <w:charset w:val="00"/>
    <w:family w:val="auto"/>
    <w:pitch w:val="default"/>
    <w:sig w:usb0="00000000" w:usb1="00000000" w:usb2="00000000" w:usb3="00000000" w:csb0="0000019F" w:csb1="00000000"/>
  </w:font>
  <w:font w:name="Noto Sans Medefaidrin">
    <w:panose1 w:val="02020502060505020204"/>
    <w:charset w:val="00"/>
    <w:family w:val="auto"/>
    <w:pitch w:val="default"/>
    <w:sig w:usb0="00000001" w:usb1="02000000" w:usb2="00000000" w:usb3="00000000" w:csb0="00000001" w:csb1="00000000"/>
  </w:font>
  <w:font w:name="ＭＳ 明朝">
    <w:altName w:val="书宋-简"/>
    <w:panose1 w:val="00000000000000000000"/>
    <w:charset w:val="80"/>
    <w:family w:val="roman"/>
    <w:pitch w:val="default"/>
    <w:sig w:usb0="00000000" w:usb1="00000000" w:usb2="00000010" w:usb3="00000000" w:csb0="00020000" w:csb1="00000000"/>
  </w:font>
  <w:font w:name="ＭＳ 明朝">
    <w:altName w:val="书宋-简"/>
    <w:panose1 w:val="00000000000000000000"/>
    <w:charset w:val="86"/>
    <w:family w:val="auto"/>
    <w:pitch w:val="default"/>
    <w:sig w:usb0="00000000" w:usb1="00000000" w:usb2="00000000" w:usb3="00000000" w:csb0="00000000" w:csb1="00000000"/>
  </w:font>
  <w:font w:name="Helvetica">
    <w:altName w:val="书宋-简"/>
    <w:panose1 w:val="00000000000000000000"/>
    <w:charset w:val="00"/>
    <w:family w:val="auto"/>
    <w:pitch w:val="default"/>
    <w:sig w:usb0="00000000" w:usb1="00000000" w:usb2="00000000" w:usb3="00000000" w:csb0="00000000" w:csb1="00000000"/>
  </w:font>
  <w:font w:name="PingFang SC">
    <w:altName w:val="书宋-简"/>
    <w:panose1 w:val="00000000000000000000"/>
    <w:charset w:val="00"/>
    <w:family w:val="auto"/>
    <w:pitch w:val="default"/>
    <w:sig w:usb0="00000000" w:usb1="00000000" w:usb2="00000000" w:usb3="00000000" w:csb0="00000000" w:csb1="00000000"/>
  </w:font>
  <w:font w:name="ＭＳ ゴシック">
    <w:altName w:val="书宋-简"/>
    <w:panose1 w:val="00000000000000000000"/>
    <w:charset w:val="80"/>
    <w:family w:val="modern"/>
    <w:pitch w:val="default"/>
    <w:sig w:usb0="00000000" w:usb1="00000000" w:usb2="00000010" w:usb3="00000000" w:csb0="00020000" w:csb1="00000000"/>
  </w:font>
  <w:font w:name="ＭＳ 明朝">
    <w:altName w:val="书宋-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Courier">
    <w:altName w:val="DejaVu Math TeX Gyre"/>
    <w:panose1 w:val="02000500000000000000"/>
    <w:charset w:val="00"/>
    <w:family w:val="auto"/>
    <w:pitch w:val="default"/>
    <w:sig w:usb0="00000000" w:usb1="00000000" w:usb2="00000000" w:usb3="00000000" w:csb0="00000001" w:csb1="00000000"/>
  </w:font>
  <w:font w:name="DejaVu Math TeX Gyre">
    <w:panose1 w:val="02000503000000000000"/>
    <w:charset w:val="00"/>
    <w:family w:val="auto"/>
    <w:pitch w:val="default"/>
    <w:sig w:usb0="A10000EF" w:usb1="4A00F9EE" w:usb2="02000008" w:usb3="00000000" w:csb0="60000193" w:csb1="0DD40000"/>
  </w:font>
  <w:font w:name="Noto Sans Math">
    <w:panose1 w:val="00000000000000000000"/>
    <w:charset w:val="00"/>
    <w:family w:val="auto"/>
    <w:pitch w:val="default"/>
    <w:sig w:usb0="800000FF" w:usb1="0200ECEC" w:usb2="0200001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FFE86A"/>
    <w:rsid w:val="7FFB68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Helvetica" w:hAnsi="Helvetica" w:eastAsia="PingFang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Office_12.9.0.29106_F1E327BC-269C-435d-A152-05C5408002CA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dcterms:modified xsi:type="dcterms:W3CDTF">2026-10-08T11:42:51Z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2052-12.9.0.29106</vt:lpwstr>
  </property>
  <property fmtid="{D5CDD505-2E9C-101B-9397-08002B2CF9AE}" pid="3" name="ICV">
    <vt:lpwstr>EE565A3E089069313B11C76A1A8DB59C_43</vt:lpwstr>
  </property>
</Properties>
</file>