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jc w:val="center"/>
      </w:pPr>
      <w:r>
        <w:t>VISUAALNE IDENTITEET / CVI</w:t>
      </w:r>
    </w:p>
    <w:p>
      <w:pPr>
        <w:spacing w:before="1200"/>
        <w:jc w:val="center"/>
      </w:pPr>
      <w:r>
        <w:rPr>
          <w:rFonts w:ascii="Liberation Serif" w:hAnsi="Liberation Serif"/>
          <w:b/>
          <w:color w:val="285443"/>
          <w:sz w:val="88"/>
        </w:rPr>
        <w:t>ÜHIS</w:t>
      </w:r>
      <w:r>
        <w:rPr>
          <w:rFonts w:ascii="Liberation Serif" w:hAnsi="Liberation Serif"/>
          <w:b w:val="0"/>
          <w:color w:val="285443"/>
          <w:sz w:val="88"/>
        </w:rPr>
        <w:t>HANGE</w:t>
      </w:r>
    </w:p>
    <w:p>
      <w:pPr>
        <w:jc w:val="center"/>
      </w:pPr>
      <w:r>
        <w:rPr>
          <w:color w:val="C86848"/>
          <w:sz w:val="44"/>
        </w:rPr>
        <w:t>●  ●  ●  ●  ○</w:t>
      </w:r>
    </w:p>
    <w:p>
      <w:pPr>
        <w:spacing w:before="200"/>
        <w:jc w:val="center"/>
      </w:pPr>
      <w:r>
        <w:rPr>
          <w:rFonts w:ascii="Liberation Serif" w:hAnsi="Liberation Serif"/>
          <w:i/>
          <w:color w:val="272724"/>
          <w:sz w:val="34"/>
        </w:rPr>
        <w:t>Koos tellides tuleb parem hind.</w:t>
      </w:r>
    </w:p>
    <w:p>
      <w:pPr>
        <w:spacing w:before="700"/>
        <w:jc w:val="center"/>
      </w:pPr>
      <w:r>
        <w:rPr>
          <w:b/>
          <w:color w:val="285443"/>
          <w:sz w:val="20"/>
        </w:rPr>
        <w:t>Kohalik. Praktiline. Inimlik.</w:t>
      </w:r>
    </w:p>
    <w:p>
      <w:r>
        <w:rPr>
          <w:color w:val="285443"/>
          <w:sz w:val="14"/>
        </w:rPr>
        <w:t>━━━━━━━━━━━━━━━━━━━━━━━━━━━━━━━━━━━━━━━━━━━━━━━━</w:t>
      </w:r>
    </w:p>
    <w:p>
      <w:pPr>
        <w:pStyle w:val="Eyebrow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Brändi põhiidee</w:t>
      </w:r>
    </w:p>
    <w:p>
      <w:r>
        <w:t>Ühishange ühendab läheduses olevad inimesed ja organisatsioonid, et nad saaksid teenuseid koos tellida parematel tingimustel.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Brändi loogika</w:t>
            </w:r>
          </w:p>
          <w:p>
            <w:pPr>
              <w:spacing w:after="140"/>
            </w:pPr>
            <w:r>
              <w:t>koos  →  lähedal  →  praktiline  →  usaldusväärne  →  kasulik</w:t>
            </w:r>
          </w:p>
        </w:tc>
      </w:tr>
    </w:tbl>
    <w:p>
      <w:r>
        <w:t>Tehnoloogia töötab taustal. Kasutaja jaoks on tegemist lihtsa viisiga naabrite ja lähedaste organisatsioonidega jõud ühendada.</w:t>
      </w:r>
    </w:p>
    <w:p>
      <w:pPr>
        <w:pStyle w:val="Heading2"/>
      </w:pPr>
      <w:r>
        <w:t>Soovitud üldmulje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EEF2EC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Jah</w:t>
            </w:r>
          </w:p>
          <w:p>
            <w:pPr>
              <w:spacing w:after="140"/>
            </w:pPr>
            <w:r>
              <w:t>„Me teeme selle koos ära.“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EE9"/>
            <w:tcBorders>
              <w:top w:val="nil"/>
              <w:left w:val="single" w:sz="18" w:color="C86848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C86848"/>
                <w:sz w:val="24"/>
              </w:rPr>
              <w:t>Ei</w:t>
            </w:r>
          </w:p>
          <w:p>
            <w:pPr>
              <w:spacing w:after="140"/>
            </w:pPr>
            <w:r>
              <w:t>„Meie intelligentne platvorm revolutsioneerib hangete ökosüsteemi.“</w:t>
            </w:r>
          </w:p>
        </w:tc>
      </w:tr>
    </w:tbl>
    <w:p>
      <w:pPr>
        <w:pStyle w:val="Heading1"/>
      </w:pPr>
      <w:r>
        <w:t>2. Visuaalne karakter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E8EEE9"/>
            <w:vAlign w:val="center"/>
          </w:tcPr>
          <w:p>
            <w:r>
              <w:t>Ühishange on</w:t>
            </w:r>
          </w:p>
        </w:tc>
        <w:tc>
          <w:tcPr>
            <w:tcW w:type="dxa" w:w="4968"/>
            <w:shd w:fill="E8EEE9"/>
            <w:vAlign w:val="center"/>
          </w:tcPr>
          <w:p>
            <w:r>
              <w:t>Ühishange ei ole</w:t>
            </w:r>
          </w:p>
        </w:tc>
      </w:tr>
      <w:tr>
        <w:tc>
          <w:tcPr>
            <w:tcW w:type="dxa" w:w="4968"/>
          </w:tcPr>
          <w:p>
            <w:r>
              <w:t>soe</w:t>
            </w:r>
          </w:p>
        </w:tc>
        <w:tc>
          <w:tcPr>
            <w:tcW w:type="dxa" w:w="4968"/>
          </w:tcPr>
          <w:p>
            <w:r>
              <w:t>futuristlik</w:t>
            </w:r>
          </w:p>
        </w:tc>
      </w:tr>
      <w:tr>
        <w:tc>
          <w:tcPr>
            <w:tcW w:type="dxa" w:w="4968"/>
          </w:tcPr>
          <w:p>
            <w:r>
              <w:t>põhjamaine</w:t>
            </w:r>
          </w:p>
        </w:tc>
        <w:tc>
          <w:tcPr>
            <w:tcW w:type="dxa" w:w="4968"/>
          </w:tcPr>
          <w:p>
            <w:r>
              <w:t>neoonvärviline</w:t>
            </w:r>
          </w:p>
        </w:tc>
      </w:tr>
      <w:tr>
        <w:tc>
          <w:tcPr>
            <w:tcW w:type="dxa" w:w="4968"/>
          </w:tcPr>
          <w:p>
            <w:r>
              <w:t>rahulik</w:t>
            </w:r>
          </w:p>
        </w:tc>
        <w:tc>
          <w:tcPr>
            <w:tcW w:type="dxa" w:w="4968"/>
          </w:tcPr>
          <w:p>
            <w:r>
              <w:t>„tech blue“</w:t>
            </w:r>
          </w:p>
        </w:tc>
      </w:tr>
      <w:tr>
        <w:tc>
          <w:tcPr>
            <w:tcW w:type="dxa" w:w="4968"/>
          </w:tcPr>
          <w:p>
            <w:r>
              <w:t>praktiline</w:t>
            </w:r>
          </w:p>
        </w:tc>
        <w:tc>
          <w:tcPr>
            <w:tcW w:type="dxa" w:w="4968"/>
          </w:tcPr>
          <w:p>
            <w:r>
              <w:t>klaasjate gradientidega</w:t>
            </w:r>
          </w:p>
        </w:tc>
      </w:tr>
      <w:tr>
        <w:tc>
          <w:tcPr>
            <w:tcW w:type="dxa" w:w="4968"/>
          </w:tcPr>
          <w:p>
            <w:r>
              <w:t>kogukondlik</w:t>
            </w:r>
          </w:p>
        </w:tc>
        <w:tc>
          <w:tcPr>
            <w:tcW w:type="dxa" w:w="4968"/>
          </w:tcPr>
          <w:p>
            <w:r>
              <w:t>3D-renderdustega</w:t>
            </w:r>
          </w:p>
        </w:tc>
      </w:tr>
      <w:tr>
        <w:tc>
          <w:tcPr>
            <w:tcW w:type="dxa" w:w="4968"/>
          </w:tcPr>
          <w:p>
            <w:r>
              <w:t>usaldusväärne</w:t>
            </w:r>
          </w:p>
        </w:tc>
        <w:tc>
          <w:tcPr>
            <w:tcW w:type="dxa" w:w="4968"/>
          </w:tcPr>
          <w:p>
            <w:r>
              <w:t>robotite või ajude kujutistega</w:t>
            </w:r>
          </w:p>
        </w:tc>
      </w:tr>
      <w:tr>
        <w:tc>
          <w:tcPr>
            <w:tcW w:type="dxa" w:w="4968"/>
          </w:tcPr>
          <w:p>
            <w:r>
              <w:t>lihtne</w:t>
            </w:r>
          </w:p>
        </w:tc>
        <w:tc>
          <w:tcPr>
            <w:tcW w:type="dxa" w:w="4968"/>
          </w:tcPr>
          <w:p>
            <w:r>
              <w:t>abstraktse AI-võrgustiku moodi</w:t>
            </w:r>
          </w:p>
        </w:tc>
      </w:tr>
      <w:tr>
        <w:tc>
          <w:tcPr>
            <w:tcW w:type="dxa" w:w="4968"/>
          </w:tcPr>
          <w:p>
            <w:r>
              <w:t>inimlik</w:t>
            </w:r>
          </w:p>
        </w:tc>
        <w:tc>
          <w:tcPr>
            <w:tcW w:type="dxa" w:w="4968"/>
          </w:tcPr>
          <w:p>
            <w:r>
              <w:t>liiga korporatiivne</w:t>
            </w:r>
          </w:p>
        </w:tc>
      </w:tr>
    </w:tbl>
    <w:p>
      <w:pPr>
        <w:pStyle w:val="Heading1"/>
      </w:pPr>
      <w:r>
        <w:t>3. Logo</w:t>
      </w:r>
    </w:p>
    <w:p>
      <w:pPr>
        <w:pStyle w:val="Heading2"/>
      </w:pPr>
      <w:r>
        <w:t>Põhilogo</w:t>
      </w:r>
    </w:p>
    <w:p>
      <w:r>
        <w:t>Logo põhineb tugeval sõnamärgil. Sõnaosa „ÜHIS“ võib olla veidi tugevama kirjakaaluga kui „HANGE“, et visualiseerida brändi põhiolemust ilma eraldi selgituseta.</w:t>
      </w:r>
    </w:p>
    <w:p>
      <w:pPr>
        <w:spacing w:before="240" w:after="240"/>
        <w:jc w:val="center"/>
      </w:pPr>
      <w:r>
        <w:rPr>
          <w:b/>
          <w:color w:val="285443"/>
          <w:sz w:val="60"/>
        </w:rPr>
        <w:t>ÜHIS</w:t>
      </w:r>
      <w:r>
        <w:rPr>
          <w:color w:val="285443"/>
          <w:sz w:val="60"/>
        </w:rPr>
        <w:t>HANGE</w:t>
      </w:r>
    </w:p>
    <w:p>
      <w:pPr>
        <w:pStyle w:val="Heading2"/>
      </w:pPr>
      <w:r>
        <w:t>Märgi idee</w:t>
      </w:r>
    </w:p>
    <w:p>
      <w:r>
        <w:t>Eraldi logoikoon võiks koosneda kolmest lihtsast kujundist, mis liituvad üheks tervikuks. Need võivad meenutada korraga maju, inimesi, piirkonda ja tellimusi. Kujundid ei pea olema ideaalselt sümmeetrilised; kerge orgaanilisus muudab identiteedi inimlikumaks.</w:t>
      </w:r>
    </w:p>
    <w:p>
      <w:pPr>
        <w:pStyle w:val="Heading2"/>
      </w:pPr>
      <w:r>
        <w:t>Logo juures vältida</w:t>
      </w:r>
    </w:p>
    <w:p>
      <w:pPr>
        <w:pStyle w:val="ListBullet"/>
        <w:spacing w:after="40"/>
      </w:pPr>
      <w:r>
        <w:t>AI-sädelust ja „sparkle“ sümboleid</w:t>
      </w:r>
    </w:p>
    <w:p>
      <w:pPr>
        <w:pStyle w:val="ListBullet"/>
        <w:spacing w:after="40"/>
      </w:pPr>
      <w:r>
        <w:t>kuusnurki</w:t>
      </w:r>
    </w:p>
    <w:p>
      <w:pPr>
        <w:pStyle w:val="ListBullet"/>
        <w:spacing w:after="40"/>
      </w:pPr>
      <w:r>
        <w:t>neuronivõrgu punkte ja ühendusjooni</w:t>
      </w:r>
    </w:p>
    <w:p>
      <w:pPr>
        <w:pStyle w:val="ListBullet"/>
        <w:spacing w:after="40"/>
      </w:pPr>
      <w:r>
        <w:t>roboti pead või digitaalset aju</w:t>
      </w:r>
    </w:p>
    <w:p>
      <w:pPr>
        <w:pStyle w:val="ListBullet"/>
        <w:spacing w:after="40"/>
      </w:pPr>
      <w:r>
        <w:t>lõpmatuse märki</w:t>
      </w:r>
    </w:p>
    <w:p>
      <w:pPr>
        <w:pStyle w:val="ListBullet"/>
        <w:spacing w:after="40"/>
      </w:pPr>
      <w:r>
        <w:t>sinise-lilla gradienti</w:t>
      </w:r>
    </w:p>
    <w:p>
      <w:pPr>
        <w:pStyle w:val="ListBullet"/>
        <w:spacing w:after="40"/>
      </w:pPr>
      <w:r>
        <w:t>3D-isomeetrilist märki</w:t>
      </w:r>
    </w:p>
    <w:p>
      <w:r>
        <w:br w:type="page"/>
      </w:r>
    </w:p>
    <w:p>
      <w:pPr>
        <w:pStyle w:val="Heading1"/>
      </w:pPr>
      <w:r>
        <w:t>4. Värvipalett</w:t>
      </w:r>
    </w:p>
    <w:p>
      <w:r>
        <w:t>Identiteedi alus on looduslik, mahe ja soe värvipalett. Värvid peavad toetama kohalikkust ja usaldust, mitte tehnoloogilist futurismi.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285443"/>
          </w:tcPr>
          <w:p>
            <w:r>
              <w:rPr>
                <w:b/>
                <w:color w:val="FFFFFF"/>
              </w:rPr>
              <w:t>Värv</w:t>
            </w:r>
          </w:p>
        </w:tc>
        <w:tc>
          <w:tcPr>
            <w:tcW w:type="dxa" w:w="2484"/>
            <w:shd w:fill="285443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484"/>
            <w:shd w:fill="285443"/>
          </w:tcPr>
          <w:p>
            <w:r>
              <w:rPr>
                <w:b/>
                <w:color w:val="FFFFFF"/>
              </w:rPr>
              <w:t>Roll</w:t>
            </w:r>
          </w:p>
        </w:tc>
        <w:tc>
          <w:tcPr>
            <w:tcW w:type="dxa" w:w="2484"/>
            <w:shd w:fill="285443"/>
          </w:tcPr>
          <w:p>
            <w:r>
              <w:rPr>
                <w:b/>
                <w:color w:val="FFFFFF"/>
              </w:rPr>
              <w:t>Kasutus</w:t>
            </w:r>
          </w:p>
        </w:tc>
      </w:tr>
      <w:tr>
        <w:tc>
          <w:tcPr>
            <w:tcW w:type="dxa" w:w="2484"/>
            <w:shd w:fill="285443"/>
          </w:tcPr>
          <w:p>
            <w:r>
              <w:rPr>
                <w:b/>
                <w:color w:val="FFFFFF"/>
              </w:rPr>
              <w:t>Metsaroheline</w:t>
            </w:r>
          </w:p>
        </w:tc>
        <w:tc>
          <w:tcPr>
            <w:tcW w:type="dxa" w:w="2484"/>
          </w:tcPr>
          <w:p>
            <w:r>
              <w:t>#285443</w:t>
            </w:r>
          </w:p>
        </w:tc>
        <w:tc>
          <w:tcPr>
            <w:tcW w:type="dxa" w:w="2484"/>
          </w:tcPr>
          <w:p>
            <w:r>
              <w:t>Peamine brändivärv</w:t>
            </w:r>
          </w:p>
        </w:tc>
        <w:tc>
          <w:tcPr>
            <w:tcW w:type="dxa" w:w="2484"/>
          </w:tcPr>
          <w:p>
            <w:r>
              <w:t>Logo, põhimenüü, CTA-nupud, ikoonid, olulised pealkirjad</w:t>
            </w:r>
          </w:p>
        </w:tc>
      </w:tr>
      <w:tr>
        <w:tc>
          <w:tcPr>
            <w:tcW w:type="dxa" w:w="2484"/>
            <w:shd w:fill="F5F1E8"/>
          </w:tcPr>
          <w:p>
            <w:r>
              <w:t>Soe hele</w:t>
            </w:r>
          </w:p>
        </w:tc>
        <w:tc>
          <w:tcPr>
            <w:tcW w:type="dxa" w:w="2484"/>
          </w:tcPr>
          <w:p>
            <w:r>
              <w:t>#F5F1E8</w:t>
            </w:r>
          </w:p>
        </w:tc>
        <w:tc>
          <w:tcPr>
            <w:tcW w:type="dxa" w:w="2484"/>
          </w:tcPr>
          <w:p>
            <w:r>
              <w:t>Peamine taust</w:t>
            </w:r>
          </w:p>
        </w:tc>
        <w:tc>
          <w:tcPr>
            <w:tcW w:type="dxa" w:w="2484"/>
          </w:tcPr>
          <w:p>
            <w:r>
              <w:t>Suured taustapinnad; eelistada puhtale valgele</w:t>
            </w:r>
          </w:p>
        </w:tc>
      </w:tr>
      <w:tr>
        <w:tc>
          <w:tcPr>
            <w:tcW w:type="dxa" w:w="2484"/>
            <w:shd w:fill="272724"/>
          </w:tcPr>
          <w:p>
            <w:r>
              <w:rPr>
                <w:b/>
                <w:color w:val="FFFFFF"/>
              </w:rPr>
              <w:t>Süsi</w:t>
            </w:r>
          </w:p>
        </w:tc>
        <w:tc>
          <w:tcPr>
            <w:tcW w:type="dxa" w:w="2484"/>
          </w:tcPr>
          <w:p>
            <w:r>
              <w:t>#272724</w:t>
            </w:r>
          </w:p>
        </w:tc>
        <w:tc>
          <w:tcPr>
            <w:tcW w:type="dxa" w:w="2484"/>
          </w:tcPr>
          <w:p>
            <w:r>
              <w:t>Põhitekst</w:t>
            </w:r>
          </w:p>
        </w:tc>
        <w:tc>
          <w:tcPr>
            <w:tcW w:type="dxa" w:w="2484"/>
          </w:tcPr>
          <w:p>
            <w:r>
              <w:t>Musta asemel soe väga tume hall</w:t>
            </w:r>
          </w:p>
        </w:tc>
      </w:tr>
      <w:tr>
        <w:tc>
          <w:tcPr>
            <w:tcW w:type="dxa" w:w="2484"/>
            <w:shd w:fill="D8D5CC"/>
          </w:tcPr>
          <w:p>
            <w:r>
              <w:t>Kivihall</w:t>
            </w:r>
          </w:p>
        </w:tc>
        <w:tc>
          <w:tcPr>
            <w:tcW w:type="dxa" w:w="2484"/>
          </w:tcPr>
          <w:p>
            <w:r>
              <w:t>#D8D5CC</w:t>
            </w:r>
          </w:p>
        </w:tc>
        <w:tc>
          <w:tcPr>
            <w:tcW w:type="dxa" w:w="2484"/>
          </w:tcPr>
          <w:p>
            <w:r>
              <w:t>Neutraalne toon</w:t>
            </w:r>
          </w:p>
        </w:tc>
        <w:tc>
          <w:tcPr>
            <w:tcW w:type="dxa" w:w="2484"/>
          </w:tcPr>
          <w:p>
            <w:r>
              <w:t>Piirjooned, kaardid, tabelid, mitteaktiivsed elemendid</w:t>
            </w:r>
          </w:p>
        </w:tc>
      </w:tr>
      <w:tr>
        <w:tc>
          <w:tcPr>
            <w:tcW w:type="dxa" w:w="2484"/>
            <w:shd w:fill="C86848"/>
          </w:tcPr>
          <w:p>
            <w:r>
              <w:rPr>
                <w:b/>
                <w:color w:val="FFFFFF"/>
              </w:rPr>
              <w:t>Savipunane</w:t>
            </w:r>
          </w:p>
        </w:tc>
        <w:tc>
          <w:tcPr>
            <w:tcW w:type="dxa" w:w="2484"/>
          </w:tcPr>
          <w:p>
            <w:r>
              <w:t>#C86848</w:t>
            </w:r>
          </w:p>
        </w:tc>
        <w:tc>
          <w:tcPr>
            <w:tcW w:type="dxa" w:w="2484"/>
          </w:tcPr>
          <w:p>
            <w:r>
              <w:t>Aktsent</w:t>
            </w:r>
          </w:p>
        </w:tc>
        <w:tc>
          <w:tcPr>
            <w:tcW w:type="dxa" w:w="2484"/>
          </w:tcPr>
          <w:p>
            <w:r>
              <w:t>Oluline number, tähtaeg, aktiivne hange, marker, väiksem CTA</w:t>
            </w:r>
          </w:p>
        </w:tc>
      </w:tr>
      <w:tr>
        <w:tc>
          <w:tcPr>
            <w:tcW w:type="dxa" w:w="2484"/>
            <w:shd w:fill="8EA98E"/>
          </w:tcPr>
          <w:p>
            <w:r>
              <w:t>Salveiroheline</w:t>
            </w:r>
          </w:p>
        </w:tc>
        <w:tc>
          <w:tcPr>
            <w:tcW w:type="dxa" w:w="2484"/>
          </w:tcPr>
          <w:p>
            <w:r>
              <w:t>#8EA98E</w:t>
            </w:r>
          </w:p>
        </w:tc>
        <w:tc>
          <w:tcPr>
            <w:tcW w:type="dxa" w:w="2484"/>
          </w:tcPr>
          <w:p>
            <w:r>
              <w:t>Positiivne olek</w:t>
            </w:r>
          </w:p>
        </w:tc>
        <w:tc>
          <w:tcPr>
            <w:tcW w:type="dxa" w:w="2484"/>
          </w:tcPr>
          <w:p>
            <w:r>
              <w:t>Õnnestunud hange, tingimus täidetud, leping kinnitatud</w:t>
            </w:r>
          </w:p>
        </w:tc>
      </w:tr>
      <w:tr>
        <w:tc>
          <w:tcPr>
            <w:tcW w:type="dxa" w:w="2484"/>
            <w:shd w:fill="D8A945"/>
          </w:tcPr>
          <w:p>
            <w:r>
              <w:t>Soe kollane</w:t>
            </w:r>
          </w:p>
        </w:tc>
        <w:tc>
          <w:tcPr>
            <w:tcW w:type="dxa" w:w="2484"/>
          </w:tcPr>
          <w:p>
            <w:r>
              <w:t>#D8A945</w:t>
            </w:r>
          </w:p>
        </w:tc>
        <w:tc>
          <w:tcPr>
            <w:tcW w:type="dxa" w:w="2484"/>
          </w:tcPr>
          <w:p>
            <w:r>
              <w:t>Hoiatus</w:t>
            </w:r>
          </w:p>
        </w:tc>
        <w:tc>
          <w:tcPr>
            <w:tcW w:type="dxa" w:w="2484"/>
          </w:tcPr>
          <w:p>
            <w:r>
              <w:t>„Veel 1 osaleja vajalik“ ja muud tähelepanu nõudvad olekud</w:t>
            </w:r>
          </w:p>
        </w:tc>
      </w:tr>
    </w:tbl>
    <w:p>
      <w:pPr>
        <w:pStyle w:val="Heading2"/>
      </w:pPr>
      <w:r>
        <w:t>Värvide kasutamise proportsioon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5F1E8"/>
            <w:vAlign w:val="center"/>
          </w:tcPr>
          <w:p>
            <w:pPr>
              <w:jc w:val="center"/>
            </w:pPr>
            <w:r>
              <w:t>60%</w:t>
              <w:br/>
              <w:t>Soe hele</w:t>
            </w:r>
          </w:p>
        </w:tc>
        <w:tc>
          <w:tcPr>
            <w:tcW w:type="dxa" w:w="2484"/>
            <w:shd w:fill="FFFFFF"/>
            <w:vAlign w:val="center"/>
          </w:tcPr>
          <w:p>
            <w:pPr>
              <w:jc w:val="center"/>
            </w:pPr>
            <w:r>
              <w:t>25%</w:t>
              <w:br/>
              <w:t>Valge / neutraalne</w:t>
            </w:r>
          </w:p>
        </w:tc>
        <w:tc>
          <w:tcPr>
            <w:tcW w:type="dxa" w:w="2484"/>
            <w:shd w:fill="28544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10%</w:t>
              <w:br/>
              <w:t>Metsaroheline</w:t>
            </w:r>
          </w:p>
        </w:tc>
        <w:tc>
          <w:tcPr>
            <w:tcW w:type="dxa" w:w="2484"/>
            <w:shd w:fill="C8684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5%</w:t>
              <w:br/>
              <w:t>Aktsentvärvid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Põhimõte</w:t>
            </w:r>
          </w:p>
          <w:p>
            <w:pPr>
              <w:spacing w:after="140"/>
            </w:pPr>
            <w:r>
              <w:t>Mida vähem värve korraga, seda usaldusväärsem tulemus.</w:t>
            </w:r>
          </w:p>
        </w:tc>
      </w:tr>
    </w:tbl>
    <w:p>
      <w:pPr>
        <w:pStyle w:val="Heading1"/>
      </w:pPr>
      <w:r>
        <w:t>5. Tüpograafia</w:t>
      </w:r>
    </w:p>
    <w:p>
      <w:pPr>
        <w:pStyle w:val="Heading2"/>
      </w:pPr>
      <w:r>
        <w:t>Pealkirjad — Lora</w:t>
      </w:r>
    </w:p>
    <w:p>
      <w:r>
        <w:t>Soovituslikud kaalud: Lora SemiBold 600 ja Lora Bold 700. Serif-kirjatüüp annab identiteedile inimlikuma ja institutsionaalsema iseloomu ning eristab seda tüüpilisest SaaS-rakendusest.</w:t>
      </w:r>
    </w:p>
    <w:p>
      <w:r>
        <w:rPr>
          <w:rFonts w:ascii="Liberation Serif" w:hAnsi="Liberation Serif"/>
          <w:b/>
          <w:color w:val="285443"/>
          <w:sz w:val="40"/>
        </w:rPr>
        <w:t>Koos tellides tuleb parem hind.</w:t>
      </w:r>
    </w:p>
    <w:p>
      <w:pPr>
        <w:pStyle w:val="Heading2"/>
      </w:pPr>
      <w:r>
        <w:t>Kasutajaliides ja põhitekst — Work Sans</w:t>
      </w:r>
    </w:p>
    <w:p>
      <w:r>
        <w:t>Soovituslikud kaalud: Regular 400, Medium 500 ja SemiBold 600. Kasutada navigatsioonis, nuppudel, vormidel, pakkumistes, tabelites ja väiksemates tekstides.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Tüpograafiline põhimõte</w:t>
            </w:r>
          </w:p>
          <w:p>
            <w:pPr>
              <w:spacing w:after="140"/>
            </w:pPr>
            <w:r>
              <w:t>Pealkiri võib olla soe ja iseloomuga. Kasutajaliides peab olema võimalikult lihtne.</w:t>
            </w:r>
          </w:p>
        </w:tc>
      </w:tr>
    </w:tbl>
    <w:p>
      <w:r>
        <w:br w:type="page"/>
      </w:r>
    </w:p>
    <w:p>
      <w:pPr>
        <w:pStyle w:val="Heading1"/>
      </w:pPr>
      <w:r>
        <w:t>6. Fotograafia ja illustratsioon</w:t>
      </w:r>
    </w:p>
    <w:p>
      <w:pPr>
        <w:pStyle w:val="Heading2"/>
      </w:pPr>
      <w:r>
        <w:t>Fotograafia</w:t>
      </w:r>
    </w:p>
    <w:p>
      <w:r>
        <w:t>Fotodel peavad olema päris kohad ja päris tegevused. Stiil võiks olla dokumentaalne, mitte stock-fotolik.</w:t>
      </w:r>
    </w:p>
    <w:p>
      <w:pPr>
        <w:pStyle w:val="ListBullet"/>
        <w:spacing w:after="40"/>
      </w:pPr>
      <w:r>
        <w:t>kortermajad ja väikesed büroohooned</w:t>
      </w:r>
    </w:p>
    <w:p>
      <w:pPr>
        <w:pStyle w:val="ListBullet"/>
        <w:spacing w:after="40"/>
      </w:pPr>
      <w:r>
        <w:t>hoovid, tänavad ja parkimisplatsid</w:t>
      </w:r>
    </w:p>
    <w:p>
      <w:pPr>
        <w:pStyle w:val="ListBullet"/>
        <w:spacing w:after="40"/>
      </w:pPr>
      <w:r>
        <w:t>lumekoristus, muruniitmine ja muud hooldustööd</w:t>
      </w:r>
    </w:p>
    <w:p>
      <w:pPr>
        <w:pStyle w:val="ListBullet"/>
        <w:spacing w:after="40"/>
      </w:pPr>
      <w:r>
        <w:t>prügimajandus, remont, tellingud ja haljastus</w:t>
      </w:r>
    </w:p>
    <w:p>
      <w:pPr>
        <w:pStyle w:val="ListBullet"/>
        <w:spacing w:after="40"/>
      </w:pPr>
      <w:r>
        <w:t>inimesed objekti juures või teenusepakkujaga suhtlemas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EEF2EC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Pigem</w:t>
            </w:r>
          </w:p>
          <w:p>
            <w:pPr>
              <w:spacing w:after="140"/>
            </w:pPr>
            <w:r>
              <w:t>Tavaline Eesti kortermaja talvehommikul.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7EEE9"/>
            <w:tcBorders>
              <w:top w:val="nil"/>
              <w:left w:val="single" w:sz="18" w:color="C86848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C86848"/>
                <w:sz w:val="24"/>
              </w:rPr>
              <w:t>Mitte</w:t>
            </w:r>
          </w:p>
          <w:p>
            <w:pPr>
              <w:spacing w:after="140"/>
            </w:pPr>
            <w:r>
              <w:t>Perfektselt valgustatud stock-foto naeratavatest ärimeestest.</w:t>
            </w:r>
          </w:p>
        </w:tc>
      </w:tr>
    </w:tbl>
    <w:p>
      <w:pPr>
        <w:pStyle w:val="Heading2"/>
      </w:pPr>
      <w:r>
        <w:t>Illustratsioonid</w:t>
      </w:r>
    </w:p>
    <w:p>
      <w:r>
        <w:t>Kui kasutatakse illustratsioone, peavad need olema lihtsad: lamedad kujundid, ühetaoline joonepaksus, veidi ebatäiuslik tunnetus ja maksimaalselt 2–3 värvi illustratsiooni kohta.</w:t>
      </w:r>
    </w:p>
    <w:p>
      <w:pPr>
        <w:jc w:val="center"/>
      </w:pPr>
      <w:r>
        <w:rPr>
          <w:color w:val="285443"/>
          <w:sz w:val="32"/>
        </w:rPr>
        <w:t>🏠  +  🏠  +  🏠  →  üks ühine teenus</w:t>
      </w:r>
    </w:p>
    <w:p>
      <w:pPr>
        <w:pStyle w:val="Heading2"/>
      </w:pPr>
      <w:r>
        <w:t>Ikoonid</w:t>
      </w:r>
    </w:p>
    <w:p>
      <w:r>
        <w:t>Ikoonid on joonepõhised, ümardatud nurkadega, lihtsad ja ühevärvilised. Joon võib olla natuke tugevam kui tüüpilises SaaS-liideses.</w:t>
      </w:r>
    </w:p>
    <w:p>
      <w:r>
        <w:t>Näited: maja · lumelükkamine · muru · prügi · remont · elekter · koristus · asukoht · inimesed · pakkumine</w:t>
      </w:r>
    </w:p>
    <w:p>
      <w:r>
        <w:br w:type="page"/>
      </w:r>
    </w:p>
    <w:p>
      <w:pPr>
        <w:pStyle w:val="Heading1"/>
      </w:pPr>
      <w:r>
        <w:t>7. Kujundikeel ja kasutajaliides</w:t>
      </w:r>
    </w:p>
    <w:p>
      <w:r>
        <w:t>Põhielemendiks võib võtta 8–12 px ümardusega ristküliku. Kaardid võiksid meenutada pigem teadetetahvli või pakkumiskaarte kui abstraktseid dashboard-widget’e.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Hankekaardi näide</w:t>
            </w:r>
          </w:p>
          <w:p>
            <w:pPr>
              <w:spacing w:after="140"/>
            </w:pPr>
            <w:r>
              <w:t>LUMEKORISTUS · KADRIORG</w:t>
              <w:br/>
              <w:br/>
              <w:t>4 ühistut on juba liitunud</w:t>
              <w:br/>
              <w:t>● ● ● ● ○   4 / 5</w:t>
              <w:br/>
              <w:br/>
              <w:t>Alates 15 € / kord</w:t>
              <w:br/>
              <w:t>Vaja veel ühte osalejat</w:t>
              <w:br/>
              <w:br/>
              <w:t>[ Vaata hanget ]</w:t>
            </w:r>
          </w:p>
        </w:tc>
      </w:tr>
    </w:tbl>
    <w:p>
      <w:pPr>
        <w:pStyle w:val="Heading1"/>
      </w:pPr>
      <w:r>
        <w:t>8. Kaart kui identiteedi osa</w:t>
      </w:r>
    </w:p>
    <w:p>
      <w:r>
        <w:t>Asukoht on Ühishanke idee keskne element. Seetõttu võib kaart olla visuaalselt tähtsam kui tavalisel marketplace’il. Kaart peab olema rahuliku värvilahendusega; markerite põhivärv on savipunane #C86848.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Näide</w:t>
            </w:r>
          </w:p>
          <w:p>
            <w:pPr>
              <w:spacing w:after="140"/>
            </w:pPr>
            <w:r>
              <w:t>Teie lähedal otsitakse praegu</w:t>
              <w:br/>
              <w:br/>
              <w:t>● Lumekoristus – 240 m</w:t>
              <w:br/>
              <w:t>● Muruhooldus – 410 m</w:t>
              <w:br/>
              <w:t>● Prügimaja pesu – 520 m</w:t>
            </w:r>
          </w:p>
        </w:tc>
      </w:tr>
    </w:tbl>
    <w:p>
      <w:pPr>
        <w:pStyle w:val="Heading1"/>
      </w:pPr>
      <w:r>
        <w:t>9. Progress kui brändielement</w:t>
      </w:r>
    </w:p>
    <w:p>
      <w:r>
        <w:t>Ühishanke kõige iseloomulikum UI-element võiks olla osalejate täitumise indikaator. See võib kujuneda kogu teenuse äratuntavaks visuaalseks motiiviks.</w:t>
      </w:r>
    </w:p>
    <w:p>
      <w:pPr>
        <w:jc w:val="center"/>
      </w:pPr>
      <w:r>
        <w:rPr>
          <w:color w:val="C86848"/>
          <w:sz w:val="52"/>
        </w:rPr>
        <w:t>●  ●  ●  ●  ○</w:t>
      </w:r>
    </w:p>
    <w:p>
      <w:pPr>
        <w:jc w:val="center"/>
      </w:pPr>
      <w:r>
        <w:rPr>
          <w:b/>
          <w:color w:val="285443"/>
          <w:sz w:val="34"/>
        </w:rPr>
        <w:t>4 / 5 liitunud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EEF2EC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Oluline hetk</w:t>
            </w:r>
          </w:p>
          <w:p>
            <w:pPr>
              <w:spacing w:after="140"/>
            </w:pPr>
            <w:r>
              <w:t>5 / 5  —  Ühishange läheb teoks!</w:t>
              <w:br/>
              <w:br/>
              <w:t>See peab tunduma sündmusena, mitte lihtsalt staatuse muutusena andmebaasis.</w:t>
            </w:r>
          </w:p>
        </w:tc>
      </w:tr>
    </w:tbl>
    <w:p>
      <w:pPr>
        <w:pStyle w:val="Heading1"/>
      </w:pPr>
      <w:r>
        <w:t>10. Keelekasutus</w:t>
      </w:r>
    </w:p>
    <w:p>
      <w:r>
        <w:t>Bränd räägib tavainimese keeles. Tehnoloogiline terminoloogia ei ole kasutaja jaoks väärtuspakkumine.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85443"/>
          </w:tcPr>
          <w:p>
            <w:r>
              <w:rPr>
                <w:b/>
                <w:color w:val="FFFFFF"/>
              </w:rPr>
              <w:t>Vältida</w:t>
            </w:r>
          </w:p>
        </w:tc>
        <w:tc>
          <w:tcPr>
            <w:tcW w:type="dxa" w:w="4968"/>
            <w:shd w:fill="285443"/>
          </w:tcPr>
          <w:p>
            <w:r>
              <w:rPr>
                <w:b/>
                <w:color w:val="FFFFFF"/>
              </w:rPr>
              <w:t>Eelistada</w:t>
            </w:r>
          </w:p>
        </w:tc>
      </w:tr>
      <w:tr>
        <w:tc>
          <w:tcPr>
            <w:tcW w:type="dxa" w:w="4968"/>
          </w:tcPr>
          <w:p>
            <w:r>
              <w:t>procurement ecosystem</w:t>
            </w:r>
          </w:p>
        </w:tc>
        <w:tc>
          <w:tcPr>
            <w:tcW w:type="dxa" w:w="4968"/>
          </w:tcPr>
          <w:p>
            <w:r>
              <w:t>Leia teised, kellel on sama vajadus.</w:t>
            </w:r>
          </w:p>
        </w:tc>
      </w:tr>
      <w:tr>
        <w:tc>
          <w:tcPr>
            <w:tcW w:type="dxa" w:w="4968"/>
          </w:tcPr>
          <w:p>
            <w:r>
              <w:t>AI-powered matching</w:t>
            </w:r>
          </w:p>
        </w:tc>
        <w:tc>
          <w:tcPr>
            <w:tcW w:type="dxa" w:w="4968"/>
          </w:tcPr>
          <w:p>
            <w:r>
              <w:t>Tehke üks tellimus koos.</w:t>
            </w:r>
          </w:p>
        </w:tc>
      </w:tr>
      <w:tr>
        <w:tc>
          <w:tcPr>
            <w:tcW w:type="dxa" w:w="4968"/>
          </w:tcPr>
          <w:p>
            <w:r>
              <w:t>aggregated demand engine</w:t>
            </w:r>
          </w:p>
        </w:tc>
        <w:tc>
          <w:tcPr>
            <w:tcW w:type="dxa" w:w="4968"/>
          </w:tcPr>
          <w:p>
            <w:r>
              <w:t>Mida rohkem liitujaid, seda parem pakkumine.</w:t>
            </w:r>
          </w:p>
        </w:tc>
      </w:tr>
      <w:tr>
        <w:tc>
          <w:tcPr>
            <w:tcW w:type="dxa" w:w="4968"/>
          </w:tcPr>
          <w:p>
            <w:r>
              <w:t>smart procurement</w:t>
            </w:r>
          </w:p>
        </w:tc>
        <w:tc>
          <w:tcPr>
            <w:tcW w:type="dxa" w:w="4968"/>
          </w:tcPr>
          <w:p>
            <w:r>
              <w:t>Veel üks naaber ja hange läheb töösse.</w:t>
            </w:r>
          </w:p>
        </w:tc>
      </w:tr>
      <w:tr>
        <w:tc>
          <w:tcPr>
            <w:tcW w:type="dxa" w:w="4968"/>
          </w:tcPr>
          <w:p>
            <w:r>
              <w:t>dynamic marketplace optimization</w:t>
            </w:r>
          </w:p>
        </w:tc>
        <w:tc>
          <w:tcPr>
            <w:tcW w:type="dxa" w:w="4968"/>
          </w:tcPr>
          <w:p>
            <w:r>
              <w:t>Hange õnnestus. Teenusepakkuja võib tööga alustada.</w:t>
            </w:r>
          </w:p>
        </w:tc>
      </w:tr>
    </w:tbl>
    <w:p>
      <w:pPr>
        <w:pStyle w:val="Heading1"/>
      </w:pPr>
      <w:r>
        <w:t>11. Brändi põhilaused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EEF2EC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Peamine kandidaat</w:t>
            </w:r>
          </w:p>
          <w:p>
            <w:pPr>
              <w:spacing w:after="140"/>
            </w:pPr>
            <w:r>
              <w:t>Koos tellides tuleb parem hind.</w:t>
            </w:r>
          </w:p>
        </w:tc>
      </w:tr>
    </w:tbl>
    <w:p>
      <w:pPr>
        <w:pStyle w:val="ListBullet"/>
        <w:spacing w:after="40"/>
      </w:pPr>
      <w:r>
        <w:t>Üks vajadus. Mitu tellijat. Parem pakkumine.</w:t>
      </w:r>
    </w:p>
    <w:p>
      <w:pPr>
        <w:pStyle w:val="ListBullet"/>
        <w:spacing w:after="40"/>
      </w:pPr>
      <w:r>
        <w:t>Naabrid kokku. Hind alla.</w:t>
      </w:r>
    </w:p>
    <w:p>
      <w:pPr>
        <w:pStyle w:val="ListBullet"/>
        <w:spacing w:after="40"/>
      </w:pPr>
      <w:r>
        <w:t>Teeme koos.</w:t>
      </w:r>
    </w:p>
    <w:p>
      <w:pPr>
        <w:pStyle w:val="ListBullet"/>
        <w:spacing w:after="40"/>
      </w:pPr>
      <w:r>
        <w:t>Üksi vajadus. Koos hange.</w:t>
      </w:r>
    </w:p>
    <w:p>
      <w:pPr>
        <w:pStyle w:val="Heading2"/>
      </w:pPr>
      <w:r>
        <w:t>Avalehe põhitekst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Koos tellides tuleb parem hind.</w:t>
            </w:r>
          </w:p>
          <w:p>
            <w:pPr>
              <w:spacing w:after="140"/>
            </w:pPr>
            <w:r>
              <w:t>Ühenda enda vajadus läheduses olevate teiste tellijatega ja küsi teenusepakkujatelt ühine pakkumine.</w:t>
              <w:br/>
              <w:br/>
              <w:t>[ Alusta ühishanget ]</w:t>
            </w:r>
          </w:p>
        </w:tc>
      </w:tr>
    </w:tbl>
    <w:p>
      <w:r>
        <w:br w:type="page"/>
      </w:r>
    </w:p>
    <w:p>
      <w:pPr>
        <w:pStyle w:val="Heading1"/>
      </w:pPr>
      <w:r>
        <w:t>12. UI põhimõtted</w:t>
      </w:r>
    </w:p>
    <w:p>
      <w:r>
        <w:t>Kasutajaliides ei peaks meenutama professionaalset hankesüsteemi. Kasutaja peab kogu protsessist aru saama umbes viie sekundiga.</w:t>
      </w:r>
    </w:p>
    <w:p>
      <w:pPr>
        <w:pStyle w:val="ListNumber"/>
        <w:spacing w:after="40"/>
      </w:pPr>
      <w:r>
        <w:t>Keegi alustab</w:t>
      </w:r>
    </w:p>
    <w:p>
      <w:pPr>
        <w:pStyle w:val="ListNumber"/>
        <w:spacing w:after="40"/>
      </w:pPr>
      <w:r>
        <w:t>Naabrid liituvad</w:t>
      </w:r>
    </w:p>
    <w:p>
      <w:pPr>
        <w:pStyle w:val="ListNumber"/>
        <w:spacing w:after="40"/>
      </w:pPr>
      <w:r>
        <w:t>Teenusepakkujad pakuvad</w:t>
      </w:r>
    </w:p>
    <w:p>
      <w:pPr>
        <w:pStyle w:val="ListNumber"/>
        <w:spacing w:after="40"/>
      </w:pPr>
      <w:r>
        <w:t>Vajalik arv osalejaid täitub</w:t>
      </w:r>
    </w:p>
    <w:p>
      <w:pPr>
        <w:pStyle w:val="ListNumber"/>
        <w:spacing w:after="40"/>
      </w:pPr>
      <w:r>
        <w:t>Töö läheb käiku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Järjepidevus</w:t>
            </w:r>
          </w:p>
          <w:p>
            <w:pPr>
              <w:spacing w:after="140"/>
            </w:pPr>
            <w:r>
              <w:t>Sama viie sammu loogikat kasutatakse kogu keskkonnas: avalehel, hanke detailvaates, teavitustes ja makseprotsessis.</w:t>
            </w:r>
          </w:p>
        </w:tc>
      </w:tr>
    </w:tbl>
    <w:p>
      <w:pPr>
        <w:pStyle w:val="Heading1"/>
      </w:pPr>
      <w:r>
        <w:t>13. Näidis — avaleht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5F1E8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ÜHISHANGE</w:t>
            </w:r>
          </w:p>
          <w:p>
            <w:pPr>
              <w:spacing w:after="140"/>
            </w:pPr>
            <w:r>
              <w:t>Teenused    Kuidas toimib    Teenusepakkujale</w:t>
              <w:br/>
              <w:br/>
              <w:t>KOOS TELLIDES TULEB PAREM HIND.</w:t>
              <w:br/>
              <w:br/>
              <w:t>Kas sinu majal on vaja lumekoristust, muruniitmist või mõnda muud teenust? Leia läheduses teised sama vajadusega tellijad ja küsige pakkumine koos.</w:t>
              <w:br/>
              <w:br/>
              <w:t>[ Alusta ühishanget ]</w:t>
              <w:br/>
              <w:br/>
              <w:t>Vaata, mis toimub sinu lähedal →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FFFFF"/>
            <w:tcBorders>
              <w:top w:val="nil"/>
              <w:left w:val="single" w:sz="18" w:color="C86848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C86848"/>
                <w:sz w:val="24"/>
              </w:rPr>
              <w:t>Lähedal toimuv hange</w:t>
            </w:r>
          </w:p>
          <w:p>
            <w:pPr>
              <w:spacing w:after="140"/>
            </w:pPr>
            <w:r>
              <w:t>Lumekoristus</w:t>
              <w:br/>
              <w:t>Kadriorg · 320 m</w:t>
              <w:br/>
              <w:br/>
              <w:t>● ● ● ● ○   4 / 5 liitunud</w:t>
              <w:br/>
              <w:br/>
              <w:t>Alates 15 € / kord</w:t>
              <w:br/>
              <w:br/>
              <w:t>[ Liitu ]</w:t>
            </w:r>
          </w:p>
        </w:tc>
      </w:tr>
    </w:tbl>
    <w:p>
      <w:pPr>
        <w:pStyle w:val="Heading1"/>
      </w:pPr>
      <w:r>
        <w:t>14. Näidis — teenusepakkuja pakkumine</w:t>
      </w:r>
    </w:p>
    <w:p>
      <w:r>
        <w:t>Hinnaredel visualiseerib otseselt Ühishanke väärtuspakkumist.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85443"/>
          </w:tcPr>
          <w:p>
            <w:r>
              <w:rPr>
                <w:b/>
                <w:color w:val="FFFFFF"/>
              </w:rPr>
              <w:t>Tellijaid</w:t>
            </w:r>
          </w:p>
        </w:tc>
        <w:tc>
          <w:tcPr>
            <w:tcW w:type="dxa" w:w="4968"/>
            <w:shd w:fill="285443"/>
          </w:tcPr>
          <w:p>
            <w:r>
              <w:rPr>
                <w:b/>
                <w:color w:val="FFFFFF"/>
              </w:rPr>
              <w:t>Hind</w:t>
            </w:r>
          </w:p>
        </w:tc>
      </w:tr>
      <w:tr>
        <w:tc>
          <w:tcPr>
            <w:tcW w:type="dxa" w:w="4968"/>
          </w:tcPr>
          <w:p>
            <w:r>
              <w:t>1–2</w:t>
            </w:r>
          </w:p>
        </w:tc>
        <w:tc>
          <w:tcPr>
            <w:tcW w:type="dxa" w:w="4968"/>
          </w:tcPr>
          <w:p>
            <w:r>
              <w:t>25 €</w:t>
            </w:r>
          </w:p>
        </w:tc>
      </w:tr>
      <w:tr>
        <w:tc>
          <w:tcPr>
            <w:tcW w:type="dxa" w:w="4968"/>
          </w:tcPr>
          <w:p>
            <w:r>
              <w:t>3–4</w:t>
            </w:r>
          </w:p>
        </w:tc>
        <w:tc>
          <w:tcPr>
            <w:tcW w:type="dxa" w:w="4968"/>
          </w:tcPr>
          <w:p>
            <w:r>
              <w:t>20 €</w:t>
            </w:r>
          </w:p>
        </w:tc>
      </w:tr>
      <w:tr>
        <w:tc>
          <w:tcPr>
            <w:tcW w:type="dxa" w:w="4968"/>
            <w:shd w:fill="EEF2EC"/>
          </w:tcPr>
          <w:p>
            <w:r>
              <w:rPr>
                <w:b/>
                <w:color w:val="285443"/>
              </w:rPr>
              <w:t>5+</w:t>
            </w:r>
          </w:p>
        </w:tc>
        <w:tc>
          <w:tcPr>
            <w:tcW w:type="dxa" w:w="4968"/>
            <w:shd w:fill="EEF2EC"/>
          </w:tcPr>
          <w:p>
            <w:r>
              <w:rPr>
                <w:b/>
                <w:color w:val="285443"/>
              </w:rPr>
              <w:t>15 €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FFFFFF"/>
            <w:tcBorders>
              <w:top w:val="nil"/>
              <w:left w:val="single" w:sz="18" w:color="C86848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C86848"/>
                <w:sz w:val="24"/>
              </w:rPr>
              <w:t>Pakkumise olek</w:t>
            </w:r>
          </w:p>
          <w:p>
            <w:pPr>
              <w:spacing w:after="140"/>
            </w:pPr>
            <w:r>
              <w:t>4 / 5 tellijat olemas</w:t>
              <w:br/>
              <w:br/>
              <w:t>[ Võta pakkumine vastu ]</w:t>
            </w:r>
          </w:p>
        </w:tc>
      </w:tr>
    </w:tbl>
    <w:p>
      <w:pPr>
        <w:pStyle w:val="Heading1"/>
      </w:pPr>
      <w:r>
        <w:t>15. Mida teadlikult ei kasutata</w:t>
      </w:r>
    </w:p>
    <w:p>
      <w:r>
        <w:t>Ühishanke CVI väldib visuaale, millest on saanud AI- ja SaaS-maailma klišeed.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C86848"/>
          </w:tcPr>
          <w:p>
            <w:r>
              <w:rPr>
                <w:b/>
                <w:color w:val="FFFFFF"/>
              </w:rPr>
              <w:t>EI</w:t>
            </w:r>
          </w:p>
        </w:tc>
        <w:tc>
          <w:tcPr>
            <w:tcW w:type="dxa" w:w="4968"/>
            <w:shd w:fill="285443"/>
          </w:tcPr>
          <w:p>
            <w:r>
              <w:rPr>
                <w:b/>
                <w:color w:val="FFFFFF"/>
              </w:rPr>
              <w:t>JAH</w:t>
            </w:r>
          </w:p>
        </w:tc>
      </w:tr>
      <w:tr>
        <w:tc>
          <w:tcPr>
            <w:tcW w:type="dxa" w:w="4968"/>
          </w:tcPr>
          <w:p>
            <w:r>
              <w:t>sinine → lilla gradient</w:t>
            </w:r>
          </w:p>
        </w:tc>
        <w:tc>
          <w:tcPr>
            <w:tcW w:type="dxa" w:w="4968"/>
          </w:tcPr>
          <w:p>
            <w:r>
              <w:t>soe paberitaoline taust</w:t>
            </w:r>
          </w:p>
        </w:tc>
      </w:tr>
      <w:tr>
        <w:tc>
          <w:tcPr>
            <w:tcW w:type="dxa" w:w="4968"/>
          </w:tcPr>
          <w:p>
            <w:r>
              <w:t>neoonsinine ja glow</w:t>
            </w:r>
          </w:p>
        </w:tc>
        <w:tc>
          <w:tcPr>
            <w:tcW w:type="dxa" w:w="4968"/>
          </w:tcPr>
          <w:p>
            <w:r>
              <w:t>tugev tüpograafia</w:t>
            </w:r>
          </w:p>
        </w:tc>
      </w:tr>
      <w:tr>
        <w:tc>
          <w:tcPr>
            <w:tcW w:type="dxa" w:w="4968"/>
          </w:tcPr>
          <w:p>
            <w:r>
              <w:t>klaasiefektid</w:t>
            </w:r>
          </w:p>
        </w:tc>
        <w:tc>
          <w:tcPr>
            <w:tcW w:type="dxa" w:w="4968"/>
          </w:tcPr>
          <w:p>
            <w:r>
              <w:t>päris fotod</w:t>
            </w:r>
          </w:p>
        </w:tc>
      </w:tr>
      <w:tr>
        <w:tc>
          <w:tcPr>
            <w:tcW w:type="dxa" w:w="4968"/>
          </w:tcPr>
          <w:p>
            <w:r>
              <w:t>must futuristlik taust</w:t>
            </w:r>
          </w:p>
        </w:tc>
        <w:tc>
          <w:tcPr>
            <w:tcW w:type="dxa" w:w="4968"/>
          </w:tcPr>
          <w:p>
            <w:r>
              <w:t>kaart ja kohalikud kohanimed</w:t>
            </w:r>
          </w:p>
        </w:tc>
      </w:tr>
      <w:tr>
        <w:tc>
          <w:tcPr>
            <w:tcW w:type="dxa" w:w="4968"/>
          </w:tcPr>
          <w:p>
            <w:r>
              <w:t>valguslained ja neuronivõrgud</w:t>
            </w:r>
          </w:p>
        </w:tc>
        <w:tc>
          <w:tcPr>
            <w:tcW w:type="dxa" w:w="4968"/>
          </w:tcPr>
          <w:p>
            <w:r>
              <w:t>lihtsad ikoonid</w:t>
            </w:r>
          </w:p>
        </w:tc>
      </w:tr>
      <w:tr>
        <w:tc>
          <w:tcPr>
            <w:tcW w:type="dxa" w:w="4968"/>
          </w:tcPr>
          <w:p>
            <w:r>
              <w:t>sädelused</w:t>
            </w:r>
          </w:p>
        </w:tc>
        <w:tc>
          <w:tcPr>
            <w:tcW w:type="dxa" w:w="4968"/>
          </w:tcPr>
          <w:p>
            <w:r>
              <w:t>hinnad</w:t>
            </w:r>
          </w:p>
        </w:tc>
      </w:tr>
      <w:tr>
        <w:tc>
          <w:tcPr>
            <w:tcW w:type="dxa" w:w="4968"/>
          </w:tcPr>
          <w:p>
            <w:r>
              <w:t>AI-ga genereeritud 3D-tegelased</w:t>
            </w:r>
          </w:p>
        </w:tc>
        <w:tc>
          <w:tcPr>
            <w:tcW w:type="dxa" w:w="4968"/>
          </w:tcPr>
          <w:p>
            <w:r>
              <w:t>inimeste arv</w:t>
            </w:r>
          </w:p>
        </w:tc>
      </w:tr>
      <w:tr>
        <w:tc>
          <w:tcPr>
            <w:tcW w:type="dxa" w:w="4968"/>
          </w:tcPr>
          <w:p>
            <w:r>
              <w:t>ülisiledad plastilised illustratsioonid</w:t>
            </w:r>
          </w:p>
        </w:tc>
        <w:tc>
          <w:tcPr>
            <w:tcW w:type="dxa" w:w="4968"/>
          </w:tcPr>
          <w:p>
            <w:r>
              <w:t>progress</w:t>
            </w:r>
          </w:p>
        </w:tc>
      </w:tr>
      <w:tr>
        <w:tc>
          <w:tcPr>
            <w:tcW w:type="dxa" w:w="4968"/>
          </w:tcPr>
          <w:p>
            <w:r>
              <w:t>kõikjal pill-kujulised kaardid</w:t>
            </w:r>
          </w:p>
        </w:tc>
        <w:tc>
          <w:tcPr>
            <w:tcW w:type="dxa" w:w="4968"/>
          </w:tcPr>
          <w:p>
            <w:r>
              <w:t>konkreetsed teenused</w:t>
            </w:r>
          </w:p>
        </w:tc>
      </w:tr>
      <w:tr>
        <w:tc>
          <w:tcPr>
            <w:tcW w:type="dxa" w:w="4968"/>
          </w:tcPr>
          <w:p>
            <w:r>
              <w:t>tehnoloogia demonstreerimine tehnoloogia pärast</w:t>
            </w:r>
          </w:p>
        </w:tc>
        <w:tc>
          <w:tcPr>
            <w:tcW w:type="dxa" w:w="4968"/>
          </w:tcPr>
          <w:p>
            <w:r>
              <w:t>selge järgmine samm</w:t>
            </w:r>
          </w:p>
        </w:tc>
      </w:tr>
    </w:tbl>
    <w:p>
      <w:r>
        <w:br w:type="page"/>
      </w:r>
    </w:p>
    <w:p>
      <w:pPr>
        <w:pStyle w:val="Heading1"/>
      </w:pPr>
      <w:r>
        <w:t>16. CVI lühikokkuvõte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Bränd</w:t>
            </w:r>
          </w:p>
        </w:tc>
        <w:tc>
          <w:tcPr>
            <w:tcW w:type="dxa" w:w="4968"/>
          </w:tcPr>
          <w:p>
            <w:r>
              <w:t>Ühishange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Iseloom</w:t>
            </w:r>
          </w:p>
        </w:tc>
        <w:tc>
          <w:tcPr>
            <w:tcW w:type="dxa" w:w="4968"/>
          </w:tcPr>
          <w:p>
            <w:r>
              <w:t>kohalik, praktiline, inimlik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Põhivärv</w:t>
            </w:r>
          </w:p>
        </w:tc>
        <w:tc>
          <w:tcPr>
            <w:tcW w:type="dxa" w:w="4968"/>
          </w:tcPr>
          <w:p>
            <w:r>
              <w:t>#285443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Taust</w:t>
            </w:r>
          </w:p>
        </w:tc>
        <w:tc>
          <w:tcPr>
            <w:tcW w:type="dxa" w:w="4968"/>
          </w:tcPr>
          <w:p>
            <w:r>
              <w:t>#F5F1E8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Tekst</w:t>
            </w:r>
          </w:p>
        </w:tc>
        <w:tc>
          <w:tcPr>
            <w:tcW w:type="dxa" w:w="4968"/>
          </w:tcPr>
          <w:p>
            <w:r>
              <w:t>#272724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Aktsent</w:t>
            </w:r>
          </w:p>
        </w:tc>
        <w:tc>
          <w:tcPr>
            <w:tcW w:type="dxa" w:w="4968"/>
          </w:tcPr>
          <w:p>
            <w:r>
              <w:t>#C86848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Positiivne</w:t>
            </w:r>
          </w:p>
        </w:tc>
        <w:tc>
          <w:tcPr>
            <w:tcW w:type="dxa" w:w="4968"/>
          </w:tcPr>
          <w:p>
            <w:r>
              <w:t>#8EA98E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Hoiatus</w:t>
            </w:r>
          </w:p>
        </w:tc>
        <w:tc>
          <w:tcPr>
            <w:tcW w:type="dxa" w:w="4968"/>
          </w:tcPr>
          <w:p>
            <w:r>
              <w:t>#D8A945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Pealkirjafont</w:t>
            </w:r>
          </w:p>
        </w:tc>
        <w:tc>
          <w:tcPr>
            <w:tcW w:type="dxa" w:w="4968"/>
          </w:tcPr>
          <w:p>
            <w:r>
              <w:t>Lora</w:t>
            </w:r>
          </w:p>
        </w:tc>
      </w:tr>
      <w:tr>
        <w:tc>
          <w:tcPr>
            <w:tcW w:type="dxa" w:w="4968"/>
            <w:shd w:fill="F5F1E8"/>
          </w:tcPr>
          <w:p>
            <w:r>
              <w:rPr>
                <w:b/>
                <w:color w:val="285443"/>
              </w:rPr>
              <w:t>UI-font</w:t>
            </w:r>
          </w:p>
        </w:tc>
        <w:tc>
          <w:tcPr>
            <w:tcW w:type="dxa" w:w="4968"/>
          </w:tcPr>
          <w:p>
            <w:r>
              <w:t>Work Sans</w:t>
            </w:r>
          </w:p>
        </w:tc>
      </w:tr>
    </w:tbl>
    <w:p>
      <w:pPr>
        <w:pStyle w:val="Heading2"/>
      </w:pPr>
      <w:r>
        <w:t>Põhisõnum</w:t>
      </w:r>
    </w:p>
    <w:p>
      <w:pPr>
        <w:jc w:val="center"/>
      </w:pPr>
      <w:r>
        <w:rPr>
          <w:rFonts w:ascii="Liberation Serif" w:hAnsi="Liberation Serif"/>
          <w:b/>
          <w:color w:val="285443"/>
          <w:sz w:val="44"/>
        </w:rPr>
        <w:t>Koos tellides tuleb parem hind.</w:t>
      </w:r>
    </w:p>
    <w:p>
      <w:pPr>
        <w:pStyle w:val="Heading2"/>
      </w:pPr>
      <w:r>
        <w:t>Visuaalne signatuur</w:t>
      </w:r>
    </w:p>
    <w:p>
      <w:pPr>
        <w:jc w:val="center"/>
      </w:pPr>
      <w:r>
        <w:rPr>
          <w:color w:val="C86848"/>
          <w:sz w:val="56"/>
        </w:rPr>
        <w:t>●  ●  ●  ●  ○</w:t>
      </w:r>
    </w:p>
    <w:p>
      <w:pPr>
        <w:jc w:val="center"/>
      </w:pPr>
      <w:r>
        <w:rPr>
          <w:b/>
          <w:color w:val="285443"/>
          <w:sz w:val="32"/>
        </w:rPr>
        <w:t>4 / 5 liitunud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9936"/>
            <w:shd w:fill="EEF2EC"/>
            <w:tcBorders>
              <w:top w:val="nil"/>
              <w:left w:val="single" w:sz="18" w:color="285443"/>
              <w:bottom w:val="nil"/>
              <w:right w:val="nil"/>
            </w:tcBorders>
          </w:tcPr>
          <w:p>
            <w:pPr>
              <w:spacing w:before="140" w:after="40"/>
            </w:pPr>
            <w:r>
              <w:rPr>
                <w:b/>
                <w:color w:val="285443"/>
                <w:sz w:val="24"/>
              </w:rPr>
              <w:t>Identiteedi tuum</w:t>
            </w:r>
          </w:p>
          <w:p>
            <w:pPr>
              <w:spacing w:after="140"/>
            </w:pPr>
            <w:r>
              <w:t>Ühishanke identiteedi keskmes ei ole tehnoloogia. Keskmes on hetk, kui üksikust vajadusest saab ühine tellimus.</w:t>
            </w:r>
          </w:p>
        </w:tc>
      </w:tr>
    </w:tbl>
    <w:p>
      <w:pPr>
        <w:spacing w:before="400"/>
        <w:jc w:val="center"/>
      </w:pPr>
      <w:r>
        <w:rPr>
          <w:color w:val="777777"/>
          <w:sz w:val="17"/>
        </w:rPr>
        <w:t>CVI tööversioon · Ühishange · 10.10.2026</w:t>
      </w:r>
    </w:p>
    <w:sectPr w:rsidR="00FC693F" w:rsidRPr="0006063C" w:rsidSect="00034616">
      <w:footerReference w:type="default" r:id="rId9"/>
      <w:pgSz w:w="12240" w:h="15840"/>
      <w:pgMar w:top="1008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6"/>
      </w:rPr>
      <w:t>ÜHISHANGE  •  VISUAALNE IDENTITEET  •  2026</w:t>
    </w:r>
  </w:p>
  <w:p>
    <w:pPr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" w:hAnsi="Noto Sans"/>
      <w:color w:val="2727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28544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" w:hAnsi="Noto Sans"/>
      <w:b/>
      <w:bCs/>
      <w:color w:val="2854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" w:hAnsi="Noto Sans"/>
      <w:b/>
      <w:bCs/>
      <w:color w:val="C868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Liberation Serif" w:hAnsi="Liberation Serif"/>
      <w:b/>
      <w:color w:val="28544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20"/>
    </w:pPr>
    <w:rPr>
      <w:rFonts w:ascii="Noto Sans" w:hAnsi="Noto Sans"/>
      <w:b/>
      <w:color w:val="C8684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Ühishange – visuaalne identiteet (CVI)</dc:title>
  <dc:subject>Ühishanke brändi visuaalse identiteedi juhend</dc:subject>
  <dc:creator>Ühishange</dc:creator>
  <cp:keywords>Ühishange, CVI, visuaalne identiteet, bränd, disainisüsteem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