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7931E"/>
          <w:sz w:val="60"/>
        </w:rPr>
        <w:t>ÜHISHANGE</w:t>
      </w:r>
    </w:p>
    <w:p>
      <w:pPr>
        <w:jc w:val="center"/>
      </w:pPr>
      <w:r>
        <w:rPr>
          <w:b/>
          <w:color w:val="262626"/>
          <w:sz w:val="48"/>
        </w:rPr>
        <w:t>Põhjalik ärianalüüs</w:t>
      </w:r>
    </w:p>
    <w:p>
      <w:pPr>
        <w:jc w:val="center"/>
      </w:pPr>
      <w:r>
        <w:rPr>
          <w:i/>
          <w:sz w:val="26"/>
        </w:rPr>
        <w:t>Hüperlokaalne ühisteenuste hankimise platvorm korteriühistutele</w:t>
      </w:r>
    </w:p>
    <w:p/>
    <w:p/>
    <w:p/>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Üks vajadus → lähedased ostjad → ühine maht → astmeline pakkumine → rahaline commitment → mahu täitumisel jõustuv tehing</w:t>
            </w:r>
          </w:p>
        </w:tc>
      </w:tr>
    </w:tbl>
    <w:p/>
    <w:p>
      <w:pPr>
        <w:jc w:val="center"/>
      </w:pPr>
      <w:r>
        <w:rPr>
          <w:sz w:val="20"/>
        </w:rPr>
        <w:t>Seisuga 9. oktoober 2026</w:t>
      </w:r>
    </w:p>
    <w:p>
      <w:pPr>
        <w:jc w:val="center"/>
      </w:pPr>
      <w:r>
        <w:rPr>
          <w:color w:val="5A5A5A"/>
          <w:sz w:val="18"/>
        </w:rPr>
        <w:t>Koostatud Ühishange projekti senise kontseptsiooni ja avalike allikate põhjal.</w:t>
      </w:r>
    </w:p>
    <w:p>
      <w:r>
        <w:br w:type="page"/>
      </w:r>
    </w:p>
    <w:p>
      <w:pPr>
        <w:pStyle w:val="Heading1"/>
      </w:pPr>
      <w:r>
        <w:t>Sisukord</w:t>
      </w:r>
    </w:p>
    <w:p>
      <w:pPr>
        <w:pStyle w:val="ListBullet"/>
      </w:pPr>
      <w:r>
        <w:t>1. Juhtkokkuvõte</w:t>
      </w:r>
    </w:p>
    <w:p>
      <w:pPr>
        <w:pStyle w:val="ListBullet"/>
      </w:pPr>
      <w:r>
        <w:t>2. Probleem ja väärtuspakkumine</w:t>
      </w:r>
    </w:p>
    <w:p>
      <w:pPr>
        <w:pStyle w:val="ListBullet"/>
      </w:pPr>
      <w:r>
        <w:t>3. Toote põhiloogika ja protsess</w:t>
      </w:r>
    </w:p>
    <w:p>
      <w:pPr>
        <w:pStyle w:val="ListBullet"/>
      </w:pPr>
      <w:r>
        <w:t>4. Sobivad teenusekategooriad</w:t>
      </w:r>
    </w:p>
    <w:p>
      <w:pPr>
        <w:pStyle w:val="ListBullet"/>
      </w:pPr>
      <w:r>
        <w:t>5. Tulumudel ja hinnastamine</w:t>
      </w:r>
    </w:p>
    <w:p>
      <w:pPr>
        <w:pStyle w:val="ListBullet"/>
      </w:pPr>
      <w:r>
        <w:t>6. Konkurents ja positsioneerimine</w:t>
      </w:r>
    </w:p>
    <w:p>
      <w:pPr>
        <w:pStyle w:val="ListBullet"/>
      </w:pPr>
      <w:r>
        <w:t>7. Registriandmed ja kasvumootor</w:t>
      </w:r>
    </w:p>
    <w:p>
      <w:pPr>
        <w:pStyle w:val="ListBullet"/>
      </w:pPr>
      <w:r>
        <w:t>8. Õigus- ja maksekeskkond</w:t>
      </w:r>
    </w:p>
    <w:p>
      <w:pPr>
        <w:pStyle w:val="ListBullet"/>
      </w:pPr>
      <w:r>
        <w:t>9. Turu suurus (TAM/SAM/SOM)</w:t>
      </w:r>
    </w:p>
    <w:p>
      <w:pPr>
        <w:pStyle w:val="ListBullet"/>
      </w:pPr>
      <w:r>
        <w:t>10. Võrguefekt ja kaitsekraav</w:t>
      </w:r>
    </w:p>
    <w:p>
      <w:pPr>
        <w:pStyle w:val="ListBullet"/>
      </w:pPr>
      <w:r>
        <w:t>11. MVP ja go-to-market</w:t>
      </w:r>
    </w:p>
    <w:p>
      <w:pPr>
        <w:pStyle w:val="ListBullet"/>
      </w:pPr>
      <w:r>
        <w:t>12. KPI-d ja riskid</w:t>
      </w:r>
    </w:p>
    <w:p>
      <w:pPr>
        <w:pStyle w:val="ListBullet"/>
      </w:pPr>
      <w:r>
        <w:t>13. Strateegiline hinnang ja tegevuskava</w:t>
      </w:r>
    </w:p>
    <w:p>
      <w:pPr>
        <w:pStyle w:val="ListBullet"/>
      </w:pPr>
      <w:r>
        <w:t>14. Allikad</w:t>
      </w:r>
    </w:p>
    <w:p>
      <w:r>
        <w:br w:type="page"/>
      </w:r>
    </w:p>
    <w:p>
      <w:pPr>
        <w:pStyle w:val="Heading1"/>
      </w:pPr>
      <w:r>
        <w:t>1. Juhtkokkuvõte</w:t>
      </w:r>
    </w:p>
    <w:p>
      <w:r>
        <w:rPr>
          <w:b/>
        </w:rPr>
        <w:t xml:space="preserve">Ühishanke põhiväärtus ei ole lihtsalt see, et mitu korteriühistut saavad koos odavamalt. </w:t>
      </w:r>
      <w:r>
        <w:t>Tugevam majanduslik loogika on see, et platvorm muudab killustunud kohaliku nõudluse eelnevalt kinnitatud, geograafiliselt tihedaks tellimuste kogumiks, mida teenusepakkuja saab teenindada efektiivsemalt.</w:t>
      </w:r>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Ühishange müüb sisuliselt nõudluse tihedust, mitte ainult “odavamat teenust”.</w:t>
            </w:r>
          </w:p>
        </w:tc>
      </w:tr>
    </w:tbl>
    <w:p/>
    <w:p>
      <w:r>
        <w:t>Näiteks lumetõrje puhul ei seisne teenusepakkuja kasu ainult viies uues kliendis. Kui viis objekti asuvad 500–1000 meetri raadiuses, vähenevad müügikulu, pakkumiste koostamise kulu, sõiduaeg, tehnika ümberpaigutamine ja tühisõit. Sellest efektiivsusest saab tekkida hinnasoodustus ilma, et teenusepakkuja peaks kogu allahindlust oma marginaalist kinni maksma.</w:t>
      </w:r>
    </w:p>
    <w:p>
      <w:r>
        <w:rPr>
          <w:b/>
        </w:rPr>
        <w:t xml:space="preserve">Üldhinnang: GO. </w:t>
      </w:r>
      <w:r>
        <w:t>MVP peab siiski olema väga kitsas: üks ostjagrupp (korteriühistud), üks mikroturg ja 1–2 standardiseeritavat teenust.</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shd w:fill="F7931E"/>
            <w:vAlign w:val="center"/>
            <w:tcMar>
              <w:top w:w="90" w:type="dxa"/>
              <w:start w:w="90" w:type="dxa"/>
              <w:bottom w:w="90" w:type="dxa"/>
              <w:end w:w="90" w:type="dxa"/>
            </w:tcMar>
          </w:tcPr>
          <w:p>
            <w:r>
              <w:rPr>
                <w:b/>
                <w:color w:val="FFFFFF"/>
                <w:sz w:val="19"/>
              </w:rPr>
              <w:t>Tegur</w:t>
            </w:r>
          </w:p>
        </w:tc>
        <w:tc>
          <w:tcPr>
            <w:tcW w:type="dxa" w:w="1701"/>
            <w:shd w:fill="F7931E"/>
            <w:vAlign w:val="center"/>
            <w:tcMar>
              <w:top w:w="90" w:type="dxa"/>
              <w:start w:w="90" w:type="dxa"/>
              <w:bottom w:w="90" w:type="dxa"/>
              <w:end w:w="90" w:type="dxa"/>
            </w:tcMar>
          </w:tcPr>
          <w:p>
            <w:r>
              <w:rPr>
                <w:b/>
                <w:color w:val="FFFFFF"/>
                <w:sz w:val="19"/>
              </w:rPr>
              <w:t>Hinnang</w:t>
            </w:r>
          </w:p>
        </w:tc>
        <w:tc>
          <w:tcPr>
            <w:tcW w:type="dxa" w:w="5102"/>
            <w:shd w:fill="F7931E"/>
            <w:vAlign w:val="center"/>
            <w:tcMar>
              <w:top w:w="90" w:type="dxa"/>
              <w:start w:w="90" w:type="dxa"/>
              <w:bottom w:w="90" w:type="dxa"/>
              <w:end w:w="90" w:type="dxa"/>
            </w:tcMar>
          </w:tcPr>
          <w:p>
            <w:r>
              <w:rPr>
                <w:b/>
                <w:color w:val="FFFFFF"/>
                <w:sz w:val="19"/>
              </w:rPr>
              <w:t>Kommentaar</w:t>
            </w:r>
          </w:p>
        </w:tc>
      </w:tr>
      <w:tr>
        <w:trPr>
          <w:cantSplit/>
        </w:trPr>
        <w:tc>
          <w:tcPr>
            <w:tcW w:type="dxa" w:w="2268"/>
            <w:vAlign w:val="center"/>
            <w:tcMar>
              <w:top w:w="90" w:type="dxa"/>
              <w:start w:w="90" w:type="dxa"/>
              <w:bottom w:w="90" w:type="dxa"/>
              <w:end w:w="90" w:type="dxa"/>
            </w:tcMar>
          </w:tcPr>
          <w:p>
            <w:r>
              <w:rPr>
                <w:sz w:val="19"/>
              </w:rPr>
              <w:t>Reaalne probleem</w:t>
            </w:r>
          </w:p>
        </w:tc>
        <w:tc>
          <w:tcPr>
            <w:tcW w:type="dxa" w:w="1701"/>
            <w:vAlign w:val="center"/>
            <w:tcMar>
              <w:top w:w="90" w:type="dxa"/>
              <w:start w:w="90" w:type="dxa"/>
              <w:bottom w:w="90" w:type="dxa"/>
              <w:end w:w="90" w:type="dxa"/>
            </w:tcMar>
          </w:tcPr>
          <w:p>
            <w:r>
              <w:rPr>
                <w:sz w:val="19"/>
              </w:rPr>
              <w:t>9/10</w:t>
            </w:r>
          </w:p>
        </w:tc>
        <w:tc>
          <w:tcPr>
            <w:tcW w:type="dxa" w:w="5102"/>
            <w:vAlign w:val="center"/>
            <w:tcMar>
              <w:top w:w="90" w:type="dxa"/>
              <w:start w:w="90" w:type="dxa"/>
              <w:bottom w:w="90" w:type="dxa"/>
              <w:end w:w="90" w:type="dxa"/>
            </w:tcMar>
          </w:tcPr>
          <w:p>
            <w:r>
              <w:rPr>
                <w:sz w:val="19"/>
              </w:rPr>
              <w:t>KÜ-de ostud on killustunud ja korduvad.</w:t>
            </w:r>
          </w:p>
        </w:tc>
      </w:tr>
      <w:tr>
        <w:trPr>
          <w:cantSplit/>
        </w:trPr>
        <w:tc>
          <w:tcPr>
            <w:tcW w:type="dxa" w:w="2268"/>
            <w:vAlign w:val="center"/>
            <w:tcMar>
              <w:top w:w="90" w:type="dxa"/>
              <w:start w:w="90" w:type="dxa"/>
              <w:bottom w:w="90" w:type="dxa"/>
              <w:end w:w="90" w:type="dxa"/>
            </w:tcMar>
          </w:tcPr>
          <w:p>
            <w:r>
              <w:rPr>
                <w:sz w:val="19"/>
              </w:rPr>
              <w:t>Väärtus ostjale</w:t>
            </w:r>
          </w:p>
        </w:tc>
        <w:tc>
          <w:tcPr>
            <w:tcW w:type="dxa" w:w="1701"/>
            <w:vAlign w:val="center"/>
            <w:tcMar>
              <w:top w:w="90" w:type="dxa"/>
              <w:start w:w="90" w:type="dxa"/>
              <w:bottom w:w="90" w:type="dxa"/>
              <w:end w:w="90" w:type="dxa"/>
            </w:tcMar>
          </w:tcPr>
          <w:p>
            <w:r>
              <w:rPr>
                <w:sz w:val="19"/>
              </w:rPr>
              <w:t>8/10</w:t>
            </w:r>
          </w:p>
        </w:tc>
        <w:tc>
          <w:tcPr>
            <w:tcW w:type="dxa" w:w="5102"/>
            <w:vAlign w:val="center"/>
            <w:tcMar>
              <w:top w:w="90" w:type="dxa"/>
              <w:start w:w="90" w:type="dxa"/>
              <w:bottom w:w="90" w:type="dxa"/>
              <w:end w:w="90" w:type="dxa"/>
            </w:tcMar>
          </w:tcPr>
          <w:p>
            <w:r>
              <w:rPr>
                <w:sz w:val="19"/>
              </w:rPr>
              <w:t>Võimalik hinna- ja ajavõit ning lihtsam hankimine.</w:t>
            </w:r>
          </w:p>
        </w:tc>
      </w:tr>
      <w:tr>
        <w:trPr>
          <w:cantSplit/>
        </w:trPr>
        <w:tc>
          <w:tcPr>
            <w:tcW w:type="dxa" w:w="2268"/>
            <w:vAlign w:val="center"/>
            <w:tcMar>
              <w:top w:w="90" w:type="dxa"/>
              <w:start w:w="90" w:type="dxa"/>
              <w:bottom w:w="90" w:type="dxa"/>
              <w:end w:w="90" w:type="dxa"/>
            </w:tcMar>
          </w:tcPr>
          <w:p>
            <w:r>
              <w:rPr>
                <w:sz w:val="19"/>
              </w:rPr>
              <w:t>Väärtus pakkujale</w:t>
            </w:r>
          </w:p>
        </w:tc>
        <w:tc>
          <w:tcPr>
            <w:tcW w:type="dxa" w:w="1701"/>
            <w:vAlign w:val="center"/>
            <w:tcMar>
              <w:top w:w="90" w:type="dxa"/>
              <w:start w:w="90" w:type="dxa"/>
              <w:bottom w:w="90" w:type="dxa"/>
              <w:end w:w="90" w:type="dxa"/>
            </w:tcMar>
          </w:tcPr>
          <w:p>
            <w:r>
              <w:rPr>
                <w:sz w:val="19"/>
              </w:rPr>
              <w:t>8/10</w:t>
            </w:r>
          </w:p>
        </w:tc>
        <w:tc>
          <w:tcPr>
            <w:tcW w:type="dxa" w:w="5102"/>
            <w:vAlign w:val="center"/>
            <w:tcMar>
              <w:top w:w="90" w:type="dxa"/>
              <w:start w:w="90" w:type="dxa"/>
              <w:bottom w:w="90" w:type="dxa"/>
              <w:end w:w="90" w:type="dxa"/>
            </w:tcMar>
          </w:tcPr>
          <w:p>
            <w:r>
              <w:rPr>
                <w:sz w:val="19"/>
              </w:rPr>
              <w:t>Madalam müügikulu ja tihedam teenindusmarsruut.</w:t>
            </w:r>
          </w:p>
        </w:tc>
      </w:tr>
      <w:tr>
        <w:trPr>
          <w:cantSplit/>
        </w:trPr>
        <w:tc>
          <w:tcPr>
            <w:tcW w:type="dxa" w:w="2268"/>
            <w:vAlign w:val="center"/>
            <w:tcMar>
              <w:top w:w="90" w:type="dxa"/>
              <w:start w:w="90" w:type="dxa"/>
              <w:bottom w:w="90" w:type="dxa"/>
              <w:end w:w="90" w:type="dxa"/>
            </w:tcMar>
          </w:tcPr>
          <w:p>
            <w:r>
              <w:rPr>
                <w:sz w:val="19"/>
              </w:rPr>
              <w:t>Eristumine</w:t>
            </w:r>
          </w:p>
        </w:tc>
        <w:tc>
          <w:tcPr>
            <w:tcW w:type="dxa" w:w="1701"/>
            <w:vAlign w:val="center"/>
            <w:tcMar>
              <w:top w:w="90" w:type="dxa"/>
              <w:start w:w="90" w:type="dxa"/>
              <w:bottom w:w="90" w:type="dxa"/>
              <w:end w:w="90" w:type="dxa"/>
            </w:tcMar>
          </w:tcPr>
          <w:p>
            <w:r>
              <w:rPr>
                <w:sz w:val="19"/>
              </w:rPr>
              <w:t>8/10</w:t>
            </w:r>
          </w:p>
        </w:tc>
        <w:tc>
          <w:tcPr>
            <w:tcW w:type="dxa" w:w="5102"/>
            <w:vAlign w:val="center"/>
            <w:tcMar>
              <w:top w:w="90" w:type="dxa"/>
              <w:start w:w="90" w:type="dxa"/>
              <w:bottom w:w="90" w:type="dxa"/>
              <w:end w:w="90" w:type="dxa"/>
            </w:tcMar>
          </w:tcPr>
          <w:p>
            <w:r>
              <w:rPr>
                <w:sz w:val="19"/>
              </w:rPr>
              <w:t>Mitme ostja geograafiline koondamine + tingimuslik mahuhind.</w:t>
            </w:r>
          </w:p>
        </w:tc>
      </w:tr>
      <w:tr>
        <w:trPr>
          <w:cantSplit/>
        </w:trPr>
        <w:tc>
          <w:tcPr>
            <w:tcW w:type="dxa" w:w="2268"/>
            <w:vAlign w:val="center"/>
            <w:tcMar>
              <w:top w:w="90" w:type="dxa"/>
              <w:start w:w="90" w:type="dxa"/>
              <w:bottom w:w="90" w:type="dxa"/>
              <w:end w:w="90" w:type="dxa"/>
            </w:tcMar>
          </w:tcPr>
          <w:p>
            <w:r>
              <w:rPr>
                <w:sz w:val="19"/>
              </w:rPr>
              <w:t>Eesti turu suurus</w:t>
            </w:r>
          </w:p>
        </w:tc>
        <w:tc>
          <w:tcPr>
            <w:tcW w:type="dxa" w:w="1701"/>
            <w:vAlign w:val="center"/>
            <w:tcMar>
              <w:top w:w="90" w:type="dxa"/>
              <w:start w:w="90" w:type="dxa"/>
              <w:bottom w:w="90" w:type="dxa"/>
              <w:end w:w="90" w:type="dxa"/>
            </w:tcMar>
          </w:tcPr>
          <w:p>
            <w:r>
              <w:rPr>
                <w:sz w:val="19"/>
              </w:rPr>
              <w:t>6/10</w:t>
            </w:r>
          </w:p>
        </w:tc>
        <w:tc>
          <w:tcPr>
            <w:tcW w:type="dxa" w:w="5102"/>
            <w:vAlign w:val="center"/>
            <w:tcMar>
              <w:top w:w="90" w:type="dxa"/>
              <w:start w:w="90" w:type="dxa"/>
              <w:bottom w:w="90" w:type="dxa"/>
              <w:end w:w="90" w:type="dxa"/>
            </w:tcMar>
          </w:tcPr>
          <w:p>
            <w:r>
              <w:rPr>
                <w:sz w:val="19"/>
              </w:rPr>
              <w:t>Hea nišiäri, kuid suure kasvu jaoks vaja laieneda.</w:t>
            </w:r>
          </w:p>
        </w:tc>
      </w:tr>
      <w:tr>
        <w:trPr>
          <w:cantSplit/>
        </w:trPr>
        <w:tc>
          <w:tcPr>
            <w:tcW w:type="dxa" w:w="2268"/>
            <w:vAlign w:val="center"/>
            <w:tcMar>
              <w:top w:w="90" w:type="dxa"/>
              <w:start w:w="90" w:type="dxa"/>
              <w:bottom w:w="90" w:type="dxa"/>
              <w:end w:w="90" w:type="dxa"/>
            </w:tcMar>
          </w:tcPr>
          <w:p>
            <w:r>
              <w:rPr>
                <w:sz w:val="19"/>
              </w:rPr>
              <w:t>Rahvusvaheline laiendatavus</w:t>
            </w:r>
          </w:p>
        </w:tc>
        <w:tc>
          <w:tcPr>
            <w:tcW w:type="dxa" w:w="1701"/>
            <w:vAlign w:val="center"/>
            <w:tcMar>
              <w:top w:w="90" w:type="dxa"/>
              <w:start w:w="90" w:type="dxa"/>
              <w:bottom w:w="90" w:type="dxa"/>
              <w:end w:w="90" w:type="dxa"/>
            </w:tcMar>
          </w:tcPr>
          <w:p>
            <w:r>
              <w:rPr>
                <w:sz w:val="19"/>
              </w:rPr>
              <w:t>8/10</w:t>
            </w:r>
          </w:p>
        </w:tc>
        <w:tc>
          <w:tcPr>
            <w:tcW w:type="dxa" w:w="5102"/>
            <w:vAlign w:val="center"/>
            <w:tcMar>
              <w:top w:w="90" w:type="dxa"/>
              <w:start w:w="90" w:type="dxa"/>
              <w:bottom w:w="90" w:type="dxa"/>
              <w:end w:w="90" w:type="dxa"/>
            </w:tcMar>
          </w:tcPr>
          <w:p>
            <w:r>
              <w:rPr>
                <w:sz w:val="19"/>
              </w:rPr>
              <w:t>Mudel on eksporditav.</w:t>
            </w:r>
          </w:p>
        </w:tc>
      </w:tr>
      <w:tr>
        <w:trPr>
          <w:cantSplit/>
        </w:trPr>
        <w:tc>
          <w:tcPr>
            <w:tcW w:type="dxa" w:w="2268"/>
            <w:vAlign w:val="center"/>
            <w:tcMar>
              <w:top w:w="90" w:type="dxa"/>
              <w:start w:w="90" w:type="dxa"/>
              <w:bottom w:w="90" w:type="dxa"/>
              <w:end w:w="90" w:type="dxa"/>
            </w:tcMar>
          </w:tcPr>
          <w:p>
            <w:r>
              <w:rPr>
                <w:sz w:val="19"/>
              </w:rPr>
              <w:t>Cold-start risk</w:t>
            </w:r>
          </w:p>
        </w:tc>
        <w:tc>
          <w:tcPr>
            <w:tcW w:type="dxa" w:w="1701"/>
            <w:vAlign w:val="center"/>
            <w:tcMar>
              <w:top w:w="90" w:type="dxa"/>
              <w:start w:w="90" w:type="dxa"/>
              <w:bottom w:w="90" w:type="dxa"/>
              <w:end w:w="90" w:type="dxa"/>
            </w:tcMar>
          </w:tcPr>
          <w:p>
            <w:r>
              <w:rPr>
                <w:sz w:val="19"/>
              </w:rPr>
              <w:t>Kõrge</w:t>
            </w:r>
          </w:p>
        </w:tc>
        <w:tc>
          <w:tcPr>
            <w:tcW w:type="dxa" w:w="5102"/>
            <w:vAlign w:val="center"/>
            <w:tcMar>
              <w:top w:w="90" w:type="dxa"/>
              <w:start w:w="90" w:type="dxa"/>
              <w:bottom w:w="90" w:type="dxa"/>
              <w:end w:w="90" w:type="dxa"/>
            </w:tcMar>
          </w:tcPr>
          <w:p>
            <w:r>
              <w:rPr>
                <w:sz w:val="19"/>
              </w:rPr>
              <w:t>Likviidsus peab tekkima teenus × piirkond tasandil.</w:t>
            </w:r>
          </w:p>
        </w:tc>
      </w:tr>
      <w:tr>
        <w:trPr>
          <w:cantSplit/>
        </w:trPr>
        <w:tc>
          <w:tcPr>
            <w:tcW w:type="dxa" w:w="2268"/>
            <w:vAlign w:val="center"/>
            <w:tcMar>
              <w:top w:w="90" w:type="dxa"/>
              <w:start w:w="90" w:type="dxa"/>
              <w:bottom w:w="90" w:type="dxa"/>
              <w:end w:w="90" w:type="dxa"/>
            </w:tcMar>
          </w:tcPr>
          <w:p>
            <w:r>
              <w:rPr>
                <w:sz w:val="19"/>
              </w:rPr>
              <w:t>Regulatiivne keerukus</w:t>
            </w:r>
          </w:p>
        </w:tc>
        <w:tc>
          <w:tcPr>
            <w:tcW w:type="dxa" w:w="1701"/>
            <w:vAlign w:val="center"/>
            <w:tcMar>
              <w:top w:w="90" w:type="dxa"/>
              <w:start w:w="90" w:type="dxa"/>
              <w:bottom w:w="90" w:type="dxa"/>
              <w:end w:w="90" w:type="dxa"/>
            </w:tcMar>
          </w:tcPr>
          <w:p>
            <w:r>
              <w:rPr>
                <w:sz w:val="19"/>
              </w:rPr>
              <w:t>Keskmine</w:t>
            </w:r>
          </w:p>
        </w:tc>
        <w:tc>
          <w:tcPr>
            <w:tcW w:type="dxa" w:w="5102"/>
            <w:vAlign w:val="center"/>
            <w:tcMar>
              <w:top w:w="90" w:type="dxa"/>
              <w:start w:w="90" w:type="dxa"/>
              <w:bottom w:w="90" w:type="dxa"/>
              <w:end w:w="90" w:type="dxa"/>
            </w:tcMar>
          </w:tcPr>
          <w:p>
            <w:r>
              <w:rPr>
                <w:sz w:val="19"/>
              </w:rPr>
              <w:t>PSP, DAC7, andmekaitse, KÜ esindusõigus.</w:t>
            </w:r>
          </w:p>
        </w:tc>
      </w:tr>
    </w:tbl>
    <w:p/>
    <w:p>
      <w:pPr>
        <w:pStyle w:val="Heading1"/>
      </w:pPr>
      <w:r>
        <w:t>2. Probleem ja väärtuspakkumine</w:t>
      </w:r>
    </w:p>
    <w:p>
      <w:pPr>
        <w:pStyle w:val="Heading2"/>
      </w:pPr>
      <w:r>
        <w:t>2.1 Korteriühistu probleem</w:t>
      </w:r>
    </w:p>
    <w:p>
      <w:r>
        <w:t>Üksik korteriühistu on enamiku kohalike teenusepakkujate jaoks suhteliselt väike klient. Juhatus peab sageli ise looma lähteülesande, leidma pakkujad, küsima pakkumisi, võrdlema sisult erinevaid lahendusi, kontrollima tausta, pidama hinnaläbirääkimisi ning hiljem jälgima teenuse kvaliteeti.</w:t>
      </w:r>
    </w:p>
    <w:p>
      <w:r>
        <w:t>Sama protsessi teeb samal ajal kõrvalmaja, ehk nõudlus on lokaalselt dubleeritud, kuid koordineerimata.</w:t>
      </w:r>
    </w:p>
    <w:p>
      <w:pPr>
        <w:pStyle w:val="Heading2"/>
      </w:pPr>
      <w:r>
        <w:t>2.2 Teenusepakkuja probleem</w:t>
      </w:r>
    </w:p>
    <w:p>
      <w:r>
        <w:t>Teenusepakkujal on peegelpildis killustunud müügiprobleem. Viie kliendi saamiseks võib olla vaja leida kümneid kontakte, teha mitu objektikülastust, koostada mitmeid pakkumisi ja pärast võitu sõita hajali objektide vahel.</w:t>
      </w:r>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“5 kinnitatud klienti 500 meetri raadiuses” on teenusepakkujale iseseisva majandusliku väärtusega müügiühik.</w:t>
            </w:r>
          </w:p>
        </w:tc>
      </w:tr>
    </w:tbl>
    <w:p/>
    <w:p>
      <w:pPr>
        <w:pStyle w:val="Heading2"/>
      </w:pPr>
      <w:r>
        <w:t>2.3 Väärtuspakkumine osapooltele</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shd w:fill="F7931E"/>
            <w:vAlign w:val="center"/>
            <w:tcMar>
              <w:top w:w="90" w:type="dxa"/>
              <w:start w:w="90" w:type="dxa"/>
              <w:bottom w:w="90" w:type="dxa"/>
              <w:end w:w="90" w:type="dxa"/>
            </w:tcMar>
          </w:tcPr>
          <w:p>
            <w:r>
              <w:rPr>
                <w:b/>
                <w:color w:val="FFFFFF"/>
                <w:sz w:val="19"/>
              </w:rPr>
              <w:t>Osapool</w:t>
            </w:r>
          </w:p>
        </w:tc>
        <w:tc>
          <w:tcPr>
            <w:tcW w:type="dxa" w:w="2835"/>
            <w:shd w:fill="F7931E"/>
            <w:vAlign w:val="center"/>
            <w:tcMar>
              <w:top w:w="90" w:type="dxa"/>
              <w:start w:w="90" w:type="dxa"/>
              <w:bottom w:w="90" w:type="dxa"/>
              <w:end w:w="90" w:type="dxa"/>
            </w:tcMar>
          </w:tcPr>
          <w:p>
            <w:r>
              <w:rPr>
                <w:b/>
                <w:color w:val="FFFFFF"/>
                <w:sz w:val="19"/>
              </w:rPr>
              <w:t>Praegune olukord</w:t>
            </w:r>
          </w:p>
        </w:tc>
        <w:tc>
          <w:tcPr>
            <w:tcW w:type="dxa" w:w="3402"/>
            <w:shd w:fill="F7931E"/>
            <w:vAlign w:val="center"/>
            <w:tcMar>
              <w:top w:w="90" w:type="dxa"/>
              <w:start w:w="90" w:type="dxa"/>
              <w:bottom w:w="90" w:type="dxa"/>
              <w:end w:w="90" w:type="dxa"/>
            </w:tcMar>
          </w:tcPr>
          <w:p>
            <w:r>
              <w:rPr>
                <w:b/>
                <w:color w:val="FFFFFF"/>
                <w:sz w:val="19"/>
              </w:rPr>
              <w:t>Ühishanke väärtus</w:t>
            </w:r>
          </w:p>
        </w:tc>
      </w:tr>
      <w:tr>
        <w:trPr>
          <w:cantSplit/>
        </w:trPr>
        <w:tc>
          <w:tcPr>
            <w:tcW w:type="dxa" w:w="2268"/>
            <w:vAlign w:val="center"/>
            <w:tcMar>
              <w:top w:w="90" w:type="dxa"/>
              <w:start w:w="90" w:type="dxa"/>
              <w:bottom w:w="90" w:type="dxa"/>
              <w:end w:w="90" w:type="dxa"/>
            </w:tcMar>
          </w:tcPr>
          <w:p>
            <w:r>
              <w:rPr>
                <w:sz w:val="19"/>
              </w:rPr>
              <w:t>KÜ</w:t>
            </w:r>
          </w:p>
        </w:tc>
        <w:tc>
          <w:tcPr>
            <w:tcW w:type="dxa" w:w="2835"/>
            <w:vAlign w:val="center"/>
            <w:tcMar>
              <w:top w:w="90" w:type="dxa"/>
              <w:start w:w="90" w:type="dxa"/>
              <w:bottom w:w="90" w:type="dxa"/>
              <w:end w:w="90" w:type="dxa"/>
            </w:tcMar>
          </w:tcPr>
          <w:p>
            <w:r>
              <w:rPr>
                <w:sz w:val="19"/>
              </w:rPr>
              <w:t>Väike ostja</w:t>
            </w:r>
          </w:p>
        </w:tc>
        <w:tc>
          <w:tcPr>
            <w:tcW w:type="dxa" w:w="3402"/>
            <w:vAlign w:val="center"/>
            <w:tcMar>
              <w:top w:w="90" w:type="dxa"/>
              <w:start w:w="90" w:type="dxa"/>
              <w:bottom w:w="90" w:type="dxa"/>
              <w:end w:w="90" w:type="dxa"/>
            </w:tcMar>
          </w:tcPr>
          <w:p>
            <w:r>
              <w:rPr>
                <w:sz w:val="19"/>
              </w:rPr>
              <w:t>Suurem kollektiivne ostujõud</w:t>
            </w:r>
          </w:p>
        </w:tc>
      </w:tr>
      <w:tr>
        <w:trPr>
          <w:cantSplit/>
        </w:trPr>
        <w:tc>
          <w:tcPr>
            <w:tcW w:type="dxa" w:w="2268"/>
            <w:vAlign w:val="center"/>
            <w:tcMar>
              <w:top w:w="90" w:type="dxa"/>
              <w:start w:w="90" w:type="dxa"/>
              <w:bottom w:w="90" w:type="dxa"/>
              <w:end w:w="90" w:type="dxa"/>
            </w:tcMar>
          </w:tcPr>
          <w:p>
            <w:r>
              <w:rPr>
                <w:sz w:val="19"/>
              </w:rPr>
              <w:t>KÜ juhatus</w:t>
            </w:r>
          </w:p>
        </w:tc>
        <w:tc>
          <w:tcPr>
            <w:tcW w:type="dxa" w:w="2835"/>
            <w:vAlign w:val="center"/>
            <w:tcMar>
              <w:top w:w="90" w:type="dxa"/>
              <w:start w:w="90" w:type="dxa"/>
              <w:bottom w:w="90" w:type="dxa"/>
              <w:end w:w="90" w:type="dxa"/>
            </w:tcMar>
          </w:tcPr>
          <w:p>
            <w:r>
              <w:rPr>
                <w:sz w:val="19"/>
              </w:rPr>
              <w:t>Pakkujad tuleb ise leida</w:t>
            </w:r>
          </w:p>
        </w:tc>
        <w:tc>
          <w:tcPr>
            <w:tcW w:type="dxa" w:w="3402"/>
            <w:vAlign w:val="center"/>
            <w:tcMar>
              <w:top w:w="90" w:type="dxa"/>
              <w:start w:w="90" w:type="dxa"/>
              <w:bottom w:w="90" w:type="dxa"/>
              <w:end w:w="90" w:type="dxa"/>
            </w:tcMar>
          </w:tcPr>
          <w:p>
            <w:r>
              <w:rPr>
                <w:sz w:val="19"/>
              </w:rPr>
              <w:t>Pakkujad kutsutakse ühishanke juurde</w:t>
            </w:r>
          </w:p>
        </w:tc>
      </w:tr>
      <w:tr>
        <w:trPr>
          <w:cantSplit/>
        </w:trPr>
        <w:tc>
          <w:tcPr>
            <w:tcW w:type="dxa" w:w="2268"/>
            <w:vAlign w:val="center"/>
            <w:tcMar>
              <w:top w:w="90" w:type="dxa"/>
              <w:start w:w="90" w:type="dxa"/>
              <w:bottom w:w="90" w:type="dxa"/>
              <w:end w:w="90" w:type="dxa"/>
            </w:tcMar>
          </w:tcPr>
          <w:p>
            <w:r>
              <w:rPr>
                <w:sz w:val="19"/>
              </w:rPr>
              <w:t>KÜ</w:t>
            </w:r>
          </w:p>
        </w:tc>
        <w:tc>
          <w:tcPr>
            <w:tcW w:type="dxa" w:w="2835"/>
            <w:vAlign w:val="center"/>
            <w:tcMar>
              <w:top w:w="90" w:type="dxa"/>
              <w:start w:w="90" w:type="dxa"/>
              <w:bottom w:w="90" w:type="dxa"/>
              <w:end w:w="90" w:type="dxa"/>
            </w:tcMar>
          </w:tcPr>
          <w:p>
            <w:r>
              <w:rPr>
                <w:sz w:val="19"/>
              </w:rPr>
              <w:t>Hinda raske hinnata</w:t>
            </w:r>
          </w:p>
        </w:tc>
        <w:tc>
          <w:tcPr>
            <w:tcW w:type="dxa" w:w="3402"/>
            <w:vAlign w:val="center"/>
            <w:tcMar>
              <w:top w:w="90" w:type="dxa"/>
              <w:start w:w="90" w:type="dxa"/>
              <w:bottom w:w="90" w:type="dxa"/>
              <w:end w:w="90" w:type="dxa"/>
            </w:tcMar>
          </w:tcPr>
          <w:p>
            <w:r>
              <w:rPr>
                <w:sz w:val="19"/>
              </w:rPr>
              <w:t>Näeb mahu suurenedes muutuvat hinda</w:t>
            </w:r>
          </w:p>
        </w:tc>
      </w:tr>
      <w:tr>
        <w:trPr>
          <w:cantSplit/>
        </w:trPr>
        <w:tc>
          <w:tcPr>
            <w:tcW w:type="dxa" w:w="2268"/>
            <w:vAlign w:val="center"/>
            <w:tcMar>
              <w:top w:w="90" w:type="dxa"/>
              <w:start w:w="90" w:type="dxa"/>
              <w:bottom w:w="90" w:type="dxa"/>
              <w:end w:w="90" w:type="dxa"/>
            </w:tcMar>
          </w:tcPr>
          <w:p>
            <w:r>
              <w:rPr>
                <w:sz w:val="19"/>
              </w:rPr>
              <w:t>Teenusepakkuja</w:t>
            </w:r>
          </w:p>
        </w:tc>
        <w:tc>
          <w:tcPr>
            <w:tcW w:type="dxa" w:w="2835"/>
            <w:vAlign w:val="center"/>
            <w:tcMar>
              <w:top w:w="90" w:type="dxa"/>
              <w:start w:w="90" w:type="dxa"/>
              <w:bottom w:w="90" w:type="dxa"/>
              <w:end w:w="90" w:type="dxa"/>
            </w:tcMar>
          </w:tcPr>
          <w:p>
            <w:r>
              <w:rPr>
                <w:sz w:val="19"/>
              </w:rPr>
              <w:t>Kallis kliendihange</w:t>
            </w:r>
          </w:p>
        </w:tc>
        <w:tc>
          <w:tcPr>
            <w:tcW w:type="dxa" w:w="3402"/>
            <w:vAlign w:val="center"/>
            <w:tcMar>
              <w:top w:w="90" w:type="dxa"/>
              <w:start w:w="90" w:type="dxa"/>
              <w:bottom w:w="90" w:type="dxa"/>
              <w:end w:w="90" w:type="dxa"/>
            </w:tcMar>
          </w:tcPr>
          <w:p>
            <w:r>
              <w:rPr>
                <w:sz w:val="19"/>
              </w:rPr>
              <w:t>Üks pakkumine võib tuua mitu klienti</w:t>
            </w:r>
          </w:p>
        </w:tc>
      </w:tr>
      <w:tr>
        <w:trPr>
          <w:cantSplit/>
        </w:trPr>
        <w:tc>
          <w:tcPr>
            <w:tcW w:type="dxa" w:w="2268"/>
            <w:vAlign w:val="center"/>
            <w:tcMar>
              <w:top w:w="90" w:type="dxa"/>
              <w:start w:w="90" w:type="dxa"/>
              <w:bottom w:w="90" w:type="dxa"/>
              <w:end w:w="90" w:type="dxa"/>
            </w:tcMar>
          </w:tcPr>
          <w:p>
            <w:r>
              <w:rPr>
                <w:sz w:val="19"/>
              </w:rPr>
              <w:t>Teenusepakkuja</w:t>
            </w:r>
          </w:p>
        </w:tc>
        <w:tc>
          <w:tcPr>
            <w:tcW w:type="dxa" w:w="2835"/>
            <w:vAlign w:val="center"/>
            <w:tcMar>
              <w:top w:w="90" w:type="dxa"/>
              <w:start w:w="90" w:type="dxa"/>
              <w:bottom w:w="90" w:type="dxa"/>
              <w:end w:w="90" w:type="dxa"/>
            </w:tcMar>
          </w:tcPr>
          <w:p>
            <w:r>
              <w:rPr>
                <w:sz w:val="19"/>
              </w:rPr>
              <w:t>Objektid hajali</w:t>
            </w:r>
          </w:p>
        </w:tc>
        <w:tc>
          <w:tcPr>
            <w:tcW w:type="dxa" w:w="3402"/>
            <w:vAlign w:val="center"/>
            <w:tcMar>
              <w:top w:w="90" w:type="dxa"/>
              <w:start w:w="90" w:type="dxa"/>
              <w:bottom w:w="90" w:type="dxa"/>
              <w:end w:w="90" w:type="dxa"/>
            </w:tcMar>
          </w:tcPr>
          <w:p>
            <w:r>
              <w:rPr>
                <w:sz w:val="19"/>
              </w:rPr>
              <w:t>Geograafiline klaster</w:t>
            </w:r>
          </w:p>
        </w:tc>
      </w:tr>
      <w:tr>
        <w:trPr>
          <w:cantSplit/>
        </w:trPr>
        <w:tc>
          <w:tcPr>
            <w:tcW w:type="dxa" w:w="2268"/>
            <w:vAlign w:val="center"/>
            <w:tcMar>
              <w:top w:w="90" w:type="dxa"/>
              <w:start w:w="90" w:type="dxa"/>
              <w:bottom w:w="90" w:type="dxa"/>
              <w:end w:w="90" w:type="dxa"/>
            </w:tcMar>
          </w:tcPr>
          <w:p>
            <w:r>
              <w:rPr>
                <w:sz w:val="19"/>
              </w:rPr>
              <w:t>Teenusepakkuja</w:t>
            </w:r>
          </w:p>
        </w:tc>
        <w:tc>
          <w:tcPr>
            <w:tcW w:type="dxa" w:w="2835"/>
            <w:vAlign w:val="center"/>
            <w:tcMar>
              <w:top w:w="90" w:type="dxa"/>
              <w:start w:w="90" w:type="dxa"/>
              <w:bottom w:w="90" w:type="dxa"/>
              <w:end w:w="90" w:type="dxa"/>
            </w:tcMar>
          </w:tcPr>
          <w:p>
            <w:r>
              <w:rPr>
                <w:sz w:val="19"/>
              </w:rPr>
              <w:t>Ebakindel nõudlus</w:t>
            </w:r>
          </w:p>
        </w:tc>
        <w:tc>
          <w:tcPr>
            <w:tcW w:type="dxa" w:w="3402"/>
            <w:vAlign w:val="center"/>
            <w:tcMar>
              <w:top w:w="90" w:type="dxa"/>
              <w:start w:w="90" w:type="dxa"/>
              <w:bottom w:w="90" w:type="dxa"/>
              <w:end w:w="90" w:type="dxa"/>
            </w:tcMar>
          </w:tcPr>
          <w:p>
            <w:r>
              <w:rPr>
                <w:sz w:val="19"/>
              </w:rPr>
              <w:t>Käsiraha/commitment kinnitab nõudluse</w:t>
            </w:r>
          </w:p>
        </w:tc>
      </w:tr>
      <w:tr>
        <w:trPr>
          <w:cantSplit/>
        </w:trPr>
        <w:tc>
          <w:tcPr>
            <w:tcW w:type="dxa" w:w="2268"/>
            <w:vAlign w:val="center"/>
            <w:tcMar>
              <w:top w:w="90" w:type="dxa"/>
              <w:start w:w="90" w:type="dxa"/>
              <w:bottom w:w="90" w:type="dxa"/>
              <w:end w:w="90" w:type="dxa"/>
            </w:tcMar>
          </w:tcPr>
          <w:p>
            <w:r>
              <w:rPr>
                <w:sz w:val="19"/>
              </w:rPr>
              <w:t>Mõlemad</w:t>
            </w:r>
          </w:p>
        </w:tc>
        <w:tc>
          <w:tcPr>
            <w:tcW w:type="dxa" w:w="2835"/>
            <w:vAlign w:val="center"/>
            <w:tcMar>
              <w:top w:w="90" w:type="dxa"/>
              <w:start w:w="90" w:type="dxa"/>
              <w:bottom w:w="90" w:type="dxa"/>
              <w:end w:w="90" w:type="dxa"/>
            </w:tcMar>
          </w:tcPr>
          <w:p>
            <w:r>
              <w:rPr>
                <w:sz w:val="19"/>
              </w:rPr>
              <w:t>Palju läbirääkimisi</w:t>
            </w:r>
          </w:p>
        </w:tc>
        <w:tc>
          <w:tcPr>
            <w:tcW w:type="dxa" w:w="3402"/>
            <w:vAlign w:val="center"/>
            <w:tcMar>
              <w:top w:w="90" w:type="dxa"/>
              <w:start w:w="90" w:type="dxa"/>
              <w:bottom w:w="90" w:type="dxa"/>
              <w:end w:w="90" w:type="dxa"/>
            </w:tcMar>
          </w:tcPr>
          <w:p>
            <w:r>
              <w:rPr>
                <w:sz w:val="19"/>
              </w:rPr>
              <w:t>Standardiseeritud protsess</w:t>
            </w:r>
          </w:p>
        </w:tc>
      </w:tr>
      <w:tr>
        <w:trPr>
          <w:cantSplit/>
        </w:trPr>
        <w:tc>
          <w:tcPr>
            <w:tcW w:type="dxa" w:w="2268"/>
            <w:vAlign w:val="center"/>
            <w:tcMar>
              <w:top w:w="90" w:type="dxa"/>
              <w:start w:w="90" w:type="dxa"/>
              <w:bottom w:w="90" w:type="dxa"/>
              <w:end w:w="90" w:type="dxa"/>
            </w:tcMar>
          </w:tcPr>
          <w:p>
            <w:r>
              <w:rPr>
                <w:sz w:val="19"/>
              </w:rPr>
              <w:t>Platvorm</w:t>
            </w:r>
          </w:p>
        </w:tc>
        <w:tc>
          <w:tcPr>
            <w:tcW w:type="dxa" w:w="2835"/>
            <w:vAlign w:val="center"/>
            <w:tcMar>
              <w:top w:w="90" w:type="dxa"/>
              <w:start w:w="90" w:type="dxa"/>
              <w:bottom w:w="90" w:type="dxa"/>
              <w:end w:w="90" w:type="dxa"/>
            </w:tcMar>
          </w:tcPr>
          <w:p>
            <w:r>
              <w:rPr>
                <w:sz w:val="19"/>
              </w:rPr>
              <w:t>—</w:t>
            </w:r>
          </w:p>
        </w:tc>
        <w:tc>
          <w:tcPr>
            <w:tcW w:type="dxa" w:w="3402"/>
            <w:vAlign w:val="center"/>
            <w:tcMar>
              <w:top w:w="90" w:type="dxa"/>
              <w:start w:w="90" w:type="dxa"/>
              <w:bottom w:w="90" w:type="dxa"/>
              <w:end w:w="90" w:type="dxa"/>
            </w:tcMar>
          </w:tcPr>
          <w:p>
            <w:r>
              <w:rPr>
                <w:sz w:val="19"/>
              </w:rPr>
              <w:t>Edukustasu realiseerunud mahult</w:t>
            </w:r>
          </w:p>
        </w:tc>
      </w:tr>
    </w:tbl>
    <w:p/>
    <w:p>
      <w:pPr>
        <w:pStyle w:val="Heading1"/>
      </w:pPr>
      <w:r>
        <w:t>3. Toote põhiloogika ja protsess</w:t>
      </w:r>
    </w:p>
    <w:p>
      <w:pPr>
        <w:pStyle w:val="Heading2"/>
      </w:pPr>
      <w:r>
        <w:t>3.1 Astmeline pakkumine</w:t>
      </w:r>
    </w:p>
    <w:p>
      <w:r>
        <w:t>Pakkuja peaks ise määrama, kuidas hind muutub osalejate arvu kasvades. Platvorm ei tohiks kehtestada universaalset “5 klienti = 15%” reeglit, sest teenuse kulustruktuur on kategooriate ja pakkujate lõikes erinev.</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835"/>
            <w:shd w:fill="F7931E"/>
            <w:vAlign w:val="center"/>
            <w:tcMar>
              <w:top w:w="90" w:type="dxa"/>
              <w:start w:w="90" w:type="dxa"/>
              <w:bottom w:w="90" w:type="dxa"/>
              <w:end w:w="90" w:type="dxa"/>
            </w:tcMar>
          </w:tcPr>
          <w:p>
            <w:r>
              <w:rPr>
                <w:b/>
                <w:color w:val="FFFFFF"/>
                <w:sz w:val="19"/>
              </w:rPr>
              <w:t>Liitunud objekte</w:t>
            </w:r>
          </w:p>
        </w:tc>
        <w:tc>
          <w:tcPr>
            <w:tcW w:type="dxa" w:w="3402"/>
            <w:shd w:fill="F7931E"/>
            <w:vAlign w:val="center"/>
            <w:tcMar>
              <w:top w:w="90" w:type="dxa"/>
              <w:start w:w="90" w:type="dxa"/>
              <w:bottom w:w="90" w:type="dxa"/>
              <w:end w:w="90" w:type="dxa"/>
            </w:tcMar>
          </w:tcPr>
          <w:p>
            <w:r>
              <w:rPr>
                <w:b/>
                <w:color w:val="FFFFFF"/>
                <w:sz w:val="19"/>
              </w:rPr>
              <w:t>Näidishind objekti kohta</w:t>
            </w:r>
          </w:p>
        </w:tc>
        <w:tc>
          <w:tcPr>
            <w:tcW w:type="dxa" w:w="2268"/>
            <w:shd w:fill="F7931E"/>
            <w:vAlign w:val="center"/>
            <w:tcMar>
              <w:top w:w="90" w:type="dxa"/>
              <w:start w:w="90" w:type="dxa"/>
              <w:bottom w:w="90" w:type="dxa"/>
              <w:end w:w="90" w:type="dxa"/>
            </w:tcMar>
          </w:tcPr>
          <w:p>
            <w:r>
              <w:rPr>
                <w:b/>
                <w:color w:val="FFFFFF"/>
                <w:sz w:val="19"/>
              </w:rPr>
              <w:t>Allahindlus</w:t>
            </w:r>
          </w:p>
        </w:tc>
      </w:tr>
      <w:tr>
        <w:trPr>
          <w:cantSplit/>
        </w:trPr>
        <w:tc>
          <w:tcPr>
            <w:tcW w:type="dxa" w:w="2835"/>
            <w:vAlign w:val="center"/>
            <w:tcMar>
              <w:top w:w="90" w:type="dxa"/>
              <w:start w:w="90" w:type="dxa"/>
              <w:bottom w:w="90" w:type="dxa"/>
              <w:end w:w="90" w:type="dxa"/>
            </w:tcMar>
          </w:tcPr>
          <w:p>
            <w:r>
              <w:rPr>
                <w:sz w:val="19"/>
              </w:rPr>
              <w:t>1</w:t>
            </w:r>
          </w:p>
        </w:tc>
        <w:tc>
          <w:tcPr>
            <w:tcW w:type="dxa" w:w="3402"/>
            <w:vAlign w:val="center"/>
            <w:tcMar>
              <w:top w:w="90" w:type="dxa"/>
              <w:start w:w="90" w:type="dxa"/>
              <w:bottom w:w="90" w:type="dxa"/>
              <w:end w:w="90" w:type="dxa"/>
            </w:tcMar>
          </w:tcPr>
          <w:p>
            <w:r>
              <w:rPr>
                <w:sz w:val="19"/>
              </w:rPr>
              <w:t>2 000 €</w:t>
            </w:r>
          </w:p>
        </w:tc>
        <w:tc>
          <w:tcPr>
            <w:tcW w:type="dxa" w:w="2268"/>
            <w:vAlign w:val="center"/>
            <w:tcMar>
              <w:top w:w="90" w:type="dxa"/>
              <w:start w:w="90" w:type="dxa"/>
              <w:bottom w:w="90" w:type="dxa"/>
              <w:end w:w="90" w:type="dxa"/>
            </w:tcMar>
          </w:tcPr>
          <w:p>
            <w:r>
              <w:rPr>
                <w:sz w:val="19"/>
              </w:rPr>
              <w:t>0%</w:t>
            </w:r>
          </w:p>
        </w:tc>
      </w:tr>
      <w:tr>
        <w:trPr>
          <w:cantSplit/>
        </w:trPr>
        <w:tc>
          <w:tcPr>
            <w:tcW w:type="dxa" w:w="2835"/>
            <w:vAlign w:val="center"/>
            <w:tcMar>
              <w:top w:w="90" w:type="dxa"/>
              <w:start w:w="90" w:type="dxa"/>
              <w:bottom w:w="90" w:type="dxa"/>
              <w:end w:w="90" w:type="dxa"/>
            </w:tcMar>
          </w:tcPr>
          <w:p>
            <w:r>
              <w:rPr>
                <w:sz w:val="19"/>
              </w:rPr>
              <w:t>3</w:t>
            </w:r>
          </w:p>
        </w:tc>
        <w:tc>
          <w:tcPr>
            <w:tcW w:type="dxa" w:w="3402"/>
            <w:vAlign w:val="center"/>
            <w:tcMar>
              <w:top w:w="90" w:type="dxa"/>
              <w:start w:w="90" w:type="dxa"/>
              <w:bottom w:w="90" w:type="dxa"/>
              <w:end w:w="90" w:type="dxa"/>
            </w:tcMar>
          </w:tcPr>
          <w:p>
            <w:r>
              <w:rPr>
                <w:sz w:val="19"/>
              </w:rPr>
              <w:t>1 900 €</w:t>
            </w:r>
          </w:p>
        </w:tc>
        <w:tc>
          <w:tcPr>
            <w:tcW w:type="dxa" w:w="2268"/>
            <w:vAlign w:val="center"/>
            <w:tcMar>
              <w:top w:w="90" w:type="dxa"/>
              <w:start w:w="90" w:type="dxa"/>
              <w:bottom w:w="90" w:type="dxa"/>
              <w:end w:w="90" w:type="dxa"/>
            </w:tcMar>
          </w:tcPr>
          <w:p>
            <w:r>
              <w:rPr>
                <w:sz w:val="19"/>
              </w:rPr>
              <w:t>5%</w:t>
            </w:r>
          </w:p>
        </w:tc>
      </w:tr>
      <w:tr>
        <w:trPr>
          <w:cantSplit/>
        </w:trPr>
        <w:tc>
          <w:tcPr>
            <w:tcW w:type="dxa" w:w="2835"/>
            <w:vAlign w:val="center"/>
            <w:tcMar>
              <w:top w:w="90" w:type="dxa"/>
              <w:start w:w="90" w:type="dxa"/>
              <w:bottom w:w="90" w:type="dxa"/>
              <w:end w:w="90" w:type="dxa"/>
            </w:tcMar>
          </w:tcPr>
          <w:p>
            <w:r>
              <w:rPr>
                <w:sz w:val="19"/>
              </w:rPr>
              <w:t>5</w:t>
            </w:r>
          </w:p>
        </w:tc>
        <w:tc>
          <w:tcPr>
            <w:tcW w:type="dxa" w:w="3402"/>
            <w:vAlign w:val="center"/>
            <w:tcMar>
              <w:top w:w="90" w:type="dxa"/>
              <w:start w:w="90" w:type="dxa"/>
              <w:bottom w:w="90" w:type="dxa"/>
              <w:end w:w="90" w:type="dxa"/>
            </w:tcMar>
          </w:tcPr>
          <w:p>
            <w:r>
              <w:rPr>
                <w:sz w:val="19"/>
              </w:rPr>
              <w:t>1 800 €</w:t>
            </w:r>
          </w:p>
        </w:tc>
        <w:tc>
          <w:tcPr>
            <w:tcW w:type="dxa" w:w="2268"/>
            <w:vAlign w:val="center"/>
            <w:tcMar>
              <w:top w:w="90" w:type="dxa"/>
              <w:start w:w="90" w:type="dxa"/>
              <w:bottom w:w="90" w:type="dxa"/>
              <w:end w:w="90" w:type="dxa"/>
            </w:tcMar>
          </w:tcPr>
          <w:p>
            <w:r>
              <w:rPr>
                <w:sz w:val="19"/>
              </w:rPr>
              <w:t>10%</w:t>
            </w:r>
          </w:p>
        </w:tc>
      </w:tr>
      <w:tr>
        <w:trPr>
          <w:cantSplit/>
        </w:trPr>
        <w:tc>
          <w:tcPr>
            <w:tcW w:type="dxa" w:w="2835"/>
            <w:vAlign w:val="center"/>
            <w:tcMar>
              <w:top w:w="90" w:type="dxa"/>
              <w:start w:w="90" w:type="dxa"/>
              <w:bottom w:w="90" w:type="dxa"/>
              <w:end w:w="90" w:type="dxa"/>
            </w:tcMar>
          </w:tcPr>
          <w:p>
            <w:r>
              <w:rPr>
                <w:sz w:val="19"/>
              </w:rPr>
              <w:t>8</w:t>
            </w:r>
          </w:p>
        </w:tc>
        <w:tc>
          <w:tcPr>
            <w:tcW w:type="dxa" w:w="3402"/>
            <w:vAlign w:val="center"/>
            <w:tcMar>
              <w:top w:w="90" w:type="dxa"/>
              <w:start w:w="90" w:type="dxa"/>
              <w:bottom w:w="90" w:type="dxa"/>
              <w:end w:w="90" w:type="dxa"/>
            </w:tcMar>
          </w:tcPr>
          <w:p>
            <w:r>
              <w:rPr>
                <w:sz w:val="19"/>
              </w:rPr>
              <w:t>1 700 €</w:t>
            </w:r>
          </w:p>
        </w:tc>
        <w:tc>
          <w:tcPr>
            <w:tcW w:type="dxa" w:w="2268"/>
            <w:vAlign w:val="center"/>
            <w:tcMar>
              <w:top w:w="90" w:type="dxa"/>
              <w:start w:w="90" w:type="dxa"/>
              <w:bottom w:w="90" w:type="dxa"/>
              <w:end w:w="90" w:type="dxa"/>
            </w:tcMar>
          </w:tcPr>
          <w:p>
            <w:r>
              <w:rPr>
                <w:sz w:val="19"/>
              </w:rPr>
              <w:t>15%</w:t>
            </w:r>
          </w:p>
        </w:tc>
      </w:tr>
    </w:tbl>
    <w:p/>
    <w:p>
      <w:r>
        <w:t>Kasutajale võiks süsteem näidata näiteks: “Hetkel 4 osalejat — sinu hind 1 900 €. Ühe KÜ lisandumisel langeb kõigi hind 1 800 € peale.” See loob sisseehitatud referral-mehhanismi, sest olemasolevatel osalejatel tekib motivatsioon naabreid kutsuda.</w:t>
      </w:r>
    </w:p>
    <w:p>
      <w:pPr>
        <w:pStyle w:val="Heading2"/>
      </w:pPr>
      <w:r>
        <w:t>3.2 Geograafiline raadius</w:t>
      </w:r>
    </w:p>
    <w:p>
      <w:r>
        <w:t>500 meetrit on väga hea MVP kontseptsioon, kuid mitte universaalne reegel. Optimaalne klaster sõltub teenusest ja sellest, kui suure osa teenuse omahinnast moodustab sõit, logistika või seadmete ümberpaigutamine.</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535"/>
            <w:shd w:fill="F7931E"/>
            <w:vAlign w:val="center"/>
            <w:tcMar>
              <w:top w:w="90" w:type="dxa"/>
              <w:start w:w="90" w:type="dxa"/>
              <w:bottom w:w="90" w:type="dxa"/>
              <w:end w:w="90" w:type="dxa"/>
            </w:tcMar>
          </w:tcPr>
          <w:p>
            <w:r>
              <w:rPr>
                <w:b/>
                <w:color w:val="FFFFFF"/>
                <w:sz w:val="19"/>
              </w:rPr>
              <w:t>Teenus</w:t>
            </w:r>
          </w:p>
        </w:tc>
        <w:tc>
          <w:tcPr>
            <w:tcW w:type="dxa" w:w="3969"/>
            <w:shd w:fill="F7931E"/>
            <w:vAlign w:val="center"/>
            <w:tcMar>
              <w:top w:w="90" w:type="dxa"/>
              <w:start w:w="90" w:type="dxa"/>
              <w:bottom w:w="90" w:type="dxa"/>
              <w:end w:w="90" w:type="dxa"/>
            </w:tcMar>
          </w:tcPr>
          <w:p>
            <w:r>
              <w:rPr>
                <w:b/>
                <w:color w:val="FFFFFF"/>
                <w:sz w:val="19"/>
              </w:rPr>
              <w:t>Mõistlik esialgne klaster</w:t>
            </w:r>
          </w:p>
        </w:tc>
      </w:tr>
      <w:tr>
        <w:trPr>
          <w:cantSplit/>
        </w:trPr>
        <w:tc>
          <w:tcPr>
            <w:tcW w:type="dxa" w:w="4535"/>
            <w:vAlign w:val="center"/>
            <w:tcMar>
              <w:top w:w="90" w:type="dxa"/>
              <w:start w:w="90" w:type="dxa"/>
              <w:bottom w:w="90" w:type="dxa"/>
              <w:end w:w="90" w:type="dxa"/>
            </w:tcMar>
          </w:tcPr>
          <w:p>
            <w:r>
              <w:rPr>
                <w:sz w:val="19"/>
              </w:rPr>
              <w:t>Lumetõrje</w:t>
            </w:r>
          </w:p>
        </w:tc>
        <w:tc>
          <w:tcPr>
            <w:tcW w:type="dxa" w:w="3969"/>
            <w:vAlign w:val="center"/>
            <w:tcMar>
              <w:top w:w="90" w:type="dxa"/>
              <w:start w:w="90" w:type="dxa"/>
              <w:bottom w:w="90" w:type="dxa"/>
              <w:end w:w="90" w:type="dxa"/>
            </w:tcMar>
          </w:tcPr>
          <w:p>
            <w:r>
              <w:rPr>
                <w:sz w:val="19"/>
              </w:rPr>
              <w:t>300 m – 1 km</w:t>
            </w:r>
          </w:p>
        </w:tc>
      </w:tr>
      <w:tr>
        <w:trPr>
          <w:cantSplit/>
        </w:trPr>
        <w:tc>
          <w:tcPr>
            <w:tcW w:type="dxa" w:w="4535"/>
            <w:vAlign w:val="center"/>
            <w:tcMar>
              <w:top w:w="90" w:type="dxa"/>
              <w:start w:w="90" w:type="dxa"/>
              <w:bottom w:w="90" w:type="dxa"/>
              <w:end w:w="90" w:type="dxa"/>
            </w:tcMar>
          </w:tcPr>
          <w:p>
            <w:r>
              <w:rPr>
                <w:sz w:val="19"/>
              </w:rPr>
              <w:t>Muruniitmine / haljastus</w:t>
            </w:r>
          </w:p>
        </w:tc>
        <w:tc>
          <w:tcPr>
            <w:tcW w:type="dxa" w:w="3969"/>
            <w:vAlign w:val="center"/>
            <w:tcMar>
              <w:top w:w="90" w:type="dxa"/>
              <w:start w:w="90" w:type="dxa"/>
              <w:bottom w:w="90" w:type="dxa"/>
              <w:end w:w="90" w:type="dxa"/>
            </w:tcMar>
          </w:tcPr>
          <w:p>
            <w:r>
              <w:rPr>
                <w:sz w:val="19"/>
              </w:rPr>
              <w:t>500 m – 2 km</w:t>
            </w:r>
          </w:p>
        </w:tc>
      </w:tr>
      <w:tr>
        <w:trPr>
          <w:cantSplit/>
        </w:trPr>
        <w:tc>
          <w:tcPr>
            <w:tcW w:type="dxa" w:w="4535"/>
            <w:vAlign w:val="center"/>
            <w:tcMar>
              <w:top w:w="90" w:type="dxa"/>
              <w:start w:w="90" w:type="dxa"/>
              <w:bottom w:w="90" w:type="dxa"/>
              <w:end w:w="90" w:type="dxa"/>
            </w:tcMar>
          </w:tcPr>
          <w:p>
            <w:r>
              <w:rPr>
                <w:sz w:val="19"/>
              </w:rPr>
              <w:t>Trepikodade koristus</w:t>
            </w:r>
          </w:p>
        </w:tc>
        <w:tc>
          <w:tcPr>
            <w:tcW w:type="dxa" w:w="3969"/>
            <w:vAlign w:val="center"/>
            <w:tcMar>
              <w:top w:w="90" w:type="dxa"/>
              <w:start w:w="90" w:type="dxa"/>
              <w:bottom w:w="90" w:type="dxa"/>
              <w:end w:w="90" w:type="dxa"/>
            </w:tcMar>
          </w:tcPr>
          <w:p>
            <w:r>
              <w:rPr>
                <w:sz w:val="19"/>
              </w:rPr>
              <w:t>500 m – 2 km</w:t>
            </w:r>
          </w:p>
        </w:tc>
      </w:tr>
      <w:tr>
        <w:trPr>
          <w:cantSplit/>
        </w:trPr>
        <w:tc>
          <w:tcPr>
            <w:tcW w:type="dxa" w:w="4535"/>
            <w:vAlign w:val="center"/>
            <w:tcMar>
              <w:top w:w="90" w:type="dxa"/>
              <w:start w:w="90" w:type="dxa"/>
              <w:bottom w:w="90" w:type="dxa"/>
              <w:end w:w="90" w:type="dxa"/>
            </w:tcMar>
          </w:tcPr>
          <w:p>
            <w:r>
              <w:rPr>
                <w:sz w:val="19"/>
              </w:rPr>
              <w:t>Prügimajade puhastus</w:t>
            </w:r>
          </w:p>
        </w:tc>
        <w:tc>
          <w:tcPr>
            <w:tcW w:type="dxa" w:w="3969"/>
            <w:vAlign w:val="center"/>
            <w:tcMar>
              <w:top w:w="90" w:type="dxa"/>
              <w:start w:w="90" w:type="dxa"/>
              <w:bottom w:w="90" w:type="dxa"/>
              <w:end w:w="90" w:type="dxa"/>
            </w:tcMar>
          </w:tcPr>
          <w:p>
            <w:r>
              <w:rPr>
                <w:sz w:val="19"/>
              </w:rPr>
              <w:t>500 m – 2 km</w:t>
            </w:r>
          </w:p>
        </w:tc>
      </w:tr>
      <w:tr>
        <w:trPr>
          <w:cantSplit/>
        </w:trPr>
        <w:tc>
          <w:tcPr>
            <w:tcW w:type="dxa" w:w="4535"/>
            <w:vAlign w:val="center"/>
            <w:tcMar>
              <w:top w:w="90" w:type="dxa"/>
              <w:start w:w="90" w:type="dxa"/>
              <w:bottom w:w="90" w:type="dxa"/>
              <w:end w:w="90" w:type="dxa"/>
            </w:tcMar>
          </w:tcPr>
          <w:p>
            <w:r>
              <w:rPr>
                <w:sz w:val="19"/>
              </w:rPr>
              <w:t>Kahjuritõrje</w:t>
            </w:r>
          </w:p>
        </w:tc>
        <w:tc>
          <w:tcPr>
            <w:tcW w:type="dxa" w:w="3969"/>
            <w:vAlign w:val="center"/>
            <w:tcMar>
              <w:top w:w="90" w:type="dxa"/>
              <w:start w:w="90" w:type="dxa"/>
              <w:bottom w:w="90" w:type="dxa"/>
              <w:end w:w="90" w:type="dxa"/>
            </w:tcMar>
          </w:tcPr>
          <w:p>
            <w:r>
              <w:rPr>
                <w:sz w:val="19"/>
              </w:rPr>
              <w:t>1–5 km</w:t>
            </w:r>
          </w:p>
        </w:tc>
      </w:tr>
      <w:tr>
        <w:trPr>
          <w:cantSplit/>
        </w:trPr>
        <w:tc>
          <w:tcPr>
            <w:tcW w:type="dxa" w:w="4535"/>
            <w:vAlign w:val="center"/>
            <w:tcMar>
              <w:top w:w="90" w:type="dxa"/>
              <w:start w:w="90" w:type="dxa"/>
              <w:bottom w:w="90" w:type="dxa"/>
              <w:end w:w="90" w:type="dxa"/>
            </w:tcMar>
          </w:tcPr>
          <w:p>
            <w:r>
              <w:rPr>
                <w:sz w:val="19"/>
              </w:rPr>
              <w:t>Akende pesu</w:t>
            </w:r>
          </w:p>
        </w:tc>
        <w:tc>
          <w:tcPr>
            <w:tcW w:type="dxa" w:w="3969"/>
            <w:vAlign w:val="center"/>
            <w:tcMar>
              <w:top w:w="90" w:type="dxa"/>
              <w:start w:w="90" w:type="dxa"/>
              <w:bottom w:w="90" w:type="dxa"/>
              <w:end w:w="90" w:type="dxa"/>
            </w:tcMar>
          </w:tcPr>
          <w:p>
            <w:r>
              <w:rPr>
                <w:sz w:val="19"/>
              </w:rPr>
              <w:t>1–5 km</w:t>
            </w:r>
          </w:p>
        </w:tc>
      </w:tr>
      <w:tr>
        <w:trPr>
          <w:cantSplit/>
        </w:trPr>
        <w:tc>
          <w:tcPr>
            <w:tcW w:type="dxa" w:w="4535"/>
            <w:vAlign w:val="center"/>
            <w:tcMar>
              <w:top w:w="90" w:type="dxa"/>
              <w:start w:w="90" w:type="dxa"/>
              <w:bottom w:w="90" w:type="dxa"/>
              <w:end w:w="90" w:type="dxa"/>
            </w:tcMar>
          </w:tcPr>
          <w:p>
            <w:r>
              <w:rPr>
                <w:sz w:val="19"/>
              </w:rPr>
              <w:t>Tuleohutuskontroll</w:t>
            </w:r>
          </w:p>
        </w:tc>
        <w:tc>
          <w:tcPr>
            <w:tcW w:type="dxa" w:w="3969"/>
            <w:vAlign w:val="center"/>
            <w:tcMar>
              <w:top w:w="90" w:type="dxa"/>
              <w:start w:w="90" w:type="dxa"/>
              <w:bottom w:w="90" w:type="dxa"/>
              <w:end w:w="90" w:type="dxa"/>
            </w:tcMar>
          </w:tcPr>
          <w:p>
            <w:r>
              <w:rPr>
                <w:sz w:val="19"/>
              </w:rPr>
              <w:t>linn / piirkond</w:t>
            </w:r>
          </w:p>
        </w:tc>
      </w:tr>
      <w:tr>
        <w:trPr>
          <w:cantSplit/>
        </w:trPr>
        <w:tc>
          <w:tcPr>
            <w:tcW w:type="dxa" w:w="4535"/>
            <w:vAlign w:val="center"/>
            <w:tcMar>
              <w:top w:w="90" w:type="dxa"/>
              <w:start w:w="90" w:type="dxa"/>
              <w:bottom w:w="90" w:type="dxa"/>
              <w:end w:w="90" w:type="dxa"/>
            </w:tcMar>
          </w:tcPr>
          <w:p>
            <w:r>
              <w:rPr>
                <w:sz w:val="19"/>
              </w:rPr>
              <w:t>Liftihooldus</w:t>
            </w:r>
          </w:p>
        </w:tc>
        <w:tc>
          <w:tcPr>
            <w:tcW w:type="dxa" w:w="3969"/>
            <w:vAlign w:val="center"/>
            <w:tcMar>
              <w:top w:w="90" w:type="dxa"/>
              <w:start w:w="90" w:type="dxa"/>
              <w:bottom w:w="90" w:type="dxa"/>
              <w:end w:w="90" w:type="dxa"/>
            </w:tcMar>
          </w:tcPr>
          <w:p>
            <w:r>
              <w:rPr>
                <w:sz w:val="19"/>
              </w:rPr>
              <w:t>linn / piirkond</w:t>
            </w:r>
          </w:p>
        </w:tc>
      </w:tr>
      <w:tr>
        <w:trPr>
          <w:cantSplit/>
        </w:trPr>
        <w:tc>
          <w:tcPr>
            <w:tcW w:type="dxa" w:w="4535"/>
            <w:vAlign w:val="center"/>
            <w:tcMar>
              <w:top w:w="90" w:type="dxa"/>
              <w:start w:w="90" w:type="dxa"/>
              <w:bottom w:w="90" w:type="dxa"/>
              <w:end w:w="90" w:type="dxa"/>
            </w:tcMar>
          </w:tcPr>
          <w:p>
            <w:r>
              <w:rPr>
                <w:sz w:val="19"/>
              </w:rPr>
              <w:t>Energiaaudit</w:t>
            </w:r>
          </w:p>
        </w:tc>
        <w:tc>
          <w:tcPr>
            <w:tcW w:type="dxa" w:w="3969"/>
            <w:vAlign w:val="center"/>
            <w:tcMar>
              <w:top w:w="90" w:type="dxa"/>
              <w:start w:w="90" w:type="dxa"/>
              <w:bottom w:w="90" w:type="dxa"/>
              <w:end w:w="90" w:type="dxa"/>
            </w:tcMar>
          </w:tcPr>
          <w:p>
            <w:r>
              <w:rPr>
                <w:sz w:val="19"/>
              </w:rPr>
              <w:t>piirkond / maakond</w:t>
            </w:r>
          </w:p>
        </w:tc>
      </w:tr>
      <w:tr>
        <w:trPr>
          <w:cantSplit/>
        </w:trPr>
        <w:tc>
          <w:tcPr>
            <w:tcW w:type="dxa" w:w="4535"/>
            <w:vAlign w:val="center"/>
            <w:tcMar>
              <w:top w:w="90" w:type="dxa"/>
              <w:start w:w="90" w:type="dxa"/>
              <w:bottom w:w="90" w:type="dxa"/>
              <w:end w:w="90" w:type="dxa"/>
            </w:tcMar>
          </w:tcPr>
          <w:p>
            <w:r>
              <w:rPr>
                <w:sz w:val="19"/>
              </w:rPr>
              <w:t>Fassaadirenoveerimine</w:t>
            </w:r>
          </w:p>
        </w:tc>
        <w:tc>
          <w:tcPr>
            <w:tcW w:type="dxa" w:w="3969"/>
            <w:vAlign w:val="center"/>
            <w:tcMar>
              <w:top w:w="90" w:type="dxa"/>
              <w:start w:w="90" w:type="dxa"/>
              <w:bottom w:w="90" w:type="dxa"/>
              <w:end w:w="90" w:type="dxa"/>
            </w:tcMar>
          </w:tcPr>
          <w:p>
            <w:r>
              <w:rPr>
                <w:sz w:val="19"/>
              </w:rPr>
              <w:t>geograafia vähemoluline</w:t>
            </w:r>
          </w:p>
        </w:tc>
      </w:tr>
    </w:tbl>
    <w:p/>
    <w:p>
      <w:r>
        <w:t xml:space="preserve">Tooteandmemudelis on seetõttu mõistlik hoida teenusekategooria tasemel näiteks parameetrit </w:t>
      </w:r>
      <w:r>
        <w:rPr>
          <w:rFonts w:ascii="Consolas" w:hAnsi="Consolas"/>
          <w:b/>
        </w:rPr>
        <w:t>cluster_radius</w:t>
      </w:r>
    </w:p>
    <w:p>
      <w:pPr>
        <w:pStyle w:val="Heading2"/>
      </w:pPr>
      <w:r>
        <w:t>3.3 Soovitatav protsess</w:t>
      </w:r>
    </w:p>
    <w:tbl>
      <w:tblPr>
        <w:tblW w:type="auto" w:w="0"/>
        <w:tblLook w:firstColumn="1" w:firstRow="1" w:lastColumn="0" w:lastRow="0" w:noHBand="0" w:noVBand="1" w:val="04A0"/>
      </w:tblPr>
      <w:tblGrid>
        <w:gridCol w:w="9858"/>
      </w:tblGrid>
      <w:tr>
        <w:trPr>
          <w:cantSplit/>
        </w:trPr>
        <w:tc>
          <w:tcPr>
            <w:tcW w:type="dxa" w:w="9858"/>
            <w:shd w:fill="F3F3F3"/>
            <w:tcMar>
              <w:top w:w="120" w:type="dxa"/>
              <w:start w:w="140" w:type="dxa"/>
              <w:bottom w:w="120" w:type="dxa"/>
              <w:end w:w="140" w:type="dxa"/>
            </w:tcMar>
          </w:tcPr>
          <w:p>
            <w:pPr>
              <w:spacing w:before="0" w:after="0" w:line="240" w:lineRule="auto"/>
            </w:pPr>
            <w:r>
              <w:rPr>
                <w:rFonts w:ascii="Consolas" w:hAnsi="Consolas"/>
                <w:sz w:val="16"/>
              </w:rPr>
              <w:t>KÜ A vajab teenust</w:t>
              <w:br/>
            </w:r>
            <w:r>
              <w:rPr>
                <w:rFonts w:ascii="Consolas" w:hAnsi="Consolas"/>
                <w:sz w:val="16"/>
              </w:rPr>
              <w:t xml:space="preserve">        │</w:t>
              <w:br/>
            </w:r>
            <w:r>
              <w:rPr>
                <w:rFonts w:ascii="Consolas" w:hAnsi="Consolas"/>
                <w:sz w:val="16"/>
              </w:rPr>
              <w:t xml:space="preserve">        ▼</w:t>
              <w:br/>
            </w:r>
            <w:r>
              <w:rPr>
                <w:rFonts w:ascii="Consolas" w:hAnsi="Consolas"/>
                <w:sz w:val="16"/>
              </w:rPr>
              <w:t>Ühishange luuakse</w:t>
              <w:br/>
            </w:r>
            <w:r>
              <w:rPr>
                <w:rFonts w:ascii="Consolas" w:hAnsi="Consolas"/>
                <w:sz w:val="16"/>
              </w:rPr>
              <w:t xml:space="preserve">        │</w:t>
              <w:br/>
            </w:r>
            <w:r>
              <w:rPr>
                <w:rFonts w:ascii="Consolas" w:hAnsi="Consolas"/>
                <w:sz w:val="16"/>
              </w:rPr>
              <w:t xml:space="preserve">        ├──► süsteem leiab lähedased KÜ-d</w:t>
              <w:br/>
            </w:r>
            <w:r>
              <w:rPr>
                <w:rFonts w:ascii="Consolas" w:hAnsi="Consolas"/>
                <w:sz w:val="16"/>
              </w:rPr>
              <w:t xml:space="preserve">        │</w:t>
              <w:br/>
            </w:r>
            <w:r>
              <w:rPr>
                <w:rFonts w:ascii="Consolas" w:hAnsi="Consolas"/>
                <w:sz w:val="16"/>
              </w:rPr>
              <w:t xml:space="preserve">        └──► süsteem leiab piirkonda teenindavad pakkujad</w:t>
              <w:br/>
            </w:r>
            <w:r>
              <w:rPr>
                <w:rFonts w:ascii="Consolas" w:hAnsi="Consolas"/>
                <w:sz w:val="16"/>
              </w:rPr>
              <w:t xml:space="preserve">                     │</w:t>
              <w:br/>
            </w:r>
            <w:r>
              <w:rPr>
                <w:rFonts w:ascii="Consolas" w:hAnsi="Consolas"/>
                <w:sz w:val="16"/>
              </w:rPr>
              <w:t xml:space="preserve">                     ▼</w:t>
              <w:br/>
            </w:r>
            <w:r>
              <w:rPr>
                <w:rFonts w:ascii="Consolas" w:hAnsi="Consolas"/>
                <w:sz w:val="16"/>
              </w:rPr>
              <w:t xml:space="preserve">               pakkumiste voor</w:t>
              <w:br/>
            </w:r>
            <w:r>
              <w:rPr>
                <w:rFonts w:ascii="Consolas" w:hAnsi="Consolas"/>
                <w:sz w:val="16"/>
              </w:rPr>
              <w:t xml:space="preserve">                     │</w:t>
              <w:br/>
            </w:r>
            <w:r>
              <w:rPr>
                <w:rFonts w:ascii="Consolas" w:hAnsi="Consolas"/>
                <w:sz w:val="16"/>
              </w:rPr>
              <w:t xml:space="preserve">                     ▼</w:t>
              <w:br/>
            </w:r>
            <w:r>
              <w:rPr>
                <w:rFonts w:ascii="Consolas" w:hAnsi="Consolas"/>
                <w:sz w:val="16"/>
              </w:rPr>
              <w:t xml:space="preserve">          Teenusepakkuja pakkumine</w:t>
              <w:br/>
            </w:r>
            <w:r>
              <w:rPr>
                <w:rFonts w:ascii="Consolas" w:hAnsi="Consolas"/>
                <w:sz w:val="16"/>
              </w:rPr>
              <w:t xml:space="preserve">         3 objekti → 5% soodsam</w:t>
              <w:br/>
            </w:r>
            <w:r>
              <w:rPr>
                <w:rFonts w:ascii="Consolas" w:hAnsi="Consolas"/>
                <w:sz w:val="16"/>
              </w:rPr>
              <w:t xml:space="preserve">         5 objekti → 10% soodsam</w:t>
              <w:br/>
            </w:r>
            <w:r>
              <w:rPr>
                <w:rFonts w:ascii="Consolas" w:hAnsi="Consolas"/>
                <w:sz w:val="16"/>
              </w:rPr>
              <w:t xml:space="preserve">         8 objekti → 15% soodsam</w:t>
              <w:br/>
            </w:r>
            <w:r>
              <w:rPr>
                <w:rFonts w:ascii="Consolas" w:hAnsi="Consolas"/>
                <w:sz w:val="16"/>
              </w:rPr>
              <w:t xml:space="preserve">                     │</w:t>
              <w:br/>
            </w:r>
            <w:r>
              <w:rPr>
                <w:rFonts w:ascii="Consolas" w:hAnsi="Consolas"/>
                <w:sz w:val="16"/>
              </w:rPr>
              <w:t xml:space="preserve">                     ▼</w:t>
              <w:br/>
            </w:r>
            <w:r>
              <w:rPr>
                <w:rFonts w:ascii="Consolas" w:hAnsi="Consolas"/>
                <w:sz w:val="16"/>
              </w:rPr>
              <w:t xml:space="preserve">                KÜ liitub</w:t>
              <w:br/>
            </w:r>
            <w:r>
              <w:rPr>
                <w:rFonts w:ascii="Consolas" w:hAnsi="Consolas"/>
                <w:sz w:val="16"/>
              </w:rPr>
              <w:t xml:space="preserve">           + rahaline commitment</w:t>
              <w:br/>
            </w:r>
            <w:r>
              <w:rPr>
                <w:rFonts w:ascii="Consolas" w:hAnsi="Consolas"/>
                <w:sz w:val="16"/>
              </w:rPr>
              <w:t xml:space="preserve">                     │</w:t>
              <w:br/>
            </w:r>
            <w:r>
              <w:rPr>
                <w:rFonts w:ascii="Consolas" w:hAnsi="Consolas"/>
                <w:sz w:val="16"/>
              </w:rPr>
              <w:t xml:space="preserve">           ┌─────────┴─────────┐</w:t>
              <w:br/>
            </w:r>
            <w:r>
              <w:rPr>
                <w:rFonts w:ascii="Consolas" w:hAnsi="Consolas"/>
                <w:sz w:val="16"/>
              </w:rPr>
              <w:t xml:space="preserve">           │                   │</w:t>
              <w:br/>
            </w:r>
            <w:r>
              <w:rPr>
                <w:rFonts w:ascii="Consolas" w:hAnsi="Consolas"/>
                <w:sz w:val="16"/>
              </w:rPr>
              <w:t xml:space="preserve">         lävend ei täitu     lävend täitub</w:t>
              <w:br/>
            </w:r>
            <w:r>
              <w:rPr>
                <w:rFonts w:ascii="Consolas" w:hAnsi="Consolas"/>
                <w:sz w:val="16"/>
              </w:rPr>
              <w:t xml:space="preserve">           │                   │</w:t>
              <w:br/>
            </w:r>
            <w:r>
              <w:rPr>
                <w:rFonts w:ascii="Consolas" w:hAnsi="Consolas"/>
                <w:sz w:val="16"/>
              </w:rPr>
              <w:t xml:space="preserve">           ▼                   ▼</w:t>
              <w:br/>
            </w:r>
            <w:r>
              <w:rPr>
                <w:rFonts w:ascii="Consolas" w:hAnsi="Consolas"/>
                <w:sz w:val="16"/>
              </w:rPr>
              <w:t xml:space="preserve">      raha tagastatakse   leping jõustub</w:t>
              <w:br/>
            </w:r>
            <w:r>
              <w:rPr>
                <w:rFonts w:ascii="Consolas" w:hAnsi="Consolas"/>
                <w:sz w:val="16"/>
              </w:rPr>
              <w:t xml:space="preserve">                              │</w:t>
              <w:br/>
            </w:r>
            <w:r>
              <w:rPr>
                <w:rFonts w:ascii="Consolas" w:hAnsi="Consolas"/>
                <w:sz w:val="16"/>
              </w:rPr>
              <w:t xml:space="preserve">                              ▼</w:t>
              <w:br/>
            </w:r>
            <w:r>
              <w:rPr>
                <w:rFonts w:ascii="Consolas" w:hAnsi="Consolas"/>
                <w:sz w:val="16"/>
              </w:rPr>
              <w:t xml:space="preserve">                         töö teostamine</w:t>
              <w:br/>
            </w:r>
            <w:r>
              <w:rPr>
                <w:rFonts w:ascii="Consolas" w:hAnsi="Consolas"/>
                <w:sz w:val="16"/>
              </w:rPr>
              <w:t xml:space="preserve">                              │</w:t>
              <w:br/>
            </w:r>
            <w:r>
              <w:rPr>
                <w:rFonts w:ascii="Consolas" w:hAnsi="Consolas"/>
                <w:sz w:val="16"/>
              </w:rPr>
              <w:t xml:space="preserve">                              ▼</w:t>
              <w:br/>
            </w:r>
            <w:r>
              <w:rPr>
                <w:rFonts w:ascii="Consolas" w:hAnsi="Consolas"/>
                <w:sz w:val="16"/>
              </w:rPr>
              <w:t xml:space="preserve">                       hinnang / kordusost</w:t>
            </w:r>
          </w:p>
        </w:tc>
      </w:tr>
    </w:tbl>
    <w:p/>
    <w:p>
      <w:pPr>
        <w:pStyle w:val="Heading2"/>
      </w:pPr>
      <w:r>
        <w:t>3.4 Loobumise reegel</w:t>
      </w:r>
    </w:p>
    <w:p>
      <w:r>
        <w:t>Senise kontseptsiooni järgi tagastatakse raha hanke ebaõnnestumisel, kuid osaleja vabatahtlikul loobumisel pärast õnnestumise tingimuste täitumist raha ei tagastata. Seda tasub formuleerida nii, et enne lävendi täitumist ei käsitleta pakkujal veel tingimata jõustunud lepingu täitmise nõuet.</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969"/>
            <w:shd w:fill="F7931E"/>
            <w:vAlign w:val="center"/>
            <w:tcMar>
              <w:top w:w="90" w:type="dxa"/>
              <w:start w:w="90" w:type="dxa"/>
              <w:bottom w:w="90" w:type="dxa"/>
              <w:end w:w="90" w:type="dxa"/>
            </w:tcMar>
          </w:tcPr>
          <w:p>
            <w:r>
              <w:rPr>
                <w:b/>
                <w:color w:val="FFFFFF"/>
                <w:sz w:val="19"/>
              </w:rPr>
              <w:t>Tulemus</w:t>
            </w:r>
          </w:p>
        </w:tc>
        <w:tc>
          <w:tcPr>
            <w:tcW w:type="dxa" w:w="4535"/>
            <w:shd w:fill="F7931E"/>
            <w:vAlign w:val="center"/>
            <w:tcMar>
              <w:top w:w="90" w:type="dxa"/>
              <w:start w:w="90" w:type="dxa"/>
              <w:bottom w:w="90" w:type="dxa"/>
              <w:end w:w="90" w:type="dxa"/>
            </w:tcMar>
          </w:tcPr>
          <w:p>
            <w:r>
              <w:rPr>
                <w:b/>
                <w:color w:val="FFFFFF"/>
                <w:sz w:val="19"/>
              </w:rPr>
              <w:t>Soovitatav rahavoog</w:t>
            </w:r>
          </w:p>
        </w:tc>
      </w:tr>
      <w:tr>
        <w:trPr>
          <w:cantSplit/>
        </w:trPr>
        <w:tc>
          <w:tcPr>
            <w:tcW w:type="dxa" w:w="3969"/>
            <w:vAlign w:val="center"/>
            <w:tcMar>
              <w:top w:w="90" w:type="dxa"/>
              <w:start w:w="90" w:type="dxa"/>
              <w:bottom w:w="90" w:type="dxa"/>
              <w:end w:w="90" w:type="dxa"/>
            </w:tcMar>
          </w:tcPr>
          <w:p>
            <w:r>
              <w:rPr>
                <w:sz w:val="19"/>
              </w:rPr>
              <w:t>Lävend ei täitu</w:t>
            </w:r>
          </w:p>
        </w:tc>
        <w:tc>
          <w:tcPr>
            <w:tcW w:type="dxa" w:w="4535"/>
            <w:vAlign w:val="center"/>
            <w:tcMar>
              <w:top w:w="90" w:type="dxa"/>
              <w:start w:w="90" w:type="dxa"/>
              <w:bottom w:w="90" w:type="dxa"/>
              <w:end w:w="90" w:type="dxa"/>
            </w:tcMar>
          </w:tcPr>
          <w:p>
            <w:r>
              <w:rPr>
                <w:sz w:val="19"/>
              </w:rPr>
              <w:t>Raha tagastatakse kõigile</w:t>
            </w:r>
          </w:p>
        </w:tc>
      </w:tr>
      <w:tr>
        <w:trPr>
          <w:cantSplit/>
        </w:trPr>
        <w:tc>
          <w:tcPr>
            <w:tcW w:type="dxa" w:w="3969"/>
            <w:vAlign w:val="center"/>
            <w:tcMar>
              <w:top w:w="90" w:type="dxa"/>
              <w:start w:w="90" w:type="dxa"/>
              <w:bottom w:w="90" w:type="dxa"/>
              <w:end w:w="90" w:type="dxa"/>
            </w:tcMar>
          </w:tcPr>
          <w:p>
            <w:r>
              <w:rPr>
                <w:sz w:val="19"/>
              </w:rPr>
              <w:t>Lävend täitub ja KÜ jätkab</w:t>
            </w:r>
          </w:p>
        </w:tc>
        <w:tc>
          <w:tcPr>
            <w:tcW w:type="dxa" w:w="4535"/>
            <w:vAlign w:val="center"/>
            <w:tcMar>
              <w:top w:w="90" w:type="dxa"/>
              <w:start w:w="90" w:type="dxa"/>
              <w:bottom w:w="90" w:type="dxa"/>
              <w:end w:w="90" w:type="dxa"/>
            </w:tcMar>
          </w:tcPr>
          <w:p>
            <w:r>
              <w:rPr>
                <w:sz w:val="19"/>
              </w:rPr>
              <w:t>Käsiraha arvestatakse teenuse hinnaks</w:t>
            </w:r>
          </w:p>
        </w:tc>
      </w:tr>
      <w:tr>
        <w:trPr>
          <w:cantSplit/>
        </w:trPr>
        <w:tc>
          <w:tcPr>
            <w:tcW w:type="dxa" w:w="3969"/>
            <w:vAlign w:val="center"/>
            <w:tcMar>
              <w:top w:w="90" w:type="dxa"/>
              <w:start w:w="90" w:type="dxa"/>
              <w:bottom w:w="90" w:type="dxa"/>
              <w:end w:w="90" w:type="dxa"/>
            </w:tcMar>
          </w:tcPr>
          <w:p>
            <w:r>
              <w:rPr>
                <w:sz w:val="19"/>
              </w:rPr>
              <w:t>Lävend täitub, kuid KÜ loobub</w:t>
            </w:r>
          </w:p>
        </w:tc>
        <w:tc>
          <w:tcPr>
            <w:tcW w:type="dxa" w:w="4535"/>
            <w:vAlign w:val="center"/>
            <w:tcMar>
              <w:top w:w="90" w:type="dxa"/>
              <w:start w:w="90" w:type="dxa"/>
              <w:bottom w:w="90" w:type="dxa"/>
              <w:end w:w="90" w:type="dxa"/>
            </w:tcMar>
          </w:tcPr>
          <w:p>
            <w:r>
              <w:rPr>
                <w:sz w:val="19"/>
              </w:rPr>
              <w:t>Käsiraha kompenseerib pakkujat vastavalt tingimustele</w:t>
            </w:r>
          </w:p>
        </w:tc>
      </w:tr>
      <w:tr>
        <w:trPr>
          <w:cantSplit/>
        </w:trPr>
        <w:tc>
          <w:tcPr>
            <w:tcW w:type="dxa" w:w="3969"/>
            <w:vAlign w:val="center"/>
            <w:tcMar>
              <w:top w:w="90" w:type="dxa"/>
              <w:start w:w="90" w:type="dxa"/>
              <w:bottom w:w="90" w:type="dxa"/>
              <w:end w:w="90" w:type="dxa"/>
            </w:tcMar>
          </w:tcPr>
          <w:p>
            <w:r>
              <w:rPr>
                <w:sz w:val="19"/>
              </w:rPr>
              <w:t>Pakkuja loobub</w:t>
            </w:r>
          </w:p>
        </w:tc>
        <w:tc>
          <w:tcPr>
            <w:tcW w:type="dxa" w:w="4535"/>
            <w:vAlign w:val="center"/>
            <w:tcMar>
              <w:top w:w="90" w:type="dxa"/>
              <w:start w:w="90" w:type="dxa"/>
              <w:bottom w:w="90" w:type="dxa"/>
              <w:end w:w="90" w:type="dxa"/>
            </w:tcMar>
          </w:tcPr>
          <w:p>
            <w:r>
              <w:rPr>
                <w:sz w:val="19"/>
              </w:rPr>
              <w:t>Ostjale 100% tagasi</w:t>
            </w:r>
          </w:p>
        </w:tc>
      </w:tr>
    </w:tbl>
    <w:p/>
    <w:p>
      <w:pPr>
        <w:pStyle w:val="Heading1"/>
      </w:pPr>
      <w:r>
        <w:t>4. Sobivad teenusekategooriad</w:t>
      </w:r>
    </w:p>
    <w:p>
      <w:r>
        <w:t>Ühishankeks sobib kõige paremini teenus, mis on korduv, piisavalt standardiseeritav, kohapealne ja mille omahinnas mängib logistika või kliendihankekulu arvestatavat rolli.</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5102"/>
            <w:shd w:fill="F7931E"/>
            <w:vAlign w:val="center"/>
            <w:tcMar>
              <w:top w:w="90" w:type="dxa"/>
              <w:start w:w="90" w:type="dxa"/>
              <w:bottom w:w="90" w:type="dxa"/>
              <w:end w:w="90" w:type="dxa"/>
            </w:tcMar>
          </w:tcPr>
          <w:p>
            <w:r>
              <w:rPr>
                <w:b/>
                <w:color w:val="FFFFFF"/>
                <w:sz w:val="19"/>
              </w:rPr>
              <w:t>Omadus</w:t>
            </w:r>
          </w:p>
        </w:tc>
        <w:tc>
          <w:tcPr>
            <w:tcW w:type="dxa" w:w="3402"/>
            <w:shd w:fill="F7931E"/>
            <w:vAlign w:val="center"/>
            <w:tcMar>
              <w:top w:w="90" w:type="dxa"/>
              <w:start w:w="90" w:type="dxa"/>
              <w:bottom w:w="90" w:type="dxa"/>
              <w:end w:w="90" w:type="dxa"/>
            </w:tcMar>
          </w:tcPr>
          <w:p>
            <w:r>
              <w:rPr>
                <w:b/>
                <w:color w:val="FFFFFF"/>
                <w:sz w:val="19"/>
              </w:rPr>
              <w:t>Sobivus</w:t>
            </w:r>
          </w:p>
        </w:tc>
      </w:tr>
      <w:tr>
        <w:trPr>
          <w:cantSplit/>
        </w:trPr>
        <w:tc>
          <w:tcPr>
            <w:tcW w:type="dxa" w:w="5102"/>
            <w:vAlign w:val="center"/>
            <w:tcMar>
              <w:top w:w="90" w:type="dxa"/>
              <w:start w:w="90" w:type="dxa"/>
              <w:bottom w:w="90" w:type="dxa"/>
              <w:end w:w="90" w:type="dxa"/>
            </w:tcMar>
          </w:tcPr>
          <w:p>
            <w:r>
              <w:rPr>
                <w:sz w:val="19"/>
              </w:rPr>
              <w:t>Korduv</w:t>
            </w:r>
          </w:p>
        </w:tc>
        <w:tc>
          <w:tcPr>
            <w:tcW w:type="dxa" w:w="3402"/>
            <w:vAlign w:val="center"/>
            <w:tcMar>
              <w:top w:w="90" w:type="dxa"/>
              <w:start w:w="90" w:type="dxa"/>
              <w:bottom w:w="90" w:type="dxa"/>
              <w:end w:w="90" w:type="dxa"/>
            </w:tcMar>
          </w:tcPr>
          <w:p>
            <w:r>
              <w:rPr>
                <w:sz w:val="19"/>
              </w:rPr>
              <w:t>Jah</w:t>
            </w:r>
          </w:p>
        </w:tc>
      </w:tr>
      <w:tr>
        <w:trPr>
          <w:cantSplit/>
        </w:trPr>
        <w:tc>
          <w:tcPr>
            <w:tcW w:type="dxa" w:w="5102"/>
            <w:vAlign w:val="center"/>
            <w:tcMar>
              <w:top w:w="90" w:type="dxa"/>
              <w:start w:w="90" w:type="dxa"/>
              <w:bottom w:w="90" w:type="dxa"/>
              <w:end w:w="90" w:type="dxa"/>
            </w:tcMar>
          </w:tcPr>
          <w:p>
            <w:r>
              <w:rPr>
                <w:sz w:val="19"/>
              </w:rPr>
              <w:t>Spetsifikatsioon standardiseeritav</w:t>
            </w:r>
          </w:p>
        </w:tc>
        <w:tc>
          <w:tcPr>
            <w:tcW w:type="dxa" w:w="3402"/>
            <w:vAlign w:val="center"/>
            <w:tcMar>
              <w:top w:w="90" w:type="dxa"/>
              <w:start w:w="90" w:type="dxa"/>
              <w:bottom w:w="90" w:type="dxa"/>
              <w:end w:w="90" w:type="dxa"/>
            </w:tcMar>
          </w:tcPr>
          <w:p>
            <w:r>
              <w:rPr>
                <w:sz w:val="19"/>
              </w:rPr>
              <w:t>Jah</w:t>
            </w:r>
          </w:p>
        </w:tc>
      </w:tr>
      <w:tr>
        <w:trPr>
          <w:cantSplit/>
        </w:trPr>
        <w:tc>
          <w:tcPr>
            <w:tcW w:type="dxa" w:w="5102"/>
            <w:vAlign w:val="center"/>
            <w:tcMar>
              <w:top w:w="90" w:type="dxa"/>
              <w:start w:w="90" w:type="dxa"/>
              <w:bottom w:w="90" w:type="dxa"/>
              <w:end w:w="90" w:type="dxa"/>
            </w:tcMar>
          </w:tcPr>
          <w:p>
            <w:r>
              <w:rPr>
                <w:sz w:val="19"/>
              </w:rPr>
              <w:t>Kohapealne teenus</w:t>
            </w:r>
          </w:p>
        </w:tc>
        <w:tc>
          <w:tcPr>
            <w:tcW w:type="dxa" w:w="3402"/>
            <w:vAlign w:val="center"/>
            <w:tcMar>
              <w:top w:w="90" w:type="dxa"/>
              <w:start w:w="90" w:type="dxa"/>
              <w:bottom w:w="90" w:type="dxa"/>
              <w:end w:w="90" w:type="dxa"/>
            </w:tcMar>
          </w:tcPr>
          <w:p>
            <w:r>
              <w:rPr>
                <w:sz w:val="19"/>
              </w:rPr>
              <w:t>Jah</w:t>
            </w:r>
          </w:p>
        </w:tc>
      </w:tr>
      <w:tr>
        <w:trPr>
          <w:cantSplit/>
        </w:trPr>
        <w:tc>
          <w:tcPr>
            <w:tcW w:type="dxa" w:w="5102"/>
            <w:vAlign w:val="center"/>
            <w:tcMar>
              <w:top w:w="90" w:type="dxa"/>
              <w:start w:w="90" w:type="dxa"/>
              <w:bottom w:w="90" w:type="dxa"/>
              <w:end w:w="90" w:type="dxa"/>
            </w:tcMar>
          </w:tcPr>
          <w:p>
            <w:r>
              <w:rPr>
                <w:sz w:val="19"/>
              </w:rPr>
              <w:t>Sõidukulul oluline roll</w:t>
            </w:r>
          </w:p>
        </w:tc>
        <w:tc>
          <w:tcPr>
            <w:tcW w:type="dxa" w:w="3402"/>
            <w:vAlign w:val="center"/>
            <w:tcMar>
              <w:top w:w="90" w:type="dxa"/>
              <w:start w:w="90" w:type="dxa"/>
              <w:bottom w:w="90" w:type="dxa"/>
              <w:end w:w="90" w:type="dxa"/>
            </w:tcMar>
          </w:tcPr>
          <w:p>
            <w:r>
              <w:rPr>
                <w:sz w:val="19"/>
              </w:rPr>
              <w:t>Jah</w:t>
            </w:r>
          </w:p>
        </w:tc>
      </w:tr>
      <w:tr>
        <w:trPr>
          <w:cantSplit/>
        </w:trPr>
        <w:tc>
          <w:tcPr>
            <w:tcW w:type="dxa" w:w="5102"/>
            <w:vAlign w:val="center"/>
            <w:tcMar>
              <w:top w:w="90" w:type="dxa"/>
              <w:start w:w="90" w:type="dxa"/>
              <w:bottom w:w="90" w:type="dxa"/>
              <w:end w:w="90" w:type="dxa"/>
            </w:tcMar>
          </w:tcPr>
          <w:p>
            <w:r>
              <w:rPr>
                <w:sz w:val="19"/>
              </w:rPr>
              <w:t>Paljudel KÜ-del samaaegne vajadus</w:t>
            </w:r>
          </w:p>
        </w:tc>
        <w:tc>
          <w:tcPr>
            <w:tcW w:type="dxa" w:w="3402"/>
            <w:vAlign w:val="center"/>
            <w:tcMar>
              <w:top w:w="90" w:type="dxa"/>
              <w:start w:w="90" w:type="dxa"/>
              <w:bottom w:w="90" w:type="dxa"/>
              <w:end w:w="90" w:type="dxa"/>
            </w:tcMar>
          </w:tcPr>
          <w:p>
            <w:r>
              <w:rPr>
                <w:sz w:val="19"/>
              </w:rPr>
              <w:t>Jah</w:t>
            </w:r>
          </w:p>
        </w:tc>
      </w:tr>
      <w:tr>
        <w:trPr>
          <w:cantSplit/>
        </w:trPr>
        <w:tc>
          <w:tcPr>
            <w:tcW w:type="dxa" w:w="5102"/>
            <w:vAlign w:val="center"/>
            <w:tcMar>
              <w:top w:w="90" w:type="dxa"/>
              <w:start w:w="90" w:type="dxa"/>
              <w:bottom w:w="90" w:type="dxa"/>
              <w:end w:w="90" w:type="dxa"/>
            </w:tcMar>
          </w:tcPr>
          <w:p>
            <w:r>
              <w:rPr>
                <w:sz w:val="19"/>
              </w:rPr>
              <w:t>Objekti eripära mõõdukas</w:t>
            </w:r>
          </w:p>
        </w:tc>
        <w:tc>
          <w:tcPr>
            <w:tcW w:type="dxa" w:w="3402"/>
            <w:vAlign w:val="center"/>
            <w:tcMar>
              <w:top w:w="90" w:type="dxa"/>
              <w:start w:w="90" w:type="dxa"/>
              <w:bottom w:w="90" w:type="dxa"/>
              <w:end w:w="90" w:type="dxa"/>
            </w:tcMar>
          </w:tcPr>
          <w:p>
            <w:r>
              <w:rPr>
                <w:sz w:val="19"/>
              </w:rPr>
              <w:t>Jah</w:t>
            </w:r>
          </w:p>
        </w:tc>
      </w:tr>
      <w:tr>
        <w:trPr>
          <w:cantSplit/>
        </w:trPr>
        <w:tc>
          <w:tcPr>
            <w:tcW w:type="dxa" w:w="5102"/>
            <w:vAlign w:val="center"/>
            <w:tcMar>
              <w:top w:w="90" w:type="dxa"/>
              <w:start w:w="90" w:type="dxa"/>
              <w:bottom w:w="90" w:type="dxa"/>
              <w:end w:w="90" w:type="dxa"/>
            </w:tcMar>
          </w:tcPr>
          <w:p>
            <w:r>
              <w:rPr>
                <w:sz w:val="19"/>
              </w:rPr>
              <w:t>Hind suhteliselt võrreldav</w:t>
            </w:r>
          </w:p>
        </w:tc>
        <w:tc>
          <w:tcPr>
            <w:tcW w:type="dxa" w:w="3402"/>
            <w:vAlign w:val="center"/>
            <w:tcMar>
              <w:top w:w="90" w:type="dxa"/>
              <w:start w:w="90" w:type="dxa"/>
              <w:bottom w:w="90" w:type="dxa"/>
              <w:end w:w="90" w:type="dxa"/>
            </w:tcMar>
          </w:tcPr>
          <w:p>
            <w:r>
              <w:rPr>
                <w:sz w:val="19"/>
              </w:rPr>
              <w:t>Jah</w:t>
            </w:r>
          </w:p>
        </w:tc>
      </w:tr>
    </w:tbl>
    <w:p/>
    <w:p>
      <w:r>
        <w:rPr>
          <w:b/>
        </w:rPr>
        <w:t xml:space="preserve">Soovituslik MVP järjekord: </w:t>
      </w:r>
      <w:r>
        <w:t>lumetõrje → haljastus/muruniitmine → trepikodade ja üldalade koristus → akende/fassaadide pesu → kahjuritõrje → perioodilised kontrollid.</w:t>
      </w:r>
    </w:p>
    <w:p>
      <w:r>
        <w:t>Täismahulised renoveerimistööd jätaks esimesest versioonist välja. Kahe naabermaja “fassaadi renoveerimine” võib tehniliselt olla täiesti erinev projekt, mistõttu geograafilise koondamise majanduslik efekt võib jääda väikeseks.</w:t>
      </w:r>
    </w:p>
    <w:p>
      <w:pPr>
        <w:pStyle w:val="Heading2"/>
      </w:pPr>
      <w:r>
        <w:t>4.1 Standardiseerimine on kriitiline</w:t>
      </w:r>
    </w:p>
    <w:p>
      <w:r>
        <w:t>Marketplace kukub läbi, kui sama kategooria pakkumised pole võrreldavad. “Lumelükkamine” ei ole piisav teenuse kirjeldus. Kategooriapõhine vorm võiks sisaldada näiteks:</w:t>
      </w:r>
    </w:p>
    <w:p>
      <w:pPr>
        <w:pStyle w:val="ListBullet"/>
      </w:pPr>
      <w:r>
        <w:t>puhastatav pind m²</w:t>
      </w:r>
    </w:p>
    <w:p>
      <w:pPr>
        <w:pStyle w:val="ListBullet"/>
      </w:pPr>
      <w:r>
        <w:t>parkla pind</w:t>
      </w:r>
    </w:p>
    <w:p>
      <w:pPr>
        <w:pStyle w:val="ListBullet"/>
      </w:pPr>
      <w:r>
        <w:t>kõnnitee pikkus</w:t>
      </w:r>
    </w:p>
    <w:p>
      <w:pPr>
        <w:pStyle w:val="ListBullet"/>
      </w:pPr>
      <w:r>
        <w:t>libedusetõrje jah/ei</w:t>
      </w:r>
    </w:p>
    <w:p>
      <w:pPr>
        <w:pStyle w:val="ListBullet"/>
      </w:pPr>
      <w:r>
        <w:t>puistematerjal hinna sees jah/ei</w:t>
      </w:r>
    </w:p>
    <w:p>
      <w:pPr>
        <w:pStyle w:val="ListBullet"/>
      </w:pPr>
      <w:r>
        <w:t>väljakutse või püsileping</w:t>
      </w:r>
    </w:p>
    <w:p>
      <w:pPr>
        <w:pStyle w:val="ListBullet"/>
      </w:pPr>
      <w:r>
        <w:t>maksimaalne reageerimisaeg</w:t>
      </w:r>
    </w:p>
    <w:p>
      <w:pPr>
        <w:pStyle w:val="ListBullet"/>
      </w:pPr>
      <w:r>
        <w:t>lumekihi piir</w:t>
      </w:r>
    </w:p>
    <w:p>
      <w:pPr>
        <w:pStyle w:val="ListBullet"/>
      </w:pPr>
      <w:r>
        <w:t>lume äravedu jah/ei</w:t>
      </w:r>
    </w:p>
    <w:p>
      <w:pPr>
        <w:pStyle w:val="ListBullet"/>
      </w:pPr>
      <w:r>
        <w:t>lepingu periood</w:t>
      </w:r>
    </w:p>
    <w:p>
      <w:r>
        <w:t>Pikas perspektiivis loob see Ühishankele struktureeritud teenusehindade andmebaasi, mille põhjal saab hinnata, milline maht ja geograafiline tihedus millises kategoorias tegelikult hinna alla toob.</w:t>
      </w:r>
    </w:p>
    <w:p>
      <w:pPr>
        <w:pStyle w:val="Heading1"/>
      </w:pPr>
      <w:r>
        <w:t>5. Tulumudel ja hinnastamine</w:t>
      </w:r>
    </w:p>
    <w:p>
      <w:pPr>
        <w:pStyle w:val="Heading2"/>
      </w:pPr>
      <w:r>
        <w:t>5.1 MVP tulumudel</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535"/>
            <w:shd w:fill="F7931E"/>
            <w:vAlign w:val="center"/>
            <w:tcMar>
              <w:top w:w="90" w:type="dxa"/>
              <w:start w:w="90" w:type="dxa"/>
              <w:bottom w:w="90" w:type="dxa"/>
              <w:end w:w="90" w:type="dxa"/>
            </w:tcMar>
          </w:tcPr>
          <w:p>
            <w:r>
              <w:rPr>
                <w:b/>
                <w:color w:val="FFFFFF"/>
                <w:sz w:val="19"/>
              </w:rPr>
              <w:t>Tuluallikas</w:t>
            </w:r>
          </w:p>
        </w:tc>
        <w:tc>
          <w:tcPr>
            <w:tcW w:type="dxa" w:w="3969"/>
            <w:shd w:fill="F7931E"/>
            <w:vAlign w:val="center"/>
            <w:tcMar>
              <w:top w:w="90" w:type="dxa"/>
              <w:start w:w="90" w:type="dxa"/>
              <w:bottom w:w="90" w:type="dxa"/>
              <w:end w:w="90" w:type="dxa"/>
            </w:tcMar>
          </w:tcPr>
          <w:p>
            <w:r>
              <w:rPr>
                <w:b/>
                <w:color w:val="FFFFFF"/>
                <w:sz w:val="19"/>
              </w:rPr>
              <w:t>Soovitus MVP-s</w:t>
            </w:r>
          </w:p>
        </w:tc>
      </w:tr>
      <w:tr>
        <w:trPr>
          <w:cantSplit/>
        </w:trPr>
        <w:tc>
          <w:tcPr>
            <w:tcW w:type="dxa" w:w="4535"/>
            <w:vAlign w:val="center"/>
            <w:tcMar>
              <w:top w:w="90" w:type="dxa"/>
              <w:start w:w="90" w:type="dxa"/>
              <w:bottom w:w="90" w:type="dxa"/>
              <w:end w:w="90" w:type="dxa"/>
            </w:tcMar>
          </w:tcPr>
          <w:p>
            <w:r>
              <w:rPr>
                <w:sz w:val="19"/>
              </w:rPr>
              <w:t>KÜ registreerimine</w:t>
            </w:r>
          </w:p>
        </w:tc>
        <w:tc>
          <w:tcPr>
            <w:tcW w:type="dxa" w:w="3969"/>
            <w:vAlign w:val="center"/>
            <w:tcMar>
              <w:top w:w="90" w:type="dxa"/>
              <w:start w:w="90" w:type="dxa"/>
              <w:bottom w:w="90" w:type="dxa"/>
              <w:end w:w="90" w:type="dxa"/>
            </w:tcMar>
          </w:tcPr>
          <w:p>
            <w:r>
              <w:rPr>
                <w:sz w:val="19"/>
              </w:rPr>
              <w:t>0 €</w:t>
            </w:r>
          </w:p>
        </w:tc>
      </w:tr>
      <w:tr>
        <w:trPr>
          <w:cantSplit/>
        </w:trPr>
        <w:tc>
          <w:tcPr>
            <w:tcW w:type="dxa" w:w="4535"/>
            <w:vAlign w:val="center"/>
            <w:tcMar>
              <w:top w:w="90" w:type="dxa"/>
              <w:start w:w="90" w:type="dxa"/>
              <w:bottom w:w="90" w:type="dxa"/>
              <w:end w:w="90" w:type="dxa"/>
            </w:tcMar>
          </w:tcPr>
          <w:p>
            <w:r>
              <w:rPr>
                <w:sz w:val="19"/>
              </w:rPr>
              <w:t>Hanke loomine</w:t>
            </w:r>
          </w:p>
        </w:tc>
        <w:tc>
          <w:tcPr>
            <w:tcW w:type="dxa" w:w="3969"/>
            <w:vAlign w:val="center"/>
            <w:tcMar>
              <w:top w:w="90" w:type="dxa"/>
              <w:start w:w="90" w:type="dxa"/>
              <w:bottom w:w="90" w:type="dxa"/>
              <w:end w:w="90" w:type="dxa"/>
            </w:tcMar>
          </w:tcPr>
          <w:p>
            <w:r>
              <w:rPr>
                <w:sz w:val="19"/>
              </w:rPr>
              <w:t>0 €</w:t>
            </w:r>
          </w:p>
        </w:tc>
      </w:tr>
      <w:tr>
        <w:trPr>
          <w:cantSplit/>
        </w:trPr>
        <w:tc>
          <w:tcPr>
            <w:tcW w:type="dxa" w:w="4535"/>
            <w:vAlign w:val="center"/>
            <w:tcMar>
              <w:top w:w="90" w:type="dxa"/>
              <w:start w:w="90" w:type="dxa"/>
              <w:bottom w:w="90" w:type="dxa"/>
              <w:end w:w="90" w:type="dxa"/>
            </w:tcMar>
          </w:tcPr>
          <w:p>
            <w:r>
              <w:rPr>
                <w:sz w:val="19"/>
              </w:rPr>
              <w:t>Ühishankega liitumine</w:t>
            </w:r>
          </w:p>
        </w:tc>
        <w:tc>
          <w:tcPr>
            <w:tcW w:type="dxa" w:w="3969"/>
            <w:vAlign w:val="center"/>
            <w:tcMar>
              <w:top w:w="90" w:type="dxa"/>
              <w:start w:w="90" w:type="dxa"/>
              <w:bottom w:w="90" w:type="dxa"/>
              <w:end w:w="90" w:type="dxa"/>
            </w:tcMar>
          </w:tcPr>
          <w:p>
            <w:r>
              <w:rPr>
                <w:sz w:val="19"/>
              </w:rPr>
              <w:t>0 €</w:t>
            </w:r>
          </w:p>
        </w:tc>
      </w:tr>
      <w:tr>
        <w:trPr>
          <w:cantSplit/>
        </w:trPr>
        <w:tc>
          <w:tcPr>
            <w:tcW w:type="dxa" w:w="4535"/>
            <w:vAlign w:val="center"/>
            <w:tcMar>
              <w:top w:w="90" w:type="dxa"/>
              <w:start w:w="90" w:type="dxa"/>
              <w:bottom w:w="90" w:type="dxa"/>
              <w:end w:w="90" w:type="dxa"/>
            </w:tcMar>
          </w:tcPr>
          <w:p>
            <w:r>
              <w:rPr>
                <w:sz w:val="19"/>
              </w:rPr>
              <w:t>Pakkuja registreerimine</w:t>
            </w:r>
          </w:p>
        </w:tc>
        <w:tc>
          <w:tcPr>
            <w:tcW w:type="dxa" w:w="3969"/>
            <w:vAlign w:val="center"/>
            <w:tcMar>
              <w:top w:w="90" w:type="dxa"/>
              <w:start w:w="90" w:type="dxa"/>
              <w:bottom w:w="90" w:type="dxa"/>
              <w:end w:w="90" w:type="dxa"/>
            </w:tcMar>
          </w:tcPr>
          <w:p>
            <w:r>
              <w:rPr>
                <w:sz w:val="19"/>
              </w:rPr>
              <w:t>0 €</w:t>
            </w:r>
          </w:p>
        </w:tc>
      </w:tr>
      <w:tr>
        <w:trPr>
          <w:cantSplit/>
        </w:trPr>
        <w:tc>
          <w:tcPr>
            <w:tcW w:type="dxa" w:w="4535"/>
            <w:vAlign w:val="center"/>
            <w:tcMar>
              <w:top w:w="90" w:type="dxa"/>
              <w:start w:w="90" w:type="dxa"/>
              <w:bottom w:w="90" w:type="dxa"/>
              <w:end w:w="90" w:type="dxa"/>
            </w:tcMar>
          </w:tcPr>
          <w:p>
            <w:r>
              <w:rPr>
                <w:sz w:val="19"/>
              </w:rPr>
              <w:t>Edukustasu pakkujalt</w:t>
            </w:r>
          </w:p>
        </w:tc>
        <w:tc>
          <w:tcPr>
            <w:tcW w:type="dxa" w:w="3969"/>
            <w:vAlign w:val="center"/>
            <w:tcMar>
              <w:top w:w="90" w:type="dxa"/>
              <w:start w:w="90" w:type="dxa"/>
              <w:bottom w:w="90" w:type="dxa"/>
              <w:end w:w="90" w:type="dxa"/>
            </w:tcMar>
          </w:tcPr>
          <w:p>
            <w:r>
              <w:rPr>
                <w:sz w:val="19"/>
              </w:rPr>
              <w:t>3–5%</w:t>
            </w:r>
          </w:p>
        </w:tc>
      </w:tr>
      <w:tr>
        <w:trPr>
          <w:cantSplit/>
        </w:trPr>
        <w:tc>
          <w:tcPr>
            <w:tcW w:type="dxa" w:w="4535"/>
            <w:vAlign w:val="center"/>
            <w:tcMar>
              <w:top w:w="90" w:type="dxa"/>
              <w:start w:w="90" w:type="dxa"/>
              <w:bottom w:w="90" w:type="dxa"/>
              <w:end w:w="90" w:type="dxa"/>
            </w:tcMar>
          </w:tcPr>
          <w:p>
            <w:r>
              <w:rPr>
                <w:sz w:val="19"/>
              </w:rPr>
              <w:t>Ebaõnnestunud hange</w:t>
            </w:r>
          </w:p>
        </w:tc>
        <w:tc>
          <w:tcPr>
            <w:tcW w:type="dxa" w:w="3969"/>
            <w:vAlign w:val="center"/>
            <w:tcMar>
              <w:top w:w="90" w:type="dxa"/>
              <w:start w:w="90" w:type="dxa"/>
              <w:bottom w:w="90" w:type="dxa"/>
              <w:end w:w="90" w:type="dxa"/>
            </w:tcMar>
          </w:tcPr>
          <w:p>
            <w:r>
              <w:rPr>
                <w:sz w:val="19"/>
              </w:rPr>
              <w:t>0 €</w:t>
            </w:r>
          </w:p>
        </w:tc>
      </w:tr>
      <w:tr>
        <w:trPr>
          <w:cantSplit/>
        </w:trPr>
        <w:tc>
          <w:tcPr>
            <w:tcW w:type="dxa" w:w="4535"/>
            <w:vAlign w:val="center"/>
            <w:tcMar>
              <w:top w:w="90" w:type="dxa"/>
              <w:start w:w="90" w:type="dxa"/>
              <w:bottom w:w="90" w:type="dxa"/>
              <w:end w:w="90" w:type="dxa"/>
            </w:tcMar>
          </w:tcPr>
          <w:p>
            <w:r>
              <w:rPr>
                <w:sz w:val="19"/>
              </w:rPr>
              <w:t>Loobuja käsiraha</w:t>
            </w:r>
          </w:p>
        </w:tc>
        <w:tc>
          <w:tcPr>
            <w:tcW w:type="dxa" w:w="3969"/>
            <w:vAlign w:val="center"/>
            <w:tcMar>
              <w:top w:w="90" w:type="dxa"/>
              <w:start w:w="90" w:type="dxa"/>
              <w:bottom w:w="90" w:type="dxa"/>
              <w:end w:w="90" w:type="dxa"/>
            </w:tcMar>
          </w:tcPr>
          <w:p>
            <w:r>
              <w:rPr>
                <w:sz w:val="19"/>
              </w:rPr>
              <w:t>Pakkujale; platvormile kokkulepitud teenustasu</w:t>
            </w:r>
          </w:p>
        </w:tc>
      </w:tr>
    </w:tbl>
    <w:p/>
    <w:p>
      <w:r>
        <w:t>Edukustasu on Eesti kontekstis loogiline, sest turul on harjumus maksta vahendustasu edukalt võidetud hanke eest. Hange.ee tavakasutaja edukustasu on 5% + km, ülempiiriga 825 € + km ühe hanke kohta.</w:t>
      </w:r>
    </w:p>
    <w:p>
      <w:pPr>
        <w:pStyle w:val="Heading2"/>
      </w:pPr>
      <w:r>
        <w:t>5.2 Soodustus ja take-rate ei tohi pakkuja marginaali lõhkuda</w:t>
      </w:r>
    </w:p>
    <w:p>
      <w:r>
        <w:t>Kui viis KÜ-d maksaksid tavahinnaga 2 000 € objekti kohta, oleks kogukäive 10 000 €. 15% grupisoodustus viib selle 8 500 euroni. Kui platvorm võtab veel 4% tasu, jääb pakkujale 8 160 €, ehk umbes 18,4% vähem kui viie täishinnaga üksiktehingu puhul.</w:t>
      </w:r>
    </w:p>
    <w:p>
      <w:r>
        <w:t>Järelikult peab hinnaalandus põhinema tegelikul kulusäästul, mitte turunduslikult ette määratud protsendil. Pakkuja peaks määrama oma hinnatasemed ise ning platvorm saab hiljem ajaloolise andmestiku põhjal soovitada realistlikku astmestikku.</w:t>
      </w:r>
    </w:p>
    <w:p>
      <w:pPr>
        <w:pStyle w:val="Heading2"/>
      </w:pPr>
      <w:r>
        <w:t>5.3 Tulevased lisatulud</w:t>
      </w:r>
    </w:p>
    <w:p>
      <w:pPr>
        <w:pStyle w:val="ListBullet"/>
      </w:pPr>
      <w:r>
        <w:t>Supplier Pro: teeninduspiirkonnad, CRM, statistika ja prioriteetsed teavitused</w:t>
      </w:r>
    </w:p>
    <w:p>
      <w:pPr>
        <w:pStyle w:val="ListBullet"/>
      </w:pPr>
      <w:r>
        <w:t>automaatne pakkumine või hinnastusreeglid</w:t>
      </w:r>
    </w:p>
    <w:p>
      <w:pPr>
        <w:pStyle w:val="ListBullet"/>
      </w:pPr>
      <w:r>
        <w:t>andmepõhised hinnavõrdlused ja benchmarkid</w:t>
      </w:r>
    </w:p>
    <w:p>
      <w:pPr>
        <w:pStyle w:val="ListBullet"/>
      </w:pPr>
      <w:r>
        <w:t>haldusfirmadele või kinnisvaraportfellidele mõeldud B2B paketid</w:t>
      </w:r>
    </w:p>
    <w:p>
      <w:r>
        <w:t>Subscription-paketti ei tasu MVP-s esmajärjekorras ehitada. Esmalt peab platvorm tõestama, et suudab reaalset GMV-d ja korduvaid edukaid klastreid tekitada.</w:t>
      </w:r>
    </w:p>
    <w:p>
      <w:pPr>
        <w:pStyle w:val="Heading1"/>
      </w:pPr>
      <w:r>
        <w:t>6. Konkurents ja positsioneerimine</w:t>
      </w:r>
    </w:p>
    <w:p>
      <w:pPr>
        <w:pStyle w:val="Heading2"/>
      </w:pPr>
      <w:r>
        <w:t>6.1 Hange.ee</w:t>
      </w:r>
    </w:p>
    <w:p>
      <w:r>
        <w:t>Hange.ee valideerib kaks olulist eeldust: korteriühistud on valmis digitaalselt pakkumisi küsima ja teenusepakkujad on valmis marketplace’ile edukustasu maksma. Hange.ee põhimudel on siiski “üks tellija → mitu pakkujat”. Ühishanke mudel on “mitu lähestikku asuvat tellijat → mitu pakkujat → hinnalangus mahu suurenedes”.</w:t>
      </w:r>
    </w:p>
    <w:p>
      <w:pPr>
        <w:pStyle w:val="Heading2"/>
      </w:pPr>
      <w:r>
        <w:t>6.2 Kinnisvarahaldurid</w:t>
      </w:r>
    </w:p>
    <w:p>
      <w:r>
        <w:t>Haldusettevõtted võivad juba praegu oma portfelli sees koondada ostumahtu. Ühishanke strateegiline eelis on sõltumatu agregatsioonikiht nende KÜ-de vahel, kes ei kuulu ühe haldusfirma alla. Platvorm ei peaks püüdma haldustarkvara asendada; pikemas perspektiivis on integratsioon haldussüsteemidega loogilisem.</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3402"/>
            <w:shd w:fill="F7931E"/>
            <w:vAlign w:val="center"/>
            <w:tcMar>
              <w:top w:w="90" w:type="dxa"/>
              <w:start w:w="90" w:type="dxa"/>
              <w:bottom w:w="90" w:type="dxa"/>
              <w:end w:w="90" w:type="dxa"/>
            </w:tcMar>
          </w:tcPr>
          <w:p>
            <w:r>
              <w:rPr>
                <w:b/>
                <w:color w:val="FFFFFF"/>
                <w:sz w:val="19"/>
              </w:rPr>
              <w:t>Funktsioon</w:t>
            </w:r>
          </w:p>
        </w:tc>
        <w:tc>
          <w:tcPr>
            <w:tcW w:type="dxa" w:w="1701"/>
            <w:shd w:fill="F7931E"/>
            <w:vAlign w:val="center"/>
            <w:tcMar>
              <w:top w:w="90" w:type="dxa"/>
              <w:start w:w="90" w:type="dxa"/>
              <w:bottom w:w="90" w:type="dxa"/>
              <w:end w:w="90" w:type="dxa"/>
            </w:tcMar>
          </w:tcPr>
          <w:p>
            <w:r>
              <w:rPr>
                <w:b/>
                <w:color w:val="FFFFFF"/>
                <w:sz w:val="19"/>
              </w:rPr>
              <w:t>Hange.ee</w:t>
            </w:r>
          </w:p>
        </w:tc>
        <w:tc>
          <w:tcPr>
            <w:tcW w:type="dxa" w:w="1701"/>
            <w:shd w:fill="F7931E"/>
            <w:vAlign w:val="center"/>
            <w:tcMar>
              <w:top w:w="90" w:type="dxa"/>
              <w:start w:w="90" w:type="dxa"/>
              <w:bottom w:w="90" w:type="dxa"/>
              <w:end w:w="90" w:type="dxa"/>
            </w:tcMar>
          </w:tcPr>
          <w:p>
            <w:r>
              <w:rPr>
                <w:b/>
                <w:color w:val="FFFFFF"/>
                <w:sz w:val="19"/>
              </w:rPr>
              <w:t>Haldusfirma</w:t>
            </w:r>
          </w:p>
        </w:tc>
        <w:tc>
          <w:tcPr>
            <w:tcW w:type="dxa" w:w="1701"/>
            <w:shd w:fill="F7931E"/>
            <w:vAlign w:val="center"/>
            <w:tcMar>
              <w:top w:w="90" w:type="dxa"/>
              <w:start w:w="90" w:type="dxa"/>
              <w:bottom w:w="90" w:type="dxa"/>
              <w:end w:w="90" w:type="dxa"/>
            </w:tcMar>
          </w:tcPr>
          <w:p>
            <w:r>
              <w:rPr>
                <w:b/>
                <w:color w:val="FFFFFF"/>
                <w:sz w:val="19"/>
              </w:rPr>
              <w:t>Ühishange</w:t>
            </w:r>
          </w:p>
        </w:tc>
      </w:tr>
      <w:tr>
        <w:trPr>
          <w:cantSplit/>
        </w:trPr>
        <w:tc>
          <w:tcPr>
            <w:tcW w:type="dxa" w:w="3402"/>
            <w:vAlign w:val="center"/>
            <w:tcMar>
              <w:top w:w="90" w:type="dxa"/>
              <w:start w:w="90" w:type="dxa"/>
              <w:bottom w:w="90" w:type="dxa"/>
              <w:end w:w="90" w:type="dxa"/>
            </w:tcMar>
          </w:tcPr>
          <w:p>
            <w:r>
              <w:rPr>
                <w:sz w:val="19"/>
              </w:rPr>
              <w:t>Üks KÜ küsib pakkumisi</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Mitu sõltumatut KÜ-d koos</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piiratud</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Geograafiline klaster</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osaliselt</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Mahu kasvades langev hind</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võimalik</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Automaatne naabrite kaasamine</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Rahaline commitment</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Pakkujate marketplace</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oma partnerid</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Avatud konkurents</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piiratud</w:t>
            </w:r>
          </w:p>
        </w:tc>
        <w:tc>
          <w:tcPr>
            <w:tcW w:type="dxa" w:w="1701"/>
            <w:vAlign w:val="center"/>
            <w:tcMar>
              <w:top w:w="90" w:type="dxa"/>
              <w:start w:w="90" w:type="dxa"/>
              <w:bottom w:w="90" w:type="dxa"/>
              <w:end w:w="90" w:type="dxa"/>
            </w:tcMar>
          </w:tcPr>
          <w:p>
            <w:r>
              <w:rPr>
                <w:sz w:val="19"/>
              </w:rPr>
              <w:t>✓</w:t>
            </w:r>
          </w:p>
        </w:tc>
      </w:tr>
      <w:tr>
        <w:trPr>
          <w:cantSplit/>
        </w:trPr>
        <w:tc>
          <w:tcPr>
            <w:tcW w:type="dxa" w:w="3402"/>
            <w:vAlign w:val="center"/>
            <w:tcMar>
              <w:top w:w="90" w:type="dxa"/>
              <w:start w:w="90" w:type="dxa"/>
              <w:bottom w:w="90" w:type="dxa"/>
              <w:end w:w="90" w:type="dxa"/>
            </w:tcMar>
          </w:tcPr>
          <w:p>
            <w:r>
              <w:rPr>
                <w:sz w:val="19"/>
              </w:rPr>
              <w:t>Haldustarkvara</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c>
          <w:tcPr>
            <w:tcW w:type="dxa" w:w="1701"/>
            <w:vAlign w:val="center"/>
            <w:tcMar>
              <w:top w:w="90" w:type="dxa"/>
              <w:start w:w="90" w:type="dxa"/>
              <w:bottom w:w="90" w:type="dxa"/>
              <w:end w:w="90" w:type="dxa"/>
            </w:tcMar>
          </w:tcPr>
          <w:p>
            <w:r>
              <w:rPr>
                <w:sz w:val="19"/>
              </w:rPr>
              <w:t>–</w:t>
            </w:r>
          </w:p>
        </w:tc>
      </w:tr>
    </w:tbl>
    <w:p/>
    <w:p>
      <w:pPr>
        <w:pStyle w:val="Heading2"/>
      </w:pPr>
      <w:r>
        <w:t>6.3 Positsioneerimine</w:t>
      </w:r>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Ühishange on hüperlokaalne B2B teenuste marketplace, mis koondab lähestikku asuvate kinnisvaraomanike ja korteriühistute nõudluse tingimuslikeks mahutellimusteks ning võimaldab teenusepakkujatel pakkuda geograafilise tiheduse eest paremat hinda.</w:t>
            </w:r>
          </w:p>
        </w:tc>
      </w:tr>
    </w:tbl>
    <w:p/>
    <w:p>
      <w:r>
        <w:t>Turunduses ei tasu toodet kirjeldada ainult kui “hankeportaali”. Tarbijale arusaadavam lubadus on “Naabrid ostavad koos” või “Koondame piirkonna tellimused — teie maksate vähem, teenusepakkuja sõidab vähem.”</w:t>
      </w:r>
    </w:p>
    <w:p>
      <w:pPr>
        <w:pStyle w:val="Heading1"/>
      </w:pPr>
      <w:r>
        <w:t>7. Registriandmed ja kasvumootor</w:t>
      </w:r>
    </w:p>
    <w:p>
      <w:r>
        <w:t>e-Äriregistri avaandmed annavad võimaluse siduda KÜ-de juriidilised isikud aadressi ja kontaktandmetega ning ehitada toote sisse lokaalne levikumehhanism.</w:t>
      </w:r>
    </w:p>
    <w:tbl>
      <w:tblPr>
        <w:tblW w:type="auto" w:w="0"/>
        <w:tblLook w:firstColumn="1" w:firstRow="1" w:lastColumn="0" w:lastRow="0" w:noHBand="0" w:noVBand="1" w:val="04A0"/>
      </w:tblPr>
      <w:tblGrid>
        <w:gridCol w:w="9858"/>
      </w:tblGrid>
      <w:tr>
        <w:trPr>
          <w:cantSplit/>
        </w:trPr>
        <w:tc>
          <w:tcPr>
            <w:tcW w:type="dxa" w:w="9858"/>
            <w:shd w:fill="F3F3F3"/>
            <w:tcMar>
              <w:top w:w="120" w:type="dxa"/>
              <w:start w:w="140" w:type="dxa"/>
              <w:bottom w:w="120" w:type="dxa"/>
              <w:end w:w="140" w:type="dxa"/>
            </w:tcMar>
          </w:tcPr>
          <w:p>
            <w:pPr>
              <w:spacing w:before="0" w:after="0" w:line="240" w:lineRule="auto"/>
            </w:pPr>
            <w:r>
              <w:rPr>
                <w:rFonts w:ascii="Consolas" w:hAnsi="Consolas"/>
                <w:sz w:val="16"/>
              </w:rPr>
              <w:t>KÜ loob hanke aadressil X</w:t>
              <w:br/>
            </w:r>
            <w:r>
              <w:rPr>
                <w:rFonts w:ascii="Consolas" w:hAnsi="Consolas"/>
                <w:sz w:val="16"/>
              </w:rPr>
              <w:t xml:space="preserve">          │</w:t>
              <w:br/>
            </w:r>
            <w:r>
              <w:rPr>
                <w:rFonts w:ascii="Consolas" w:hAnsi="Consolas"/>
                <w:sz w:val="16"/>
              </w:rPr>
              <w:t xml:space="preserve">          ▼</w:t>
              <w:br/>
            </w:r>
            <w:r>
              <w:rPr>
                <w:rFonts w:ascii="Consolas" w:hAnsi="Consolas"/>
                <w:sz w:val="16"/>
              </w:rPr>
              <w:t>geokodeeri aadress</w:t>
              <w:br/>
            </w:r>
            <w:r>
              <w:rPr>
                <w:rFonts w:ascii="Consolas" w:hAnsi="Consolas"/>
                <w:sz w:val="16"/>
              </w:rPr>
              <w:t xml:space="preserve">          │</w:t>
              <w:br/>
            </w:r>
            <w:r>
              <w:rPr>
                <w:rFonts w:ascii="Consolas" w:hAnsi="Consolas"/>
                <w:sz w:val="16"/>
              </w:rPr>
              <w:t xml:space="preserve">          ▼</w:t>
              <w:br/>
            </w:r>
            <w:r>
              <w:rPr>
                <w:rFonts w:ascii="Consolas" w:hAnsi="Consolas"/>
                <w:sz w:val="16"/>
              </w:rPr>
              <w:t>otsi 500 m / 1 km raadiuses KÜ-d</w:t>
              <w:br/>
            </w:r>
            <w:r>
              <w:rPr>
                <w:rFonts w:ascii="Consolas" w:hAnsi="Consolas"/>
                <w:sz w:val="16"/>
              </w:rPr>
              <w:t xml:space="preserve">          │</w:t>
              <w:br/>
            </w:r>
            <w:r>
              <w:rPr>
                <w:rFonts w:ascii="Consolas" w:hAnsi="Consolas"/>
                <w:sz w:val="16"/>
              </w:rPr>
              <w:t xml:space="preserve">          ▼</w:t>
              <w:br/>
            </w:r>
            <w:r>
              <w:rPr>
                <w:rFonts w:ascii="Consolas" w:hAnsi="Consolas"/>
                <w:sz w:val="16"/>
              </w:rPr>
              <w:t>20 potentsiaalset naabrit</w:t>
              <w:br/>
            </w:r>
            <w:r>
              <w:rPr>
                <w:rFonts w:ascii="Consolas" w:hAnsi="Consolas"/>
                <w:sz w:val="16"/>
              </w:rPr>
              <w:t xml:space="preserve">          │</w:t>
              <w:br/>
            </w:r>
            <w:r>
              <w:rPr>
                <w:rFonts w:ascii="Consolas" w:hAnsi="Consolas"/>
                <w:sz w:val="16"/>
              </w:rPr>
              <w:t xml:space="preserve">          ▼</w:t>
              <w:br/>
            </w:r>
            <w:r>
              <w:rPr>
                <w:rFonts w:ascii="Consolas" w:hAnsi="Consolas"/>
                <w:sz w:val="16"/>
              </w:rPr>
              <w:t>saada personaalsed kutsed</w:t>
              <w:br/>
            </w:r>
            <w:r>
              <w:rPr>
                <w:rFonts w:ascii="Consolas" w:hAnsi="Consolas"/>
                <w:sz w:val="16"/>
              </w:rPr>
              <w:t xml:space="preserve">          │</w:t>
              <w:br/>
            </w:r>
            <w:r>
              <w:rPr>
                <w:rFonts w:ascii="Consolas" w:hAnsi="Consolas"/>
                <w:sz w:val="16"/>
              </w:rPr>
              <w:t xml:space="preserve">          ▼</w:t>
              <w:br/>
            </w:r>
            <w:r>
              <w:rPr>
                <w:rFonts w:ascii="Consolas" w:hAnsi="Consolas"/>
                <w:sz w:val="16"/>
              </w:rPr>
              <w:t>naaber liitub</w:t>
              <w:br/>
            </w:r>
            <w:r>
              <w:rPr>
                <w:rFonts w:ascii="Consolas" w:hAnsi="Consolas"/>
                <w:sz w:val="16"/>
              </w:rPr>
              <w:t xml:space="preserve">          │</w:t>
              <w:br/>
            </w:r>
            <w:r>
              <w:rPr>
                <w:rFonts w:ascii="Consolas" w:hAnsi="Consolas"/>
                <w:sz w:val="16"/>
              </w:rPr>
              <w:t xml:space="preserve">          ▼</w:t>
              <w:br/>
            </w:r>
            <w:r>
              <w:rPr>
                <w:rFonts w:ascii="Consolas" w:hAnsi="Consolas"/>
                <w:sz w:val="16"/>
              </w:rPr>
              <w:t>hind langeb</w:t>
              <w:br/>
            </w:r>
            <w:r>
              <w:rPr>
                <w:rFonts w:ascii="Consolas" w:hAnsi="Consolas"/>
                <w:sz w:val="16"/>
              </w:rPr>
              <w:t xml:space="preserve">          │</w:t>
              <w:br/>
            </w:r>
            <w:r>
              <w:rPr>
                <w:rFonts w:ascii="Consolas" w:hAnsi="Consolas"/>
                <w:sz w:val="16"/>
              </w:rPr>
              <w:t xml:space="preserve">          ▼</w:t>
              <w:br/>
            </w:r>
            <w:r>
              <w:rPr>
                <w:rFonts w:ascii="Consolas" w:hAnsi="Consolas"/>
                <w:sz w:val="16"/>
              </w:rPr>
              <w:t>tema naabrid saavad uue kutse</w:t>
            </w:r>
          </w:p>
        </w:tc>
      </w:tr>
    </w:tbl>
    <w:p/>
    <w:p>
      <w:r>
        <w:t>Korteriühistu puhul on registriaadress hea geograafiline signaal, sest juriidiline isik on seotud konkreetse kinnisvaraga. Tavalise ettevõtte registriaadress ei pruugi näidata tegelikku teenuse tarbimise kohta. Seetõttu on mõistlik piirata MVP ostjapool KÜ-dega ja lasta ettevõtetel hiljem registreerida tegelikud teenindatavad objektid.</w:t>
      </w:r>
    </w:p>
    <w:p>
      <w:pPr>
        <w:pStyle w:val="Heading1"/>
      </w:pPr>
      <w:r>
        <w:t>8. Õigus- ja maksekeskkond</w:t>
      </w:r>
    </w:p>
    <w:p>
      <w:pPr>
        <w:pStyle w:val="Heading2"/>
      </w:pPr>
      <w:r>
        <w:t>8.1 Käsiraha vs ettemaks</w:t>
      </w:r>
    </w:p>
    <w:p>
      <w:r>
        <w:t>Kui rahasumma tõendab lepingu sõlmimist, tagab lepingu täitmist, arvestatakse hiljem teenuse hinna sisse ja võib ostja süül lepingu täitmata jäämisel teisele poolele jääda, meenutab see VÕS mõttes käsiraha rohkem kui tavalist ettemaksu. Lõplik konstruktsioon ja kasutustingimused vajavad enne launch’i juristi kontrolli.</w:t>
      </w:r>
    </w:p>
    <w:p>
      <w:pPr>
        <w:pStyle w:val="Heading2"/>
      </w:pPr>
      <w:r>
        <w:t>8.2 Platvorm ei tohiks ise kliendiraha hoida</w:t>
      </w:r>
    </w:p>
    <w:p>
      <w:r>
        <w:t>Marketplace’i jaoks on riskantne mudel, kus KÜ maksab raha Ühishange OÜ pangakontole ja platvorm kannab selle hiljem teenusepakkujale. Maksete vastuvõtmine ja edastamine kolmandate isikute vahel võib kuuluda makseteenuste regulatsiooni alla. Soovitatav on kasutada litsentseeritud makseteenuse pakkujat, kes haldab charge/hold/refund/release loogikat.</w:t>
      </w:r>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Ühishange peaks haldama tehingu olekut, mitte kliendiraha.</w:t>
            </w:r>
          </w:p>
        </w:tc>
      </w:tr>
    </w:tbl>
    <w:p/>
    <w:p>
      <w:pPr>
        <w:pStyle w:val="Heading2"/>
      </w:pPr>
      <w:r>
        <w:t>8.3 Otseturustus ja andmekaitse</w:t>
      </w:r>
    </w:p>
    <w:p>
      <w:r>
        <w:t>Juriidiliste isikute elektrooniliste kontaktandmete kasutamisel tuleb igas otseturustussõnumis anda lihtne ja tasuta võimalus edasisest suhtlusest keelduda. Praktiliselt tasub eelistada KÜ enda üldkontakte, mitte juhatuse liikmete era-aadresse, ning ehitada kohe suppression/unsubscribe loogika.</w:t>
      </w:r>
    </w:p>
    <w:p>
      <w:pPr>
        <w:pStyle w:val="Heading2"/>
      </w:pPr>
      <w:r>
        <w:t>8.4 KÜ esindusõigus</w:t>
      </w:r>
    </w:p>
    <w:p>
      <w:r>
        <w:t>KÜ juhatus esindab ühistut, kuid suuremate kulukohustuste alus võib sõltuda majanduskavast või üldkoosoleku otsusest. Hanke aktsepteerimisel võiks kasutaja kinnitada, et tal on vajalik esindusõigus ja otsustuslik alus. Hiljem saab esindusõiguse kontrolli automatiseerida registriandmete kaudu.</w:t>
      </w:r>
    </w:p>
    <w:p>
      <w:pPr>
        <w:pStyle w:val="Heading2"/>
      </w:pPr>
      <w:r>
        <w:t>8.5 Avalik sektor</w:t>
      </w:r>
    </w:p>
    <w:p>
      <w:r>
        <w:t>Avaliku sektori asutused jätaks MVP-st välja. Avalikel hankijatel on riigihankeõiguslikud kohustused ja sageli ka sisemised hankekorrad, mis muudavad ühisostu protsessi märksa keerulisemaks. Soovitatav etapistus: KÜ-d → eraettevõtete kinnisvara → avalik sektor eraldi moodulina.</w:t>
      </w:r>
    </w:p>
    <w:p>
      <w:pPr>
        <w:pStyle w:val="Heading2"/>
      </w:pPr>
      <w:r>
        <w:t>8.6 DAC7</w:t>
      </w:r>
    </w:p>
    <w:p>
      <w:r>
        <w:t>Platvormimajanduse DAC7 reeglite kohaldumine tuleb enne live’i üle kontrollida, kuid arhitektuuris tasub juba algusest hoida müüja juriidiline nimi, registrikood, aadress, maksuresidentsus, KMKR number, makseidentiteet, tehingute brutoväärtus, platvormitasud ja tagasimaksed.</w:t>
      </w:r>
    </w:p>
    <w:p>
      <w:pPr>
        <w:pStyle w:val="Heading1"/>
      </w:pPr>
      <w:r>
        <w:t>9. Turu suurus (TAM/SAM/SOM)</w:t>
      </w:r>
    </w:p>
    <w:p>
      <w:r>
        <w:t>Eestis on ligikaudu 23 000–25 000 korteriühistut. Allpool toodud teenusekulu ühe KÜ kohta on ärimudeli hüpotees, mitte ametlik statistika, ning seda tuleb piloodiga valideerida.</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835"/>
            <w:shd w:fill="F7931E"/>
            <w:vAlign w:val="center"/>
            <w:tcMar>
              <w:top w:w="90" w:type="dxa"/>
              <w:start w:w="90" w:type="dxa"/>
              <w:bottom w:w="90" w:type="dxa"/>
              <w:end w:w="90" w:type="dxa"/>
            </w:tcMar>
          </w:tcPr>
          <w:p>
            <w:r>
              <w:rPr>
                <w:b/>
                <w:color w:val="FFFFFF"/>
                <w:sz w:val="19"/>
              </w:rPr>
              <w:t>Stsenaarium</w:t>
            </w:r>
          </w:p>
        </w:tc>
        <w:tc>
          <w:tcPr>
            <w:tcW w:type="dxa" w:w="2835"/>
            <w:shd w:fill="F7931E"/>
            <w:vAlign w:val="center"/>
            <w:tcMar>
              <w:top w:w="90" w:type="dxa"/>
              <w:start w:w="90" w:type="dxa"/>
              <w:bottom w:w="90" w:type="dxa"/>
              <w:end w:w="90" w:type="dxa"/>
            </w:tcMar>
          </w:tcPr>
          <w:p>
            <w:r>
              <w:rPr>
                <w:b/>
                <w:color w:val="FFFFFF"/>
                <w:sz w:val="19"/>
              </w:rPr>
              <w:t>Aastane sobiv teenusekulu/KÜ</w:t>
            </w:r>
          </w:p>
        </w:tc>
        <w:tc>
          <w:tcPr>
            <w:tcW w:type="dxa" w:w="2835"/>
            <w:shd w:fill="F7931E"/>
            <w:vAlign w:val="center"/>
            <w:tcMar>
              <w:top w:w="90" w:type="dxa"/>
              <w:start w:w="90" w:type="dxa"/>
              <w:bottom w:w="90" w:type="dxa"/>
              <w:end w:w="90" w:type="dxa"/>
            </w:tcMar>
          </w:tcPr>
          <w:p>
            <w:r>
              <w:rPr>
                <w:b/>
                <w:color w:val="FFFFFF"/>
                <w:sz w:val="19"/>
              </w:rPr>
              <w:t>Ligikaudne TAM 25 000 KÜ puhul</w:t>
            </w:r>
          </w:p>
        </w:tc>
      </w:tr>
      <w:tr>
        <w:trPr>
          <w:cantSplit/>
        </w:trPr>
        <w:tc>
          <w:tcPr>
            <w:tcW w:type="dxa" w:w="2835"/>
            <w:vAlign w:val="center"/>
            <w:tcMar>
              <w:top w:w="90" w:type="dxa"/>
              <w:start w:w="90" w:type="dxa"/>
              <w:bottom w:w="90" w:type="dxa"/>
              <w:end w:w="90" w:type="dxa"/>
            </w:tcMar>
          </w:tcPr>
          <w:p>
            <w:r>
              <w:rPr>
                <w:sz w:val="19"/>
              </w:rPr>
              <w:t>Konservatiivne</w:t>
            </w:r>
          </w:p>
        </w:tc>
        <w:tc>
          <w:tcPr>
            <w:tcW w:type="dxa" w:w="2835"/>
            <w:vAlign w:val="center"/>
            <w:tcMar>
              <w:top w:w="90" w:type="dxa"/>
              <w:start w:w="90" w:type="dxa"/>
              <w:bottom w:w="90" w:type="dxa"/>
              <w:end w:w="90" w:type="dxa"/>
            </w:tcMar>
          </w:tcPr>
          <w:p>
            <w:r>
              <w:rPr>
                <w:sz w:val="19"/>
              </w:rPr>
              <w:t>3 000 €</w:t>
            </w:r>
          </w:p>
        </w:tc>
        <w:tc>
          <w:tcPr>
            <w:tcW w:type="dxa" w:w="2835"/>
            <w:vAlign w:val="center"/>
            <w:tcMar>
              <w:top w:w="90" w:type="dxa"/>
              <w:start w:w="90" w:type="dxa"/>
              <w:bottom w:w="90" w:type="dxa"/>
              <w:end w:w="90" w:type="dxa"/>
            </w:tcMar>
          </w:tcPr>
          <w:p>
            <w:r>
              <w:rPr>
                <w:sz w:val="19"/>
              </w:rPr>
              <w:t>75 M€</w:t>
            </w:r>
          </w:p>
        </w:tc>
      </w:tr>
      <w:tr>
        <w:trPr>
          <w:cantSplit/>
        </w:trPr>
        <w:tc>
          <w:tcPr>
            <w:tcW w:type="dxa" w:w="2835"/>
            <w:vAlign w:val="center"/>
            <w:tcMar>
              <w:top w:w="90" w:type="dxa"/>
              <w:start w:w="90" w:type="dxa"/>
              <w:bottom w:w="90" w:type="dxa"/>
              <w:end w:w="90" w:type="dxa"/>
            </w:tcMar>
          </w:tcPr>
          <w:p>
            <w:r>
              <w:rPr>
                <w:sz w:val="19"/>
              </w:rPr>
              <w:t>Baas</w:t>
            </w:r>
          </w:p>
        </w:tc>
        <w:tc>
          <w:tcPr>
            <w:tcW w:type="dxa" w:w="2835"/>
            <w:vAlign w:val="center"/>
            <w:tcMar>
              <w:top w:w="90" w:type="dxa"/>
              <w:start w:w="90" w:type="dxa"/>
              <w:bottom w:w="90" w:type="dxa"/>
              <w:end w:w="90" w:type="dxa"/>
            </w:tcMar>
          </w:tcPr>
          <w:p>
            <w:r>
              <w:rPr>
                <w:sz w:val="19"/>
              </w:rPr>
              <w:t>6 000 €</w:t>
            </w:r>
          </w:p>
        </w:tc>
        <w:tc>
          <w:tcPr>
            <w:tcW w:type="dxa" w:w="2835"/>
            <w:vAlign w:val="center"/>
            <w:tcMar>
              <w:top w:w="90" w:type="dxa"/>
              <w:start w:w="90" w:type="dxa"/>
              <w:bottom w:w="90" w:type="dxa"/>
              <w:end w:w="90" w:type="dxa"/>
            </w:tcMar>
          </w:tcPr>
          <w:p>
            <w:r>
              <w:rPr>
                <w:sz w:val="19"/>
              </w:rPr>
              <w:t>150 M€</w:t>
            </w:r>
          </w:p>
        </w:tc>
      </w:tr>
      <w:tr>
        <w:trPr>
          <w:cantSplit/>
        </w:trPr>
        <w:tc>
          <w:tcPr>
            <w:tcW w:type="dxa" w:w="2835"/>
            <w:vAlign w:val="center"/>
            <w:tcMar>
              <w:top w:w="90" w:type="dxa"/>
              <w:start w:w="90" w:type="dxa"/>
              <w:bottom w:w="90" w:type="dxa"/>
              <w:end w:w="90" w:type="dxa"/>
            </w:tcMar>
          </w:tcPr>
          <w:p>
            <w:r>
              <w:rPr>
                <w:sz w:val="19"/>
              </w:rPr>
              <w:t>Kõrge</w:t>
            </w:r>
          </w:p>
        </w:tc>
        <w:tc>
          <w:tcPr>
            <w:tcW w:type="dxa" w:w="2835"/>
            <w:vAlign w:val="center"/>
            <w:tcMar>
              <w:top w:w="90" w:type="dxa"/>
              <w:start w:w="90" w:type="dxa"/>
              <w:bottom w:w="90" w:type="dxa"/>
              <w:end w:w="90" w:type="dxa"/>
            </w:tcMar>
          </w:tcPr>
          <w:p>
            <w:r>
              <w:rPr>
                <w:sz w:val="19"/>
              </w:rPr>
              <w:t>10 000 €</w:t>
            </w:r>
          </w:p>
        </w:tc>
        <w:tc>
          <w:tcPr>
            <w:tcW w:type="dxa" w:w="2835"/>
            <w:vAlign w:val="center"/>
            <w:tcMar>
              <w:top w:w="90" w:type="dxa"/>
              <w:start w:w="90" w:type="dxa"/>
              <w:bottom w:w="90" w:type="dxa"/>
              <w:end w:w="90" w:type="dxa"/>
            </w:tcMar>
          </w:tcPr>
          <w:p>
            <w:r>
              <w:rPr>
                <w:sz w:val="19"/>
              </w:rPr>
              <w:t>250 M€</w:t>
            </w:r>
          </w:p>
        </w:tc>
      </w:tr>
    </w:tbl>
    <w:p/>
    <w:p>
      <w:r>
        <w:t>Seega võiks Eesti KÜ-de kaudu ühishankimiseks teoreetiliselt sobivate teenuste TAM olla suurusjärgus 75–250 miljonit eurot aastas. Kogu seda mahtu ei ole realistlik platvormile püüda; praktiline otsus vajab SAM-i ja SOM-i defineerimist teenuste ning geograafia järgi.</w:t>
      </w:r>
    </w:p>
    <w:p>
      <w:pPr>
        <w:pStyle w:val="Heading2"/>
      </w:pPr>
      <w:r>
        <w:t>9.1 Realistlikum SOM</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2268"/>
            <w:shd w:fill="F7931E"/>
            <w:vAlign w:val="center"/>
            <w:tcMar>
              <w:top w:w="90" w:type="dxa"/>
              <w:start w:w="90" w:type="dxa"/>
              <w:bottom w:w="90" w:type="dxa"/>
              <w:end w:w="90" w:type="dxa"/>
            </w:tcMar>
          </w:tcPr>
          <w:p>
            <w:r>
              <w:rPr>
                <w:b/>
                <w:color w:val="FFFFFF"/>
                <w:sz w:val="19"/>
              </w:rPr>
              <w:t>Aktiivsed KÜ-d</w:t>
            </w:r>
          </w:p>
        </w:tc>
        <w:tc>
          <w:tcPr>
            <w:tcW w:type="dxa" w:w="2268"/>
            <w:shd w:fill="F7931E"/>
            <w:vAlign w:val="center"/>
            <w:tcMar>
              <w:top w:w="90" w:type="dxa"/>
              <w:start w:w="90" w:type="dxa"/>
              <w:bottom w:w="90" w:type="dxa"/>
              <w:end w:w="90" w:type="dxa"/>
            </w:tcMar>
          </w:tcPr>
          <w:p>
            <w:r>
              <w:rPr>
                <w:b/>
                <w:color w:val="FFFFFF"/>
                <w:sz w:val="19"/>
              </w:rPr>
              <w:t>GMV/KÜ aastas</w:t>
            </w:r>
          </w:p>
        </w:tc>
        <w:tc>
          <w:tcPr>
            <w:tcW w:type="dxa" w:w="2268"/>
            <w:shd w:fill="F7931E"/>
            <w:vAlign w:val="center"/>
            <w:tcMar>
              <w:top w:w="90" w:type="dxa"/>
              <w:start w:w="90" w:type="dxa"/>
              <w:bottom w:w="90" w:type="dxa"/>
              <w:end w:w="90" w:type="dxa"/>
            </w:tcMar>
          </w:tcPr>
          <w:p>
            <w:r>
              <w:rPr>
                <w:b/>
                <w:color w:val="FFFFFF"/>
                <w:sz w:val="19"/>
              </w:rPr>
              <w:t>Platvormi GMV</w:t>
            </w:r>
          </w:p>
        </w:tc>
        <w:tc>
          <w:tcPr>
            <w:tcW w:type="dxa" w:w="2268"/>
            <w:shd w:fill="F7931E"/>
            <w:vAlign w:val="center"/>
            <w:tcMar>
              <w:top w:w="90" w:type="dxa"/>
              <w:start w:w="90" w:type="dxa"/>
              <w:bottom w:w="90" w:type="dxa"/>
              <w:end w:w="90" w:type="dxa"/>
            </w:tcMar>
          </w:tcPr>
          <w:p>
            <w:r>
              <w:rPr>
                <w:b/>
                <w:color w:val="FFFFFF"/>
                <w:sz w:val="19"/>
              </w:rPr>
              <w:t>4% take-rate</w:t>
            </w:r>
          </w:p>
        </w:tc>
      </w:tr>
      <w:tr>
        <w:trPr>
          <w:cantSplit/>
        </w:trPr>
        <w:tc>
          <w:tcPr>
            <w:tcW w:type="dxa" w:w="2268"/>
            <w:vAlign w:val="center"/>
            <w:tcMar>
              <w:top w:w="90" w:type="dxa"/>
              <w:start w:w="90" w:type="dxa"/>
              <w:bottom w:w="90" w:type="dxa"/>
              <w:end w:w="90" w:type="dxa"/>
            </w:tcMar>
          </w:tcPr>
          <w:p>
            <w:r>
              <w:rPr>
                <w:sz w:val="19"/>
              </w:rPr>
              <w:t>500</w:t>
            </w:r>
          </w:p>
        </w:tc>
        <w:tc>
          <w:tcPr>
            <w:tcW w:type="dxa" w:w="2268"/>
            <w:vAlign w:val="center"/>
            <w:tcMar>
              <w:top w:w="90" w:type="dxa"/>
              <w:start w:w="90" w:type="dxa"/>
              <w:bottom w:w="90" w:type="dxa"/>
              <w:end w:w="90" w:type="dxa"/>
            </w:tcMar>
          </w:tcPr>
          <w:p>
            <w:r>
              <w:rPr>
                <w:sz w:val="19"/>
              </w:rPr>
              <w:t>6 000 €</w:t>
            </w:r>
          </w:p>
        </w:tc>
        <w:tc>
          <w:tcPr>
            <w:tcW w:type="dxa" w:w="2268"/>
            <w:vAlign w:val="center"/>
            <w:tcMar>
              <w:top w:w="90" w:type="dxa"/>
              <w:start w:w="90" w:type="dxa"/>
              <w:bottom w:w="90" w:type="dxa"/>
              <w:end w:w="90" w:type="dxa"/>
            </w:tcMar>
          </w:tcPr>
          <w:p>
            <w:r>
              <w:rPr>
                <w:sz w:val="19"/>
              </w:rPr>
              <w:t>3,0 M€</w:t>
            </w:r>
          </w:p>
        </w:tc>
        <w:tc>
          <w:tcPr>
            <w:tcW w:type="dxa" w:w="2268"/>
            <w:vAlign w:val="center"/>
            <w:tcMar>
              <w:top w:w="90" w:type="dxa"/>
              <w:start w:w="90" w:type="dxa"/>
              <w:bottom w:w="90" w:type="dxa"/>
              <w:end w:w="90" w:type="dxa"/>
            </w:tcMar>
          </w:tcPr>
          <w:p>
            <w:r>
              <w:rPr>
                <w:sz w:val="19"/>
              </w:rPr>
              <w:t>120 000 €</w:t>
            </w:r>
          </w:p>
        </w:tc>
      </w:tr>
      <w:tr>
        <w:trPr>
          <w:cantSplit/>
        </w:trPr>
        <w:tc>
          <w:tcPr>
            <w:tcW w:type="dxa" w:w="2268"/>
            <w:vAlign w:val="center"/>
            <w:tcMar>
              <w:top w:w="90" w:type="dxa"/>
              <w:start w:w="90" w:type="dxa"/>
              <w:bottom w:w="90" w:type="dxa"/>
              <w:end w:w="90" w:type="dxa"/>
            </w:tcMar>
          </w:tcPr>
          <w:p>
            <w:r>
              <w:rPr>
                <w:sz w:val="19"/>
              </w:rPr>
              <w:t>1 500</w:t>
            </w:r>
          </w:p>
        </w:tc>
        <w:tc>
          <w:tcPr>
            <w:tcW w:type="dxa" w:w="2268"/>
            <w:vAlign w:val="center"/>
            <w:tcMar>
              <w:top w:w="90" w:type="dxa"/>
              <w:start w:w="90" w:type="dxa"/>
              <w:bottom w:w="90" w:type="dxa"/>
              <w:end w:w="90" w:type="dxa"/>
            </w:tcMar>
          </w:tcPr>
          <w:p>
            <w:r>
              <w:rPr>
                <w:sz w:val="19"/>
              </w:rPr>
              <w:t>6 000 €</w:t>
            </w:r>
          </w:p>
        </w:tc>
        <w:tc>
          <w:tcPr>
            <w:tcW w:type="dxa" w:w="2268"/>
            <w:vAlign w:val="center"/>
            <w:tcMar>
              <w:top w:w="90" w:type="dxa"/>
              <w:start w:w="90" w:type="dxa"/>
              <w:bottom w:w="90" w:type="dxa"/>
              <w:end w:w="90" w:type="dxa"/>
            </w:tcMar>
          </w:tcPr>
          <w:p>
            <w:r>
              <w:rPr>
                <w:sz w:val="19"/>
              </w:rPr>
              <w:t>9,0 M€</w:t>
            </w:r>
          </w:p>
        </w:tc>
        <w:tc>
          <w:tcPr>
            <w:tcW w:type="dxa" w:w="2268"/>
            <w:vAlign w:val="center"/>
            <w:tcMar>
              <w:top w:w="90" w:type="dxa"/>
              <w:start w:w="90" w:type="dxa"/>
              <w:bottom w:w="90" w:type="dxa"/>
              <w:end w:w="90" w:type="dxa"/>
            </w:tcMar>
          </w:tcPr>
          <w:p>
            <w:r>
              <w:rPr>
                <w:sz w:val="19"/>
              </w:rPr>
              <w:t>360 000 €</w:t>
            </w:r>
          </w:p>
        </w:tc>
      </w:tr>
      <w:tr>
        <w:trPr>
          <w:cantSplit/>
        </w:trPr>
        <w:tc>
          <w:tcPr>
            <w:tcW w:type="dxa" w:w="2268"/>
            <w:vAlign w:val="center"/>
            <w:tcMar>
              <w:top w:w="90" w:type="dxa"/>
              <w:start w:w="90" w:type="dxa"/>
              <w:bottom w:w="90" w:type="dxa"/>
              <w:end w:w="90" w:type="dxa"/>
            </w:tcMar>
          </w:tcPr>
          <w:p>
            <w:r>
              <w:rPr>
                <w:sz w:val="19"/>
              </w:rPr>
              <w:t>3 000</w:t>
            </w:r>
          </w:p>
        </w:tc>
        <w:tc>
          <w:tcPr>
            <w:tcW w:type="dxa" w:w="2268"/>
            <w:vAlign w:val="center"/>
            <w:tcMar>
              <w:top w:w="90" w:type="dxa"/>
              <w:start w:w="90" w:type="dxa"/>
              <w:bottom w:w="90" w:type="dxa"/>
              <w:end w:w="90" w:type="dxa"/>
            </w:tcMar>
          </w:tcPr>
          <w:p>
            <w:r>
              <w:rPr>
                <w:sz w:val="19"/>
              </w:rPr>
              <w:t>8 000 €</w:t>
            </w:r>
          </w:p>
        </w:tc>
        <w:tc>
          <w:tcPr>
            <w:tcW w:type="dxa" w:w="2268"/>
            <w:vAlign w:val="center"/>
            <w:tcMar>
              <w:top w:w="90" w:type="dxa"/>
              <w:start w:w="90" w:type="dxa"/>
              <w:bottom w:w="90" w:type="dxa"/>
              <w:end w:w="90" w:type="dxa"/>
            </w:tcMar>
          </w:tcPr>
          <w:p>
            <w:r>
              <w:rPr>
                <w:sz w:val="19"/>
              </w:rPr>
              <w:t>24,0 M€</w:t>
            </w:r>
          </w:p>
        </w:tc>
        <w:tc>
          <w:tcPr>
            <w:tcW w:type="dxa" w:w="2268"/>
            <w:vAlign w:val="center"/>
            <w:tcMar>
              <w:top w:w="90" w:type="dxa"/>
              <w:start w:w="90" w:type="dxa"/>
              <w:bottom w:w="90" w:type="dxa"/>
              <w:end w:w="90" w:type="dxa"/>
            </w:tcMar>
          </w:tcPr>
          <w:p>
            <w:r>
              <w:rPr>
                <w:sz w:val="19"/>
              </w:rPr>
              <w:t>960 000 €</w:t>
            </w:r>
          </w:p>
        </w:tc>
      </w:tr>
    </w:tbl>
    <w:p/>
    <w:p>
      <w:r>
        <w:t>Eesti KÜ turg võib luua väga hea kasumliku nišiettevõtte, kuid suure venture-scale tulemuse jaoks on tõenäoliselt vaja laieneda ärikinnisvarasse ja teistesse riikidesse.</w:t>
      </w:r>
    </w:p>
    <w:tbl>
      <w:tblPr>
        <w:tblW w:type="auto" w:w="0"/>
        <w:tblLook w:firstColumn="1" w:firstRow="1" w:lastColumn="0" w:lastRow="0" w:noHBand="0" w:noVBand="1" w:val="04A0"/>
      </w:tblPr>
      <w:tblGrid>
        <w:gridCol w:w="9858"/>
      </w:tblGrid>
      <w:tr>
        <w:trPr>
          <w:cantSplit/>
        </w:trPr>
        <w:tc>
          <w:tcPr>
            <w:tcW w:type="dxa" w:w="9858"/>
            <w:shd w:fill="F3F3F3"/>
            <w:tcMar>
              <w:top w:w="120" w:type="dxa"/>
              <w:start w:w="140" w:type="dxa"/>
              <w:bottom w:w="120" w:type="dxa"/>
              <w:end w:w="140" w:type="dxa"/>
            </w:tcMar>
          </w:tcPr>
          <w:p>
            <w:pPr>
              <w:spacing w:before="0" w:after="0" w:line="240" w:lineRule="auto"/>
            </w:pPr>
            <w:r>
              <w:rPr>
                <w:rFonts w:ascii="Consolas" w:hAnsi="Consolas"/>
                <w:sz w:val="16"/>
              </w:rPr>
              <w:t>Eesti KÜ-d</w:t>
              <w:br/>
            </w:r>
            <w:r>
              <w:rPr>
                <w:rFonts w:ascii="Consolas" w:hAnsi="Consolas"/>
                <w:sz w:val="16"/>
              </w:rPr>
              <w:t xml:space="preserve">     ↓</w:t>
              <w:br/>
            </w:r>
            <w:r>
              <w:rPr>
                <w:rFonts w:ascii="Consolas" w:hAnsi="Consolas"/>
                <w:sz w:val="16"/>
              </w:rPr>
              <w:t>ärikinnisvara / väikesed ettevõtted</w:t>
              <w:br/>
            </w:r>
            <w:r>
              <w:rPr>
                <w:rFonts w:ascii="Consolas" w:hAnsi="Consolas"/>
                <w:sz w:val="16"/>
              </w:rPr>
              <w:t xml:space="preserve">     ↓</w:t>
              <w:br/>
            </w:r>
            <w:r>
              <w:rPr>
                <w:rFonts w:ascii="Consolas" w:hAnsi="Consolas"/>
                <w:sz w:val="16"/>
              </w:rPr>
              <w:t>professionaalsed kinnisvarahaldurid</w:t>
              <w:br/>
            </w:r>
            <w:r>
              <w:rPr>
                <w:rFonts w:ascii="Consolas" w:hAnsi="Consolas"/>
                <w:sz w:val="16"/>
              </w:rPr>
              <w:t xml:space="preserve">     ↓</w:t>
              <w:br/>
            </w:r>
            <w:r>
              <w:rPr>
                <w:rFonts w:ascii="Consolas" w:hAnsi="Consolas"/>
                <w:sz w:val="16"/>
              </w:rPr>
              <w:t>Läti + Leedu</w:t>
              <w:br/>
            </w:r>
            <w:r>
              <w:rPr>
                <w:rFonts w:ascii="Consolas" w:hAnsi="Consolas"/>
                <w:sz w:val="16"/>
              </w:rPr>
              <w:t xml:space="preserve">     ↓</w:t>
              <w:br/>
            </w:r>
            <w:r>
              <w:rPr>
                <w:rFonts w:ascii="Consolas" w:hAnsi="Consolas"/>
                <w:sz w:val="16"/>
              </w:rPr>
              <w:t>Põhjamaad / Kesk-Euroopa</w:t>
            </w:r>
          </w:p>
        </w:tc>
      </w:tr>
    </w:tbl>
    <w:p/>
    <w:p>
      <w:pPr>
        <w:pStyle w:val="Heading1"/>
      </w:pPr>
      <w:r>
        <w:t>10. Võrguefekt ja kaitsekraav</w:t>
      </w:r>
    </w:p>
    <w:p>
      <w:r>
        <w:t>Tavalises marketplace’is on võrguefekt “rohkem ostjaid → rohkem pakkujaid → rohkem ostjaid”. Ühishanke puhul saab tekkida tugevam lokaalne võrguefekt, sest väärtus kasvab kasutajate geograafilise tihedusega.</w:t>
      </w:r>
    </w:p>
    <w:tbl>
      <w:tblPr>
        <w:tblW w:type="auto" w:w="0"/>
        <w:tblLook w:firstColumn="1" w:firstRow="1" w:lastColumn="0" w:lastRow="0" w:noHBand="0" w:noVBand="1" w:val="04A0"/>
      </w:tblPr>
      <w:tblGrid>
        <w:gridCol w:w="9858"/>
      </w:tblGrid>
      <w:tr>
        <w:trPr>
          <w:cantSplit/>
        </w:trPr>
        <w:tc>
          <w:tcPr>
            <w:tcW w:type="dxa" w:w="9858"/>
            <w:shd w:fill="F3F3F3"/>
            <w:tcMar>
              <w:top w:w="120" w:type="dxa"/>
              <w:start w:w="140" w:type="dxa"/>
              <w:bottom w:w="120" w:type="dxa"/>
              <w:end w:w="140" w:type="dxa"/>
            </w:tcMar>
          </w:tcPr>
          <w:p>
            <w:pPr>
              <w:spacing w:before="0" w:after="0" w:line="240" w:lineRule="auto"/>
            </w:pPr>
            <w:r>
              <w:rPr>
                <w:rFonts w:ascii="Consolas" w:hAnsi="Consolas"/>
                <w:sz w:val="16"/>
              </w:rPr>
              <w:t>1 KÜ loob hanke</w:t>
              <w:br/>
            </w:r>
            <w:r>
              <w:rPr>
                <w:rFonts w:ascii="Consolas" w:hAnsi="Consolas"/>
                <w:sz w:val="16"/>
              </w:rPr>
              <w:t xml:space="preserve">      ↓</w:t>
              <w:br/>
            </w:r>
            <w:r>
              <w:rPr>
                <w:rFonts w:ascii="Consolas" w:hAnsi="Consolas"/>
                <w:sz w:val="16"/>
              </w:rPr>
              <w:t>10 naabrit saavad kutse</w:t>
              <w:br/>
            </w:r>
            <w:r>
              <w:rPr>
                <w:rFonts w:ascii="Consolas" w:hAnsi="Consolas"/>
                <w:sz w:val="16"/>
              </w:rPr>
              <w:t xml:space="preserve">      ↓</w:t>
              <w:br/>
            </w:r>
            <w:r>
              <w:rPr>
                <w:rFonts w:ascii="Consolas" w:hAnsi="Consolas"/>
                <w:sz w:val="16"/>
              </w:rPr>
              <w:t>4 liituvad</w:t>
              <w:br/>
            </w:r>
            <w:r>
              <w:rPr>
                <w:rFonts w:ascii="Consolas" w:hAnsi="Consolas"/>
                <w:sz w:val="16"/>
              </w:rPr>
              <w:t xml:space="preserve">      ↓</w:t>
              <w:br/>
            </w:r>
            <w:r>
              <w:rPr>
                <w:rFonts w:ascii="Consolas" w:hAnsi="Consolas"/>
                <w:sz w:val="16"/>
              </w:rPr>
              <w:t>hind langeb</w:t>
              <w:br/>
            </w:r>
            <w:r>
              <w:rPr>
                <w:rFonts w:ascii="Consolas" w:hAnsi="Consolas"/>
                <w:sz w:val="16"/>
              </w:rPr>
              <w:t xml:space="preserve">      ↓</w:t>
              <w:br/>
            </w:r>
            <w:r>
              <w:rPr>
                <w:rFonts w:ascii="Consolas" w:hAnsi="Consolas"/>
                <w:sz w:val="16"/>
              </w:rPr>
              <w:t>liitunud KÜ-d kutsuvad enda naabreid</w:t>
              <w:br/>
            </w:r>
            <w:r>
              <w:rPr>
                <w:rFonts w:ascii="Consolas" w:hAnsi="Consolas"/>
                <w:sz w:val="16"/>
              </w:rPr>
              <w:t xml:space="preserve">      ↓</w:t>
              <w:br/>
            </w:r>
            <w:r>
              <w:rPr>
                <w:rFonts w:ascii="Consolas" w:hAnsi="Consolas"/>
                <w:sz w:val="16"/>
              </w:rPr>
              <w:t>pakkuja saab tihedama marsruudi</w:t>
              <w:br/>
            </w:r>
            <w:r>
              <w:rPr>
                <w:rFonts w:ascii="Consolas" w:hAnsi="Consolas"/>
                <w:sz w:val="16"/>
              </w:rPr>
              <w:t xml:space="preserve">      ↓</w:t>
              <w:br/>
            </w:r>
            <w:r>
              <w:rPr>
                <w:rFonts w:ascii="Consolas" w:hAnsi="Consolas"/>
                <w:sz w:val="16"/>
              </w:rPr>
              <w:t>saab pakkuda paremat hinda</w:t>
              <w:br/>
            </w:r>
            <w:r>
              <w:rPr>
                <w:rFonts w:ascii="Consolas" w:hAnsi="Consolas"/>
                <w:sz w:val="16"/>
              </w:rPr>
              <w:t xml:space="preserve">      ↓</w:t>
              <w:br/>
            </w:r>
            <w:r>
              <w:rPr>
                <w:rFonts w:ascii="Consolas" w:hAnsi="Consolas"/>
                <w:sz w:val="16"/>
              </w:rPr>
              <w:t>rohkem KÜ-sid liitub</w:t>
            </w:r>
          </w:p>
        </w:tc>
      </w:tr>
    </w:tbl>
    <w:p/>
    <w:p>
      <w:r>
        <w:t>Pikas perspektiivis võib kõige tugevamaks kaitsekraaviks kujuneda andmestik selle kohta, millise teenuse puhul, millises piirkonnas, millise mahu juures ja millise pakkujaga hind kui palju langeb. Seda ei saa konkurent lihtsalt kasutajaliidese kopeerimisega taastada.</w:t>
      </w:r>
    </w:p>
    <w:p>
      <w:r>
        <w:t>Siin tekib loomulik koht AI-le: süsteem saab soovitada, kas hanget tasub veel avatuna hoida, milliseid naabreid kutsuda, milline hinnatase on realistlik ning milline klaster maksimeerib hinna ja täitumise tõenäosuse.</w:t>
      </w:r>
    </w:p>
    <w:p>
      <w:pPr>
        <w:pStyle w:val="Heading1"/>
      </w:pPr>
      <w:r>
        <w:t>11. MVP ja go-to-market</w:t>
      </w:r>
    </w:p>
    <w:p>
      <w:pPr>
        <w:pStyle w:val="Heading2"/>
      </w:pPr>
      <w:r>
        <w:t>11.1 MVP fookus</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402"/>
            <w:shd w:fill="F7931E"/>
            <w:vAlign w:val="center"/>
            <w:tcMar>
              <w:top w:w="90" w:type="dxa"/>
              <w:start w:w="90" w:type="dxa"/>
              <w:bottom w:w="90" w:type="dxa"/>
              <w:end w:w="90" w:type="dxa"/>
            </w:tcMar>
          </w:tcPr>
          <w:p>
            <w:r>
              <w:rPr>
                <w:b/>
                <w:color w:val="FFFFFF"/>
                <w:sz w:val="19"/>
              </w:rPr>
              <w:t>Dimensioon</w:t>
            </w:r>
          </w:p>
        </w:tc>
        <w:tc>
          <w:tcPr>
            <w:tcW w:type="dxa" w:w="5102"/>
            <w:shd w:fill="F7931E"/>
            <w:vAlign w:val="center"/>
            <w:tcMar>
              <w:top w:w="90" w:type="dxa"/>
              <w:start w:w="90" w:type="dxa"/>
              <w:bottom w:w="90" w:type="dxa"/>
              <w:end w:w="90" w:type="dxa"/>
            </w:tcMar>
          </w:tcPr>
          <w:p>
            <w:r>
              <w:rPr>
                <w:b/>
                <w:color w:val="FFFFFF"/>
                <w:sz w:val="19"/>
              </w:rPr>
              <w:t>Soovitus</w:t>
            </w:r>
          </w:p>
        </w:tc>
      </w:tr>
      <w:tr>
        <w:trPr>
          <w:cantSplit/>
        </w:trPr>
        <w:tc>
          <w:tcPr>
            <w:tcW w:type="dxa" w:w="3402"/>
            <w:vAlign w:val="center"/>
            <w:tcMar>
              <w:top w:w="90" w:type="dxa"/>
              <w:start w:w="90" w:type="dxa"/>
              <w:bottom w:w="90" w:type="dxa"/>
              <w:end w:w="90" w:type="dxa"/>
            </w:tcMar>
          </w:tcPr>
          <w:p>
            <w:r>
              <w:rPr>
                <w:sz w:val="19"/>
              </w:rPr>
              <w:t>Geograafia</w:t>
            </w:r>
          </w:p>
        </w:tc>
        <w:tc>
          <w:tcPr>
            <w:tcW w:type="dxa" w:w="5102"/>
            <w:vAlign w:val="center"/>
            <w:tcMar>
              <w:top w:w="90" w:type="dxa"/>
              <w:start w:w="90" w:type="dxa"/>
              <w:bottom w:w="90" w:type="dxa"/>
              <w:end w:w="90" w:type="dxa"/>
            </w:tcMar>
          </w:tcPr>
          <w:p>
            <w:r>
              <w:rPr>
                <w:sz w:val="19"/>
              </w:rPr>
              <w:t>Tallinn, üks tihe linnaosa või paar kõrvutist mikroturgu</w:t>
            </w:r>
          </w:p>
        </w:tc>
      </w:tr>
      <w:tr>
        <w:trPr>
          <w:cantSplit/>
        </w:trPr>
        <w:tc>
          <w:tcPr>
            <w:tcW w:type="dxa" w:w="3402"/>
            <w:vAlign w:val="center"/>
            <w:tcMar>
              <w:top w:w="90" w:type="dxa"/>
              <w:start w:w="90" w:type="dxa"/>
              <w:bottom w:w="90" w:type="dxa"/>
              <w:end w:w="90" w:type="dxa"/>
            </w:tcMar>
          </w:tcPr>
          <w:p>
            <w:r>
              <w:rPr>
                <w:sz w:val="19"/>
              </w:rPr>
              <w:t>Ostjad</w:t>
            </w:r>
          </w:p>
        </w:tc>
        <w:tc>
          <w:tcPr>
            <w:tcW w:type="dxa" w:w="5102"/>
            <w:vAlign w:val="center"/>
            <w:tcMar>
              <w:top w:w="90" w:type="dxa"/>
              <w:start w:w="90" w:type="dxa"/>
              <w:bottom w:w="90" w:type="dxa"/>
              <w:end w:w="90" w:type="dxa"/>
            </w:tcMar>
          </w:tcPr>
          <w:p>
            <w:r>
              <w:rPr>
                <w:sz w:val="19"/>
              </w:rPr>
              <w:t>ainult korteriühistud</w:t>
            </w:r>
          </w:p>
        </w:tc>
      </w:tr>
      <w:tr>
        <w:trPr>
          <w:cantSplit/>
        </w:trPr>
        <w:tc>
          <w:tcPr>
            <w:tcW w:type="dxa" w:w="3402"/>
            <w:vAlign w:val="center"/>
            <w:tcMar>
              <w:top w:w="90" w:type="dxa"/>
              <w:start w:w="90" w:type="dxa"/>
              <w:bottom w:w="90" w:type="dxa"/>
              <w:end w:w="90" w:type="dxa"/>
            </w:tcMar>
          </w:tcPr>
          <w:p>
            <w:r>
              <w:rPr>
                <w:sz w:val="19"/>
              </w:rPr>
              <w:t>Teenused</w:t>
            </w:r>
          </w:p>
        </w:tc>
        <w:tc>
          <w:tcPr>
            <w:tcW w:type="dxa" w:w="5102"/>
            <w:vAlign w:val="center"/>
            <w:tcMar>
              <w:top w:w="90" w:type="dxa"/>
              <w:start w:w="90" w:type="dxa"/>
              <w:bottom w:w="90" w:type="dxa"/>
              <w:end w:w="90" w:type="dxa"/>
            </w:tcMar>
          </w:tcPr>
          <w:p>
            <w:r>
              <w:rPr>
                <w:sz w:val="19"/>
              </w:rPr>
              <w:t>1–2 kategooriat</w:t>
            </w:r>
          </w:p>
        </w:tc>
      </w:tr>
      <w:tr>
        <w:trPr>
          <w:cantSplit/>
        </w:trPr>
        <w:tc>
          <w:tcPr>
            <w:tcW w:type="dxa" w:w="3402"/>
            <w:vAlign w:val="center"/>
            <w:tcMar>
              <w:top w:w="90" w:type="dxa"/>
              <w:start w:w="90" w:type="dxa"/>
              <w:bottom w:w="90" w:type="dxa"/>
              <w:end w:w="90" w:type="dxa"/>
            </w:tcMar>
          </w:tcPr>
          <w:p>
            <w:r>
              <w:rPr>
                <w:sz w:val="19"/>
              </w:rPr>
              <w:t>Esimene tugev kandidaat</w:t>
            </w:r>
          </w:p>
        </w:tc>
        <w:tc>
          <w:tcPr>
            <w:tcW w:type="dxa" w:w="5102"/>
            <w:vAlign w:val="center"/>
            <w:tcMar>
              <w:top w:w="90" w:type="dxa"/>
              <w:start w:w="90" w:type="dxa"/>
              <w:bottom w:w="90" w:type="dxa"/>
              <w:end w:w="90" w:type="dxa"/>
            </w:tcMar>
          </w:tcPr>
          <w:p>
            <w:r>
              <w:rPr>
                <w:sz w:val="19"/>
              </w:rPr>
              <w:t>lumetõrje</w:t>
            </w:r>
          </w:p>
        </w:tc>
      </w:tr>
      <w:tr>
        <w:trPr>
          <w:cantSplit/>
        </w:trPr>
        <w:tc>
          <w:tcPr>
            <w:tcW w:type="dxa" w:w="3402"/>
            <w:vAlign w:val="center"/>
            <w:tcMar>
              <w:top w:w="90" w:type="dxa"/>
              <w:start w:w="90" w:type="dxa"/>
              <w:bottom w:w="90" w:type="dxa"/>
              <w:end w:w="90" w:type="dxa"/>
            </w:tcMar>
          </w:tcPr>
          <w:p>
            <w:r>
              <w:rPr>
                <w:sz w:val="19"/>
              </w:rPr>
              <w:t>Kanal</w:t>
            </w:r>
          </w:p>
        </w:tc>
        <w:tc>
          <w:tcPr>
            <w:tcW w:type="dxa" w:w="5102"/>
            <w:vAlign w:val="center"/>
            <w:tcMar>
              <w:top w:w="90" w:type="dxa"/>
              <w:start w:w="90" w:type="dxa"/>
              <w:bottom w:w="90" w:type="dxa"/>
              <w:end w:w="90" w:type="dxa"/>
            </w:tcMar>
          </w:tcPr>
          <w:p>
            <w:r>
              <w:rPr>
                <w:sz w:val="19"/>
              </w:rPr>
              <w:t>naaberkutsete põhine concierge-marketplace</w:t>
            </w:r>
          </w:p>
        </w:tc>
      </w:tr>
      <w:tr>
        <w:trPr>
          <w:cantSplit/>
        </w:trPr>
        <w:tc>
          <w:tcPr>
            <w:tcW w:type="dxa" w:w="3402"/>
            <w:vAlign w:val="center"/>
            <w:tcMar>
              <w:top w:w="90" w:type="dxa"/>
              <w:start w:w="90" w:type="dxa"/>
              <w:bottom w:w="90" w:type="dxa"/>
              <w:end w:w="90" w:type="dxa"/>
            </w:tcMar>
          </w:tcPr>
          <w:p>
            <w:r>
              <w:rPr>
                <w:sz w:val="19"/>
              </w:rPr>
              <w:t>Maksmine</w:t>
            </w:r>
          </w:p>
        </w:tc>
        <w:tc>
          <w:tcPr>
            <w:tcW w:type="dxa" w:w="5102"/>
            <w:vAlign w:val="center"/>
            <w:tcMar>
              <w:top w:w="90" w:type="dxa"/>
              <w:start w:w="90" w:type="dxa"/>
              <w:bottom w:w="90" w:type="dxa"/>
              <w:end w:w="90" w:type="dxa"/>
            </w:tcMar>
          </w:tcPr>
          <w:p>
            <w:r>
              <w:rPr>
                <w:sz w:val="19"/>
              </w:rPr>
              <w:t>litsentseeritud PSP kaudu</w:t>
            </w:r>
          </w:p>
        </w:tc>
      </w:tr>
    </w:tbl>
    <w:p/>
    <w:p>
      <w:pPr>
        <w:pStyle w:val="Heading2"/>
      </w:pPr>
      <w:r>
        <w:t>11.2 MVP funktsioonid</w:t>
      </w:r>
    </w:p>
    <w:p>
      <w:pPr>
        <w:ind w:left="312" w:hanging="312"/>
      </w:pPr>
      <w:r>
        <w:t>1.</w:t>
        <w:tab/>
        <w:t>KÜ/ettevõtte autentimine</w:t>
      </w:r>
    </w:p>
    <w:p>
      <w:pPr>
        <w:ind w:left="312" w:hanging="312"/>
      </w:pPr>
      <w:r>
        <w:t>2.</w:t>
        <w:tab/>
        <w:t>Aadress ja kaardipositsioon</w:t>
      </w:r>
    </w:p>
    <w:p>
      <w:pPr>
        <w:ind w:left="312" w:hanging="312"/>
      </w:pPr>
      <w:r>
        <w:t>3.</w:t>
        <w:tab/>
        <w:t>Teenusevajaduse loomine</w:t>
      </w:r>
    </w:p>
    <w:p>
      <w:pPr>
        <w:ind w:left="312" w:hanging="312"/>
      </w:pPr>
      <w:r>
        <w:t>4.</w:t>
        <w:tab/>
        <w:t>Lähedaste KÜ-de automaatne leidmine</w:t>
      </w:r>
    </w:p>
    <w:p>
      <w:pPr>
        <w:ind w:left="312" w:hanging="312"/>
      </w:pPr>
      <w:r>
        <w:t>5.</w:t>
        <w:tab/>
        <w:t>E-posti kutsed</w:t>
      </w:r>
    </w:p>
    <w:p>
      <w:pPr>
        <w:ind w:left="312" w:hanging="312"/>
      </w:pPr>
      <w:r>
        <w:t>6.</w:t>
        <w:tab/>
        <w:t>Teenusepakkujate kutsumine</w:t>
      </w:r>
    </w:p>
    <w:p>
      <w:pPr>
        <w:ind w:left="312" w:hanging="312"/>
      </w:pPr>
      <w:r>
        <w:t>7.</w:t>
        <w:tab/>
        <w:t>Astmeline grupipakkumine</w:t>
      </w:r>
    </w:p>
    <w:p>
      <w:pPr>
        <w:ind w:left="312" w:hanging="312"/>
      </w:pPr>
      <w:r>
        <w:t>8.</w:t>
        <w:tab/>
        <w:t>Pakkumise aktsepteerimine</w:t>
      </w:r>
    </w:p>
    <w:p>
      <w:pPr>
        <w:ind w:left="312" w:hanging="312"/>
      </w:pPr>
      <w:r>
        <w:t>9.</w:t>
        <w:tab/>
        <w:t>Käsiraha/commitment PSP kaudu</w:t>
      </w:r>
    </w:p>
    <w:p>
      <w:pPr>
        <w:ind w:left="312" w:hanging="312"/>
      </w:pPr>
      <w:r>
        <w:t>10.</w:t>
        <w:tab/>
        <w:t>Lävendiloogika</w:t>
      </w:r>
    </w:p>
    <w:p>
      <w:pPr>
        <w:ind w:left="312" w:hanging="312"/>
      </w:pPr>
      <w:r>
        <w:t>11.</w:t>
        <w:tab/>
        <w:t>Automaatne refund või jõustumine</w:t>
      </w:r>
    </w:p>
    <w:p>
      <w:pPr>
        <w:ind w:left="312" w:hanging="312"/>
      </w:pPr>
      <w:r>
        <w:t>12.</w:t>
        <w:tab/>
        <w:t>Lepingu põhiandmed</w:t>
      </w:r>
    </w:p>
    <w:p>
      <w:pPr>
        <w:ind w:left="312" w:hanging="312"/>
      </w:pPr>
      <w:r>
        <w:t>13.</w:t>
        <w:tab/>
        <w:t>Töö lõpp / hinnang</w:t>
      </w:r>
    </w:p>
    <w:p>
      <w:pPr>
        <w:ind w:left="312" w:hanging="312"/>
      </w:pPr>
      <w:r>
        <w:t>14.</w:t>
        <w:tab/>
        <w:t>Administraatori vaade</w:t>
      </w:r>
    </w:p>
    <w:p>
      <w:pPr>
        <w:pStyle w:val="Heading2"/>
      </w:pPr>
      <w:r>
        <w:t>11.3 Mida MVP-s mitte ehitada</w:t>
      </w:r>
    </w:p>
    <w:p>
      <w:pPr>
        <w:pStyle w:val="ListBullet"/>
      </w:pPr>
      <w:r>
        <w:t>korteriühistu raamatupidamist</w:t>
      </w:r>
    </w:p>
    <w:p>
      <w:pPr>
        <w:pStyle w:val="ListBullet"/>
      </w:pPr>
      <w:r>
        <w:t>täismahulist arveldusmoodulit</w:t>
      </w:r>
    </w:p>
    <w:p>
      <w:pPr>
        <w:pStyle w:val="ListBullet"/>
      </w:pPr>
      <w:r>
        <w:t>kinnisvarahaldust</w:t>
      </w:r>
    </w:p>
    <w:p>
      <w:pPr>
        <w:pStyle w:val="ListBullet"/>
      </w:pPr>
      <w:r>
        <w:t>avaliku sektori riigihanke funktsioone</w:t>
      </w:r>
    </w:p>
    <w:p>
      <w:pPr>
        <w:pStyle w:val="ListBullet"/>
      </w:pPr>
      <w:r>
        <w:t>kogu Eesti teenusekataloogi</w:t>
      </w:r>
    </w:p>
    <w:p>
      <w:pPr>
        <w:pStyle w:val="ListBullet"/>
      </w:pPr>
      <w:r>
        <w:t>AI-pakkumiste koostamist</w:t>
      </w:r>
    </w:p>
    <w:p>
      <w:pPr>
        <w:pStyle w:val="ListBullet"/>
      </w:pPr>
      <w:r>
        <w:t>väga keerukat lepingugeneraatorit</w:t>
      </w:r>
    </w:p>
    <w:p>
      <w:pPr>
        <w:pStyle w:val="ListBullet"/>
      </w:pPr>
      <w:r>
        <w:t>oma escrow-süsteemi</w:t>
      </w:r>
    </w:p>
    <w:p>
      <w:pPr>
        <w:pStyle w:val="ListBullet"/>
      </w:pPr>
      <w:r>
        <w:t>mobiiliäppi</w:t>
      </w:r>
    </w:p>
    <w:p>
      <w:pPr>
        <w:pStyle w:val="Heading2"/>
      </w:pPr>
      <w:r>
        <w:t>11.4 Cold-start ja concierge käivitamine</w:t>
      </w:r>
    </w:p>
    <w:p>
      <w:r>
        <w:t>Suurim äririsk ei ole tehnoloogia, vaid likviidsus. Kui esimene KÜ loob hanke ja ükski naaber ei liitu või ükski pakkuja ei vasta, kaob usaldus kiiresti. Seetõttu peab launch olema käsitsi toetatud concierge-marketplace:</w:t>
      </w:r>
    </w:p>
    <w:p>
      <w:pPr>
        <w:pStyle w:val="ListBullet"/>
      </w:pPr>
      <w:r>
        <w:t>10–20 teenusepakkujat käsitsi pardale</w:t>
      </w:r>
    </w:p>
    <w:p>
      <w:pPr>
        <w:pStyle w:val="ListBullet"/>
      </w:pPr>
      <w:r>
        <w:t>nende teeninduspiirkonnad ja hinnaloogika ette teada</w:t>
      </w:r>
    </w:p>
    <w:p>
      <w:pPr>
        <w:pStyle w:val="ListBullet"/>
      </w:pPr>
      <w:r>
        <w:t>30–50 konkreetset KÜ-d ühes piirkonnas</w:t>
      </w:r>
    </w:p>
    <w:p>
      <w:pPr>
        <w:pStyle w:val="ListBullet"/>
      </w:pPr>
      <w:r>
        <w:t>3–5 reaalset ühishanget käsitsi käima</w:t>
      </w:r>
    </w:p>
    <w:p>
      <w:pPr>
        <w:pStyle w:val="ListBullet"/>
      </w:pPr>
      <w:r>
        <w:t>automatiseerida ainult need sammud, mida piloodis päriselt vaja läheb</w:t>
      </w:r>
    </w:p>
    <w:p>
      <w:pPr>
        <w:pStyle w:val="Heading2"/>
      </w:pPr>
      <w:r>
        <w:t>11.5 Go-to-market sõnum</w:t>
      </w:r>
    </w:p>
    <w:p>
      <w:r>
        <w:t>Kõige tugevam kanal ei pruugi olla Google Ads. Tõhusam on reaalse kohaliku hanke põhine kutse: “Teie naabruses aadressil X on avatud lumetõrje ühishange. Hetkel osaleb 3 kinnistut. 5 kinnistu korral langeb hind 10%. Teie maja jääb teenindusklastrisse.”</w:t>
      </w:r>
    </w:p>
    <w:p>
      <w:r>
        <w:t>See on märksa tugevam kui abstraktne “liitu uue KÜ platvormiga”, sest kutse on seotud konkreetse tehinguga kasutaja kõrvalmajas.</w:t>
      </w:r>
    </w:p>
    <w:p>
      <w:pPr>
        <w:pStyle w:val="Heading2"/>
      </w:pPr>
      <w:r>
        <w:t>11.6 Teenusepakkuja onboarding</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969"/>
            <w:shd w:fill="F7931E"/>
            <w:vAlign w:val="center"/>
            <w:tcMar>
              <w:top w:w="90" w:type="dxa"/>
              <w:start w:w="90" w:type="dxa"/>
              <w:bottom w:w="90" w:type="dxa"/>
              <w:end w:w="90" w:type="dxa"/>
            </w:tcMar>
          </w:tcPr>
          <w:p>
            <w:r>
              <w:rPr>
                <w:b/>
                <w:color w:val="FFFFFF"/>
                <w:sz w:val="19"/>
              </w:rPr>
              <w:t>Väli</w:t>
            </w:r>
          </w:p>
        </w:tc>
        <w:tc>
          <w:tcPr>
            <w:tcW w:type="dxa" w:w="4535"/>
            <w:shd w:fill="F7931E"/>
            <w:vAlign w:val="center"/>
            <w:tcMar>
              <w:top w:w="90" w:type="dxa"/>
              <w:start w:w="90" w:type="dxa"/>
              <w:bottom w:w="90" w:type="dxa"/>
              <w:end w:w="90" w:type="dxa"/>
            </w:tcMar>
          </w:tcPr>
          <w:p>
            <w:r>
              <w:rPr>
                <w:b/>
                <w:color w:val="FFFFFF"/>
                <w:sz w:val="19"/>
              </w:rPr>
              <w:t>Näide</w:t>
            </w:r>
          </w:p>
        </w:tc>
      </w:tr>
      <w:tr>
        <w:trPr>
          <w:cantSplit/>
        </w:trPr>
        <w:tc>
          <w:tcPr>
            <w:tcW w:type="dxa" w:w="3969"/>
            <w:vAlign w:val="center"/>
            <w:tcMar>
              <w:top w:w="90" w:type="dxa"/>
              <w:start w:w="90" w:type="dxa"/>
              <w:bottom w:w="90" w:type="dxa"/>
              <w:end w:w="90" w:type="dxa"/>
            </w:tcMar>
          </w:tcPr>
          <w:p>
            <w:r>
              <w:rPr>
                <w:sz w:val="19"/>
              </w:rPr>
              <w:t>Teenus</w:t>
            </w:r>
          </w:p>
        </w:tc>
        <w:tc>
          <w:tcPr>
            <w:tcW w:type="dxa" w:w="4535"/>
            <w:vAlign w:val="center"/>
            <w:tcMar>
              <w:top w:w="90" w:type="dxa"/>
              <w:start w:w="90" w:type="dxa"/>
              <w:bottom w:w="90" w:type="dxa"/>
              <w:end w:w="90" w:type="dxa"/>
            </w:tcMar>
          </w:tcPr>
          <w:p>
            <w:r>
              <w:rPr>
                <w:sz w:val="19"/>
              </w:rPr>
              <w:t>lumetõrje</w:t>
            </w:r>
          </w:p>
        </w:tc>
      </w:tr>
      <w:tr>
        <w:trPr>
          <w:cantSplit/>
        </w:trPr>
        <w:tc>
          <w:tcPr>
            <w:tcW w:type="dxa" w:w="3969"/>
            <w:vAlign w:val="center"/>
            <w:tcMar>
              <w:top w:w="90" w:type="dxa"/>
              <w:start w:w="90" w:type="dxa"/>
              <w:bottom w:w="90" w:type="dxa"/>
              <w:end w:w="90" w:type="dxa"/>
            </w:tcMar>
          </w:tcPr>
          <w:p>
            <w:r>
              <w:rPr>
                <w:sz w:val="19"/>
              </w:rPr>
              <w:t>Teeninduspiirkond</w:t>
            </w:r>
          </w:p>
        </w:tc>
        <w:tc>
          <w:tcPr>
            <w:tcW w:type="dxa" w:w="4535"/>
            <w:vAlign w:val="center"/>
            <w:tcMar>
              <w:top w:w="90" w:type="dxa"/>
              <w:start w:w="90" w:type="dxa"/>
              <w:bottom w:w="90" w:type="dxa"/>
              <w:end w:w="90" w:type="dxa"/>
            </w:tcMar>
          </w:tcPr>
          <w:p>
            <w:r>
              <w:rPr>
                <w:sz w:val="19"/>
              </w:rPr>
              <w:t>Mustamäe + 5 km</w:t>
            </w:r>
          </w:p>
        </w:tc>
      </w:tr>
      <w:tr>
        <w:trPr>
          <w:cantSplit/>
        </w:trPr>
        <w:tc>
          <w:tcPr>
            <w:tcW w:type="dxa" w:w="3969"/>
            <w:vAlign w:val="center"/>
            <w:tcMar>
              <w:top w:w="90" w:type="dxa"/>
              <w:start w:w="90" w:type="dxa"/>
              <w:bottom w:w="90" w:type="dxa"/>
              <w:end w:w="90" w:type="dxa"/>
            </w:tcMar>
          </w:tcPr>
          <w:p>
            <w:r>
              <w:rPr>
                <w:sz w:val="19"/>
              </w:rPr>
              <w:t>Minimaalne klaster</w:t>
            </w:r>
          </w:p>
        </w:tc>
        <w:tc>
          <w:tcPr>
            <w:tcW w:type="dxa" w:w="4535"/>
            <w:vAlign w:val="center"/>
            <w:tcMar>
              <w:top w:w="90" w:type="dxa"/>
              <w:start w:w="90" w:type="dxa"/>
              <w:bottom w:w="90" w:type="dxa"/>
              <w:end w:w="90" w:type="dxa"/>
            </w:tcMar>
          </w:tcPr>
          <w:p>
            <w:r>
              <w:rPr>
                <w:sz w:val="19"/>
              </w:rPr>
              <w:t>3</w:t>
            </w:r>
          </w:p>
        </w:tc>
      </w:tr>
      <w:tr>
        <w:trPr>
          <w:cantSplit/>
        </w:trPr>
        <w:tc>
          <w:tcPr>
            <w:tcW w:type="dxa" w:w="3969"/>
            <w:vAlign w:val="center"/>
            <w:tcMar>
              <w:top w:w="90" w:type="dxa"/>
              <w:start w:w="90" w:type="dxa"/>
              <w:bottom w:w="90" w:type="dxa"/>
              <w:end w:w="90" w:type="dxa"/>
            </w:tcMar>
          </w:tcPr>
          <w:p>
            <w:r>
              <w:rPr>
                <w:sz w:val="19"/>
              </w:rPr>
              <w:t>Maksimaalne klaster</w:t>
            </w:r>
          </w:p>
        </w:tc>
        <w:tc>
          <w:tcPr>
            <w:tcW w:type="dxa" w:w="4535"/>
            <w:vAlign w:val="center"/>
            <w:tcMar>
              <w:top w:w="90" w:type="dxa"/>
              <w:start w:w="90" w:type="dxa"/>
              <w:bottom w:w="90" w:type="dxa"/>
              <w:end w:w="90" w:type="dxa"/>
            </w:tcMar>
          </w:tcPr>
          <w:p>
            <w:r>
              <w:rPr>
                <w:sz w:val="19"/>
              </w:rPr>
              <w:t>20</w:t>
            </w:r>
          </w:p>
        </w:tc>
      </w:tr>
      <w:tr>
        <w:trPr>
          <w:cantSplit/>
        </w:trPr>
        <w:tc>
          <w:tcPr>
            <w:tcW w:type="dxa" w:w="3969"/>
            <w:vAlign w:val="center"/>
            <w:tcMar>
              <w:top w:w="90" w:type="dxa"/>
              <w:start w:w="90" w:type="dxa"/>
              <w:bottom w:w="90" w:type="dxa"/>
              <w:end w:w="90" w:type="dxa"/>
            </w:tcMar>
          </w:tcPr>
          <w:p>
            <w:r>
              <w:rPr>
                <w:sz w:val="19"/>
              </w:rPr>
              <w:t>Hind 1 objekt</w:t>
            </w:r>
          </w:p>
        </w:tc>
        <w:tc>
          <w:tcPr>
            <w:tcW w:type="dxa" w:w="4535"/>
            <w:vAlign w:val="center"/>
            <w:tcMar>
              <w:top w:w="90" w:type="dxa"/>
              <w:start w:w="90" w:type="dxa"/>
              <w:bottom w:w="90" w:type="dxa"/>
              <w:end w:w="90" w:type="dxa"/>
            </w:tcMar>
          </w:tcPr>
          <w:p>
            <w:r>
              <w:rPr>
                <w:sz w:val="19"/>
              </w:rPr>
              <w:t>2 000 €</w:t>
            </w:r>
          </w:p>
        </w:tc>
      </w:tr>
      <w:tr>
        <w:trPr>
          <w:cantSplit/>
        </w:trPr>
        <w:tc>
          <w:tcPr>
            <w:tcW w:type="dxa" w:w="3969"/>
            <w:vAlign w:val="center"/>
            <w:tcMar>
              <w:top w:w="90" w:type="dxa"/>
              <w:start w:w="90" w:type="dxa"/>
              <w:bottom w:w="90" w:type="dxa"/>
              <w:end w:w="90" w:type="dxa"/>
            </w:tcMar>
          </w:tcPr>
          <w:p>
            <w:r>
              <w:rPr>
                <w:sz w:val="19"/>
              </w:rPr>
              <w:t>3+</w:t>
            </w:r>
          </w:p>
        </w:tc>
        <w:tc>
          <w:tcPr>
            <w:tcW w:type="dxa" w:w="4535"/>
            <w:vAlign w:val="center"/>
            <w:tcMar>
              <w:top w:w="90" w:type="dxa"/>
              <w:start w:w="90" w:type="dxa"/>
              <w:bottom w:w="90" w:type="dxa"/>
              <w:end w:w="90" w:type="dxa"/>
            </w:tcMar>
          </w:tcPr>
          <w:p>
            <w:r>
              <w:rPr>
                <w:sz w:val="19"/>
              </w:rPr>
              <w:t>–5%</w:t>
            </w:r>
          </w:p>
        </w:tc>
      </w:tr>
      <w:tr>
        <w:trPr>
          <w:cantSplit/>
        </w:trPr>
        <w:tc>
          <w:tcPr>
            <w:tcW w:type="dxa" w:w="3969"/>
            <w:vAlign w:val="center"/>
            <w:tcMar>
              <w:top w:w="90" w:type="dxa"/>
              <w:start w:w="90" w:type="dxa"/>
              <w:bottom w:w="90" w:type="dxa"/>
              <w:end w:w="90" w:type="dxa"/>
            </w:tcMar>
          </w:tcPr>
          <w:p>
            <w:r>
              <w:rPr>
                <w:sz w:val="19"/>
              </w:rPr>
              <w:t>5+</w:t>
            </w:r>
          </w:p>
        </w:tc>
        <w:tc>
          <w:tcPr>
            <w:tcW w:type="dxa" w:w="4535"/>
            <w:vAlign w:val="center"/>
            <w:tcMar>
              <w:top w:w="90" w:type="dxa"/>
              <w:start w:w="90" w:type="dxa"/>
              <w:bottom w:w="90" w:type="dxa"/>
              <w:end w:w="90" w:type="dxa"/>
            </w:tcMar>
          </w:tcPr>
          <w:p>
            <w:r>
              <w:rPr>
                <w:sz w:val="19"/>
              </w:rPr>
              <w:t>–10%</w:t>
            </w:r>
          </w:p>
        </w:tc>
      </w:tr>
      <w:tr>
        <w:trPr>
          <w:cantSplit/>
        </w:trPr>
        <w:tc>
          <w:tcPr>
            <w:tcW w:type="dxa" w:w="3969"/>
            <w:vAlign w:val="center"/>
            <w:tcMar>
              <w:top w:w="90" w:type="dxa"/>
              <w:start w:w="90" w:type="dxa"/>
              <w:bottom w:w="90" w:type="dxa"/>
              <w:end w:w="90" w:type="dxa"/>
            </w:tcMar>
          </w:tcPr>
          <w:p>
            <w:r>
              <w:rPr>
                <w:sz w:val="19"/>
              </w:rPr>
              <w:t>8+</w:t>
            </w:r>
          </w:p>
        </w:tc>
        <w:tc>
          <w:tcPr>
            <w:tcW w:type="dxa" w:w="4535"/>
            <w:vAlign w:val="center"/>
            <w:tcMar>
              <w:top w:w="90" w:type="dxa"/>
              <w:start w:w="90" w:type="dxa"/>
              <w:bottom w:w="90" w:type="dxa"/>
              <w:end w:w="90" w:type="dxa"/>
            </w:tcMar>
          </w:tcPr>
          <w:p>
            <w:r>
              <w:rPr>
                <w:sz w:val="19"/>
              </w:rPr>
              <w:t>–15%</w:t>
            </w:r>
          </w:p>
        </w:tc>
      </w:tr>
      <w:tr>
        <w:trPr>
          <w:cantSplit/>
        </w:trPr>
        <w:tc>
          <w:tcPr>
            <w:tcW w:type="dxa" w:w="3969"/>
            <w:vAlign w:val="center"/>
            <w:tcMar>
              <w:top w:w="90" w:type="dxa"/>
              <w:start w:w="90" w:type="dxa"/>
              <w:bottom w:w="90" w:type="dxa"/>
              <w:end w:w="90" w:type="dxa"/>
            </w:tcMar>
          </w:tcPr>
          <w:p>
            <w:r>
              <w:rPr>
                <w:sz w:val="19"/>
              </w:rPr>
              <w:t>Pakkumise kehtivus</w:t>
            </w:r>
          </w:p>
        </w:tc>
        <w:tc>
          <w:tcPr>
            <w:tcW w:type="dxa" w:w="4535"/>
            <w:vAlign w:val="center"/>
            <w:tcMar>
              <w:top w:w="90" w:type="dxa"/>
              <w:start w:w="90" w:type="dxa"/>
              <w:bottom w:w="90" w:type="dxa"/>
              <w:end w:w="90" w:type="dxa"/>
            </w:tcMar>
          </w:tcPr>
          <w:p>
            <w:r>
              <w:rPr>
                <w:sz w:val="19"/>
              </w:rPr>
              <w:t>14 päeva</w:t>
            </w:r>
          </w:p>
        </w:tc>
      </w:tr>
      <w:tr>
        <w:trPr>
          <w:cantSplit/>
        </w:trPr>
        <w:tc>
          <w:tcPr>
            <w:tcW w:type="dxa" w:w="3969"/>
            <w:vAlign w:val="center"/>
            <w:tcMar>
              <w:top w:w="90" w:type="dxa"/>
              <w:start w:w="90" w:type="dxa"/>
              <w:bottom w:w="90" w:type="dxa"/>
              <w:end w:w="90" w:type="dxa"/>
            </w:tcMar>
          </w:tcPr>
          <w:p>
            <w:r>
              <w:rPr>
                <w:sz w:val="19"/>
              </w:rPr>
              <w:t>SLA</w:t>
            </w:r>
          </w:p>
        </w:tc>
        <w:tc>
          <w:tcPr>
            <w:tcW w:type="dxa" w:w="4535"/>
            <w:vAlign w:val="center"/>
            <w:tcMar>
              <w:top w:w="90" w:type="dxa"/>
              <w:start w:w="90" w:type="dxa"/>
              <w:bottom w:w="90" w:type="dxa"/>
              <w:end w:w="90" w:type="dxa"/>
            </w:tcMar>
          </w:tcPr>
          <w:p>
            <w:r>
              <w:rPr>
                <w:sz w:val="19"/>
              </w:rPr>
              <w:t>lumi eemaldatud 6 h jooksul</w:t>
            </w:r>
          </w:p>
        </w:tc>
      </w:tr>
      <w:tr>
        <w:trPr>
          <w:cantSplit/>
        </w:trPr>
        <w:tc>
          <w:tcPr>
            <w:tcW w:type="dxa" w:w="3969"/>
            <w:vAlign w:val="center"/>
            <w:tcMar>
              <w:top w:w="90" w:type="dxa"/>
              <w:start w:w="90" w:type="dxa"/>
              <w:bottom w:w="90" w:type="dxa"/>
              <w:end w:w="90" w:type="dxa"/>
            </w:tcMar>
          </w:tcPr>
          <w:p>
            <w:r>
              <w:rPr>
                <w:sz w:val="19"/>
              </w:rPr>
              <w:t>KM staatus</w:t>
            </w:r>
          </w:p>
        </w:tc>
        <w:tc>
          <w:tcPr>
            <w:tcW w:type="dxa" w:w="4535"/>
            <w:vAlign w:val="center"/>
            <w:tcMar>
              <w:top w:w="90" w:type="dxa"/>
              <w:start w:w="90" w:type="dxa"/>
              <w:bottom w:w="90" w:type="dxa"/>
              <w:end w:w="90" w:type="dxa"/>
            </w:tcMar>
          </w:tcPr>
          <w:p>
            <w:r>
              <w:rPr>
                <w:sz w:val="19"/>
              </w:rPr>
              <w:t>KMKR / mitte-KMKR</w:t>
            </w:r>
          </w:p>
        </w:tc>
      </w:tr>
      <w:tr>
        <w:trPr>
          <w:cantSplit/>
        </w:trPr>
        <w:tc>
          <w:tcPr>
            <w:tcW w:type="dxa" w:w="3969"/>
            <w:vAlign w:val="center"/>
            <w:tcMar>
              <w:top w:w="90" w:type="dxa"/>
              <w:start w:w="90" w:type="dxa"/>
              <w:bottom w:w="90" w:type="dxa"/>
              <w:end w:w="90" w:type="dxa"/>
            </w:tcMar>
          </w:tcPr>
          <w:p>
            <w:r>
              <w:rPr>
                <w:sz w:val="19"/>
              </w:rPr>
              <w:t>Vastutuskindlustus</w:t>
            </w:r>
          </w:p>
        </w:tc>
        <w:tc>
          <w:tcPr>
            <w:tcW w:type="dxa" w:w="4535"/>
            <w:vAlign w:val="center"/>
            <w:tcMar>
              <w:top w:w="90" w:type="dxa"/>
              <w:start w:w="90" w:type="dxa"/>
              <w:bottom w:w="90" w:type="dxa"/>
              <w:end w:w="90" w:type="dxa"/>
            </w:tcMar>
          </w:tcPr>
          <w:p>
            <w:r>
              <w:rPr>
                <w:sz w:val="19"/>
              </w:rPr>
              <w:t>jah/ei</w:t>
            </w:r>
          </w:p>
        </w:tc>
      </w:tr>
      <w:tr>
        <w:trPr>
          <w:cantSplit/>
        </w:trPr>
        <w:tc>
          <w:tcPr>
            <w:tcW w:type="dxa" w:w="3969"/>
            <w:vAlign w:val="center"/>
            <w:tcMar>
              <w:top w:w="90" w:type="dxa"/>
              <w:start w:w="90" w:type="dxa"/>
              <w:bottom w:w="90" w:type="dxa"/>
              <w:end w:w="90" w:type="dxa"/>
            </w:tcMar>
          </w:tcPr>
          <w:p>
            <w:r>
              <w:rPr>
                <w:sz w:val="19"/>
              </w:rPr>
              <w:t>Viited</w:t>
            </w:r>
          </w:p>
        </w:tc>
        <w:tc>
          <w:tcPr>
            <w:tcW w:type="dxa" w:w="4535"/>
            <w:vAlign w:val="center"/>
            <w:tcMar>
              <w:top w:w="90" w:type="dxa"/>
              <w:start w:w="90" w:type="dxa"/>
              <w:bottom w:w="90" w:type="dxa"/>
              <w:end w:w="90" w:type="dxa"/>
            </w:tcMar>
          </w:tcPr>
          <w:p>
            <w:r>
              <w:rPr>
                <w:sz w:val="19"/>
              </w:rPr>
              <w:t>—</w:t>
            </w:r>
          </w:p>
        </w:tc>
      </w:tr>
    </w:tbl>
    <w:p/>
    <w:p>
      <w:pPr>
        <w:pStyle w:val="Heading1"/>
      </w:pPr>
      <w:r>
        <w:t>12. KPI-d ja riskid</w:t>
      </w:r>
    </w:p>
    <w:p>
      <w:pPr>
        <w:pStyle w:val="Heading2"/>
      </w:pPr>
      <w:r>
        <w:t>12.1 KPI-d</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969"/>
            <w:shd w:fill="F7931E"/>
            <w:vAlign w:val="center"/>
            <w:tcMar>
              <w:top w:w="90" w:type="dxa"/>
              <w:start w:w="90" w:type="dxa"/>
              <w:bottom w:w="90" w:type="dxa"/>
              <w:end w:w="90" w:type="dxa"/>
            </w:tcMar>
          </w:tcPr>
          <w:p>
            <w:r>
              <w:rPr>
                <w:b/>
                <w:color w:val="FFFFFF"/>
                <w:sz w:val="19"/>
              </w:rPr>
              <w:t>KPI</w:t>
            </w:r>
          </w:p>
        </w:tc>
        <w:tc>
          <w:tcPr>
            <w:tcW w:type="dxa" w:w="4535"/>
            <w:shd w:fill="F7931E"/>
            <w:vAlign w:val="center"/>
            <w:tcMar>
              <w:top w:w="90" w:type="dxa"/>
              <w:start w:w="90" w:type="dxa"/>
              <w:bottom w:w="90" w:type="dxa"/>
              <w:end w:w="90" w:type="dxa"/>
            </w:tcMar>
          </w:tcPr>
          <w:p>
            <w:r>
              <w:rPr>
                <w:b/>
                <w:color w:val="FFFFFF"/>
                <w:sz w:val="19"/>
              </w:rPr>
              <w:t>Mida see näitab</w:t>
            </w:r>
          </w:p>
        </w:tc>
      </w:tr>
      <w:tr>
        <w:trPr>
          <w:cantSplit/>
        </w:trPr>
        <w:tc>
          <w:tcPr>
            <w:tcW w:type="dxa" w:w="3969"/>
            <w:vAlign w:val="center"/>
            <w:tcMar>
              <w:top w:w="90" w:type="dxa"/>
              <w:start w:w="90" w:type="dxa"/>
              <w:bottom w:w="90" w:type="dxa"/>
              <w:end w:w="90" w:type="dxa"/>
            </w:tcMar>
          </w:tcPr>
          <w:p>
            <w:r>
              <w:rPr>
                <w:sz w:val="19"/>
              </w:rPr>
              <w:t>Hanke → vähemalt 1 pakkumine</w:t>
            </w:r>
          </w:p>
        </w:tc>
        <w:tc>
          <w:tcPr>
            <w:tcW w:type="dxa" w:w="4535"/>
            <w:vAlign w:val="center"/>
            <w:tcMar>
              <w:top w:w="90" w:type="dxa"/>
              <w:start w:w="90" w:type="dxa"/>
              <w:bottom w:w="90" w:type="dxa"/>
              <w:end w:w="90" w:type="dxa"/>
            </w:tcMar>
          </w:tcPr>
          <w:p>
            <w:r>
              <w:rPr>
                <w:sz w:val="19"/>
              </w:rPr>
              <w:t>supply liquidity</w:t>
            </w:r>
          </w:p>
        </w:tc>
      </w:tr>
      <w:tr>
        <w:trPr>
          <w:cantSplit/>
        </w:trPr>
        <w:tc>
          <w:tcPr>
            <w:tcW w:type="dxa" w:w="3969"/>
            <w:vAlign w:val="center"/>
            <w:tcMar>
              <w:top w:w="90" w:type="dxa"/>
              <w:start w:w="90" w:type="dxa"/>
              <w:bottom w:w="90" w:type="dxa"/>
              <w:end w:w="90" w:type="dxa"/>
            </w:tcMar>
          </w:tcPr>
          <w:p>
            <w:r>
              <w:rPr>
                <w:sz w:val="19"/>
              </w:rPr>
              <w:t>Hanke → vähemalt 2 pakkumist</w:t>
            </w:r>
          </w:p>
        </w:tc>
        <w:tc>
          <w:tcPr>
            <w:tcW w:type="dxa" w:w="4535"/>
            <w:vAlign w:val="center"/>
            <w:tcMar>
              <w:top w:w="90" w:type="dxa"/>
              <w:start w:w="90" w:type="dxa"/>
              <w:bottom w:w="90" w:type="dxa"/>
              <w:end w:w="90" w:type="dxa"/>
            </w:tcMar>
          </w:tcPr>
          <w:p>
            <w:r>
              <w:rPr>
                <w:sz w:val="19"/>
              </w:rPr>
              <w:t>tegelik konkurents</w:t>
            </w:r>
          </w:p>
        </w:tc>
      </w:tr>
      <w:tr>
        <w:trPr>
          <w:cantSplit/>
        </w:trPr>
        <w:tc>
          <w:tcPr>
            <w:tcW w:type="dxa" w:w="3969"/>
            <w:vAlign w:val="center"/>
            <w:tcMar>
              <w:top w:w="90" w:type="dxa"/>
              <w:start w:w="90" w:type="dxa"/>
              <w:bottom w:w="90" w:type="dxa"/>
              <w:end w:w="90" w:type="dxa"/>
            </w:tcMar>
          </w:tcPr>
          <w:p>
            <w:r>
              <w:rPr>
                <w:sz w:val="19"/>
              </w:rPr>
              <w:t>Kutse → hanke vaatamine</w:t>
            </w:r>
          </w:p>
        </w:tc>
        <w:tc>
          <w:tcPr>
            <w:tcW w:type="dxa" w:w="4535"/>
            <w:vAlign w:val="center"/>
            <w:tcMar>
              <w:top w:w="90" w:type="dxa"/>
              <w:start w:w="90" w:type="dxa"/>
              <w:bottom w:w="90" w:type="dxa"/>
              <w:end w:w="90" w:type="dxa"/>
            </w:tcMar>
          </w:tcPr>
          <w:p>
            <w:r>
              <w:rPr>
                <w:sz w:val="19"/>
              </w:rPr>
              <w:t>outreach kvaliteet</w:t>
            </w:r>
          </w:p>
        </w:tc>
      </w:tr>
      <w:tr>
        <w:trPr>
          <w:cantSplit/>
        </w:trPr>
        <w:tc>
          <w:tcPr>
            <w:tcW w:type="dxa" w:w="3969"/>
            <w:vAlign w:val="center"/>
            <w:tcMar>
              <w:top w:w="90" w:type="dxa"/>
              <w:start w:w="90" w:type="dxa"/>
              <w:bottom w:w="90" w:type="dxa"/>
              <w:end w:w="90" w:type="dxa"/>
            </w:tcMar>
          </w:tcPr>
          <w:p>
            <w:r>
              <w:rPr>
                <w:sz w:val="19"/>
              </w:rPr>
              <w:t>Vaatamine → liitumine</w:t>
            </w:r>
          </w:p>
        </w:tc>
        <w:tc>
          <w:tcPr>
            <w:tcW w:type="dxa" w:w="4535"/>
            <w:vAlign w:val="center"/>
            <w:tcMar>
              <w:top w:w="90" w:type="dxa"/>
              <w:start w:w="90" w:type="dxa"/>
              <w:bottom w:w="90" w:type="dxa"/>
              <w:end w:w="90" w:type="dxa"/>
            </w:tcMar>
          </w:tcPr>
          <w:p>
            <w:r>
              <w:rPr>
                <w:sz w:val="19"/>
              </w:rPr>
              <w:t>väärtuspakkumine</w:t>
            </w:r>
          </w:p>
        </w:tc>
      </w:tr>
      <w:tr>
        <w:trPr>
          <w:cantSplit/>
        </w:trPr>
        <w:tc>
          <w:tcPr>
            <w:tcW w:type="dxa" w:w="3969"/>
            <w:vAlign w:val="center"/>
            <w:tcMar>
              <w:top w:w="90" w:type="dxa"/>
              <w:start w:w="90" w:type="dxa"/>
              <w:bottom w:w="90" w:type="dxa"/>
              <w:end w:w="90" w:type="dxa"/>
            </w:tcMar>
          </w:tcPr>
          <w:p>
            <w:r>
              <w:rPr>
                <w:sz w:val="19"/>
              </w:rPr>
              <w:t>Keskmine KÜ-de arv grupis</w:t>
            </w:r>
          </w:p>
        </w:tc>
        <w:tc>
          <w:tcPr>
            <w:tcW w:type="dxa" w:w="4535"/>
            <w:vAlign w:val="center"/>
            <w:tcMar>
              <w:top w:w="90" w:type="dxa"/>
              <w:start w:w="90" w:type="dxa"/>
              <w:bottom w:w="90" w:type="dxa"/>
              <w:end w:w="90" w:type="dxa"/>
            </w:tcMar>
          </w:tcPr>
          <w:p>
            <w:r>
              <w:rPr>
                <w:sz w:val="19"/>
              </w:rPr>
              <w:t>agregatsiooni tugevus</w:t>
            </w:r>
          </w:p>
        </w:tc>
      </w:tr>
      <w:tr>
        <w:trPr>
          <w:cantSplit/>
        </w:trPr>
        <w:tc>
          <w:tcPr>
            <w:tcW w:type="dxa" w:w="3969"/>
            <w:vAlign w:val="center"/>
            <w:tcMar>
              <w:top w:w="90" w:type="dxa"/>
              <w:start w:w="90" w:type="dxa"/>
              <w:bottom w:w="90" w:type="dxa"/>
              <w:end w:w="90" w:type="dxa"/>
            </w:tcMar>
          </w:tcPr>
          <w:p>
            <w:r>
              <w:rPr>
                <w:sz w:val="19"/>
              </w:rPr>
              <w:t>Lävendini jõudnud hangete %</w:t>
            </w:r>
          </w:p>
        </w:tc>
        <w:tc>
          <w:tcPr>
            <w:tcW w:type="dxa" w:w="4535"/>
            <w:vAlign w:val="center"/>
            <w:tcMar>
              <w:top w:w="90" w:type="dxa"/>
              <w:start w:w="90" w:type="dxa"/>
              <w:bottom w:w="90" w:type="dxa"/>
              <w:end w:w="90" w:type="dxa"/>
            </w:tcMar>
          </w:tcPr>
          <w:p>
            <w:r>
              <w:rPr>
                <w:sz w:val="19"/>
              </w:rPr>
              <w:t>põhitoote edukus</w:t>
            </w:r>
          </w:p>
        </w:tc>
      </w:tr>
      <w:tr>
        <w:trPr>
          <w:cantSplit/>
        </w:trPr>
        <w:tc>
          <w:tcPr>
            <w:tcW w:type="dxa" w:w="3969"/>
            <w:vAlign w:val="center"/>
            <w:tcMar>
              <w:top w:w="90" w:type="dxa"/>
              <w:start w:w="90" w:type="dxa"/>
              <w:bottom w:w="90" w:type="dxa"/>
              <w:end w:w="90" w:type="dxa"/>
            </w:tcMar>
          </w:tcPr>
          <w:p>
            <w:r>
              <w:rPr>
                <w:sz w:val="19"/>
              </w:rPr>
              <w:t>Keskmine hinnalangus</w:t>
            </w:r>
          </w:p>
        </w:tc>
        <w:tc>
          <w:tcPr>
            <w:tcW w:type="dxa" w:w="4535"/>
            <w:vAlign w:val="center"/>
            <w:tcMar>
              <w:top w:w="90" w:type="dxa"/>
              <w:start w:w="90" w:type="dxa"/>
              <w:bottom w:w="90" w:type="dxa"/>
              <w:end w:w="90" w:type="dxa"/>
            </w:tcMar>
          </w:tcPr>
          <w:p>
            <w:r>
              <w:rPr>
                <w:sz w:val="19"/>
              </w:rPr>
              <w:t>ostjaväärtus</w:t>
            </w:r>
          </w:p>
        </w:tc>
      </w:tr>
      <w:tr>
        <w:trPr>
          <w:cantSplit/>
        </w:trPr>
        <w:tc>
          <w:tcPr>
            <w:tcW w:type="dxa" w:w="3969"/>
            <w:vAlign w:val="center"/>
            <w:tcMar>
              <w:top w:w="90" w:type="dxa"/>
              <w:start w:w="90" w:type="dxa"/>
              <w:bottom w:w="90" w:type="dxa"/>
              <w:end w:w="90" w:type="dxa"/>
            </w:tcMar>
          </w:tcPr>
          <w:p>
            <w:r>
              <w:rPr>
                <w:sz w:val="19"/>
              </w:rPr>
              <w:t>Kordusost</w:t>
            </w:r>
          </w:p>
        </w:tc>
        <w:tc>
          <w:tcPr>
            <w:tcW w:type="dxa" w:w="4535"/>
            <w:vAlign w:val="center"/>
            <w:tcMar>
              <w:top w:w="90" w:type="dxa"/>
              <w:start w:w="90" w:type="dxa"/>
              <w:bottom w:w="90" w:type="dxa"/>
              <w:end w:w="90" w:type="dxa"/>
            </w:tcMar>
          </w:tcPr>
          <w:p>
            <w:r>
              <w:rPr>
                <w:sz w:val="19"/>
              </w:rPr>
              <w:t>retention</w:t>
            </w:r>
          </w:p>
        </w:tc>
      </w:tr>
      <w:tr>
        <w:trPr>
          <w:cantSplit/>
        </w:trPr>
        <w:tc>
          <w:tcPr>
            <w:tcW w:type="dxa" w:w="3969"/>
            <w:vAlign w:val="center"/>
            <w:tcMar>
              <w:top w:w="90" w:type="dxa"/>
              <w:start w:w="90" w:type="dxa"/>
              <w:bottom w:w="90" w:type="dxa"/>
              <w:end w:w="90" w:type="dxa"/>
            </w:tcMar>
          </w:tcPr>
          <w:p>
            <w:r>
              <w:rPr>
                <w:sz w:val="19"/>
              </w:rPr>
              <w:t>Pakkuja korduspakkumine</w:t>
            </w:r>
          </w:p>
        </w:tc>
        <w:tc>
          <w:tcPr>
            <w:tcW w:type="dxa" w:w="4535"/>
            <w:vAlign w:val="center"/>
            <w:tcMar>
              <w:top w:w="90" w:type="dxa"/>
              <w:start w:w="90" w:type="dxa"/>
              <w:bottom w:w="90" w:type="dxa"/>
              <w:end w:w="90" w:type="dxa"/>
            </w:tcMar>
          </w:tcPr>
          <w:p>
            <w:r>
              <w:rPr>
                <w:sz w:val="19"/>
              </w:rPr>
              <w:t>supply retention</w:t>
            </w:r>
          </w:p>
        </w:tc>
      </w:tr>
      <w:tr>
        <w:trPr>
          <w:cantSplit/>
        </w:trPr>
        <w:tc>
          <w:tcPr>
            <w:tcW w:type="dxa" w:w="3969"/>
            <w:vAlign w:val="center"/>
            <w:tcMar>
              <w:top w:w="90" w:type="dxa"/>
              <w:start w:w="90" w:type="dxa"/>
              <w:bottom w:w="90" w:type="dxa"/>
              <w:end w:w="90" w:type="dxa"/>
            </w:tcMar>
          </w:tcPr>
          <w:p>
            <w:r>
              <w:rPr>
                <w:sz w:val="19"/>
              </w:rPr>
              <w:t>GMV</w:t>
            </w:r>
          </w:p>
        </w:tc>
        <w:tc>
          <w:tcPr>
            <w:tcW w:type="dxa" w:w="4535"/>
            <w:vAlign w:val="center"/>
            <w:tcMar>
              <w:top w:w="90" w:type="dxa"/>
              <w:start w:w="90" w:type="dxa"/>
              <w:bottom w:w="90" w:type="dxa"/>
              <w:end w:w="90" w:type="dxa"/>
            </w:tcMar>
          </w:tcPr>
          <w:p>
            <w:r>
              <w:rPr>
                <w:sz w:val="19"/>
              </w:rPr>
              <w:t>tehingumaht</w:t>
            </w:r>
          </w:p>
        </w:tc>
      </w:tr>
      <w:tr>
        <w:trPr>
          <w:cantSplit/>
        </w:trPr>
        <w:tc>
          <w:tcPr>
            <w:tcW w:type="dxa" w:w="3969"/>
            <w:vAlign w:val="center"/>
            <w:tcMar>
              <w:top w:w="90" w:type="dxa"/>
              <w:start w:w="90" w:type="dxa"/>
              <w:bottom w:w="90" w:type="dxa"/>
              <w:end w:w="90" w:type="dxa"/>
            </w:tcMar>
          </w:tcPr>
          <w:p>
            <w:r>
              <w:rPr>
                <w:sz w:val="19"/>
              </w:rPr>
              <w:t>Take rate</w:t>
            </w:r>
          </w:p>
        </w:tc>
        <w:tc>
          <w:tcPr>
            <w:tcW w:type="dxa" w:w="4535"/>
            <w:vAlign w:val="center"/>
            <w:tcMar>
              <w:top w:w="90" w:type="dxa"/>
              <w:start w:w="90" w:type="dxa"/>
              <w:bottom w:w="90" w:type="dxa"/>
              <w:end w:w="90" w:type="dxa"/>
            </w:tcMar>
          </w:tcPr>
          <w:p>
            <w:r>
              <w:rPr>
                <w:sz w:val="19"/>
              </w:rPr>
              <w:t>monetiseerimine</w:t>
            </w:r>
          </w:p>
        </w:tc>
      </w:tr>
      <w:tr>
        <w:trPr>
          <w:cantSplit/>
        </w:trPr>
        <w:tc>
          <w:tcPr>
            <w:tcW w:type="dxa" w:w="3969"/>
            <w:vAlign w:val="center"/>
            <w:tcMar>
              <w:top w:w="90" w:type="dxa"/>
              <w:start w:w="90" w:type="dxa"/>
              <w:bottom w:w="90" w:type="dxa"/>
              <w:end w:w="90" w:type="dxa"/>
            </w:tcMar>
          </w:tcPr>
          <w:p>
            <w:r>
              <w:rPr>
                <w:sz w:val="19"/>
              </w:rPr>
              <w:t>Tühistamiste %</w:t>
            </w:r>
          </w:p>
        </w:tc>
        <w:tc>
          <w:tcPr>
            <w:tcW w:type="dxa" w:w="4535"/>
            <w:vAlign w:val="center"/>
            <w:tcMar>
              <w:top w:w="90" w:type="dxa"/>
              <w:start w:w="90" w:type="dxa"/>
              <w:bottom w:w="90" w:type="dxa"/>
              <w:end w:w="90" w:type="dxa"/>
            </w:tcMar>
          </w:tcPr>
          <w:p>
            <w:r>
              <w:rPr>
                <w:sz w:val="19"/>
              </w:rPr>
              <w:t>commitment kvaliteet</w:t>
            </w:r>
          </w:p>
        </w:tc>
      </w:tr>
    </w:tbl>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North Star: edukalt realiseerunud ühishanke GMV. Operatiivne võtmemõõdik: edukate geograafiliste klastrite arv kuus.</w:t>
            </w:r>
          </w:p>
        </w:tc>
      </w:tr>
    </w:tbl>
    <w:p/>
    <w:p>
      <w:pPr>
        <w:pStyle w:val="Heading2"/>
      </w:pPr>
      <w:r>
        <w:t>12.2 Peamised riskid</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835"/>
            <w:shd w:fill="F7931E"/>
            <w:vAlign w:val="center"/>
            <w:tcMar>
              <w:top w:w="90" w:type="dxa"/>
              <w:start w:w="90" w:type="dxa"/>
              <w:bottom w:w="90" w:type="dxa"/>
              <w:end w:w="90" w:type="dxa"/>
            </w:tcMar>
          </w:tcPr>
          <w:p>
            <w:r>
              <w:rPr>
                <w:b/>
                <w:color w:val="FFFFFF"/>
                <w:sz w:val="19"/>
              </w:rPr>
              <w:t>Risk</w:t>
            </w:r>
          </w:p>
        </w:tc>
        <w:tc>
          <w:tcPr>
            <w:tcW w:type="dxa" w:w="2268"/>
            <w:shd w:fill="F7931E"/>
            <w:vAlign w:val="center"/>
            <w:tcMar>
              <w:top w:w="90" w:type="dxa"/>
              <w:start w:w="90" w:type="dxa"/>
              <w:bottom w:w="90" w:type="dxa"/>
              <w:end w:w="90" w:type="dxa"/>
            </w:tcMar>
          </w:tcPr>
          <w:p>
            <w:r>
              <w:rPr>
                <w:b/>
                <w:color w:val="FFFFFF"/>
                <w:sz w:val="19"/>
              </w:rPr>
              <w:t>Tõsidus</w:t>
            </w:r>
          </w:p>
        </w:tc>
        <w:tc>
          <w:tcPr>
            <w:tcW w:type="dxa" w:w="3969"/>
            <w:shd w:fill="F7931E"/>
            <w:vAlign w:val="center"/>
            <w:tcMar>
              <w:top w:w="90" w:type="dxa"/>
              <w:start w:w="90" w:type="dxa"/>
              <w:bottom w:w="90" w:type="dxa"/>
              <w:end w:w="90" w:type="dxa"/>
            </w:tcMar>
          </w:tcPr>
          <w:p>
            <w:r>
              <w:rPr>
                <w:b/>
                <w:color w:val="FFFFFF"/>
                <w:sz w:val="19"/>
              </w:rPr>
              <w:t>Leevendus</w:t>
            </w:r>
          </w:p>
        </w:tc>
      </w:tr>
      <w:tr>
        <w:trPr>
          <w:cantSplit/>
        </w:trPr>
        <w:tc>
          <w:tcPr>
            <w:tcW w:type="dxa" w:w="2835"/>
            <w:vAlign w:val="center"/>
            <w:tcMar>
              <w:top w:w="90" w:type="dxa"/>
              <w:start w:w="90" w:type="dxa"/>
              <w:bottom w:w="90" w:type="dxa"/>
              <w:end w:w="90" w:type="dxa"/>
            </w:tcMar>
          </w:tcPr>
          <w:p>
            <w:r>
              <w:rPr>
                <w:sz w:val="19"/>
              </w:rPr>
              <w:t>KÜ-d ei liitu</w:t>
            </w:r>
          </w:p>
        </w:tc>
        <w:tc>
          <w:tcPr>
            <w:tcW w:type="dxa" w:w="2268"/>
            <w:vAlign w:val="center"/>
            <w:tcMar>
              <w:top w:w="90" w:type="dxa"/>
              <w:start w:w="90" w:type="dxa"/>
              <w:bottom w:w="90" w:type="dxa"/>
              <w:end w:w="90" w:type="dxa"/>
            </w:tcMar>
          </w:tcPr>
          <w:p>
            <w:r>
              <w:rPr>
                <w:sz w:val="19"/>
              </w:rPr>
              <w:t>Väga kõrge</w:t>
            </w:r>
          </w:p>
        </w:tc>
        <w:tc>
          <w:tcPr>
            <w:tcW w:type="dxa" w:w="3969"/>
            <w:vAlign w:val="center"/>
            <w:tcMar>
              <w:top w:w="90" w:type="dxa"/>
              <w:start w:w="90" w:type="dxa"/>
              <w:bottom w:w="90" w:type="dxa"/>
              <w:end w:w="90" w:type="dxa"/>
            </w:tcMar>
          </w:tcPr>
          <w:p>
            <w:r>
              <w:rPr>
                <w:sz w:val="19"/>
              </w:rPr>
              <w:t>kitsas geograafia, anchor-KÜ</w:t>
            </w:r>
          </w:p>
        </w:tc>
      </w:tr>
      <w:tr>
        <w:trPr>
          <w:cantSplit/>
        </w:trPr>
        <w:tc>
          <w:tcPr>
            <w:tcW w:type="dxa" w:w="2835"/>
            <w:vAlign w:val="center"/>
            <w:tcMar>
              <w:top w:w="90" w:type="dxa"/>
              <w:start w:w="90" w:type="dxa"/>
              <w:bottom w:w="90" w:type="dxa"/>
              <w:end w:w="90" w:type="dxa"/>
            </w:tcMar>
          </w:tcPr>
          <w:p>
            <w:r>
              <w:rPr>
                <w:sz w:val="19"/>
              </w:rPr>
              <w:t>Pakkujaid vähe</w:t>
            </w:r>
          </w:p>
        </w:tc>
        <w:tc>
          <w:tcPr>
            <w:tcW w:type="dxa" w:w="2268"/>
            <w:vAlign w:val="center"/>
            <w:tcMar>
              <w:top w:w="90" w:type="dxa"/>
              <w:start w:w="90" w:type="dxa"/>
              <w:bottom w:w="90" w:type="dxa"/>
              <w:end w:w="90" w:type="dxa"/>
            </w:tcMar>
          </w:tcPr>
          <w:p>
            <w:r>
              <w:rPr>
                <w:sz w:val="19"/>
              </w:rPr>
              <w:t>Väga kõrge</w:t>
            </w:r>
          </w:p>
        </w:tc>
        <w:tc>
          <w:tcPr>
            <w:tcW w:type="dxa" w:w="3969"/>
            <w:vAlign w:val="center"/>
            <w:tcMar>
              <w:top w:w="90" w:type="dxa"/>
              <w:start w:w="90" w:type="dxa"/>
              <w:bottom w:w="90" w:type="dxa"/>
              <w:end w:w="90" w:type="dxa"/>
            </w:tcMar>
          </w:tcPr>
          <w:p>
            <w:r>
              <w:rPr>
                <w:sz w:val="19"/>
              </w:rPr>
              <w:t>supply-first onboarding</w:t>
            </w:r>
          </w:p>
        </w:tc>
      </w:tr>
      <w:tr>
        <w:trPr>
          <w:cantSplit/>
        </w:trPr>
        <w:tc>
          <w:tcPr>
            <w:tcW w:type="dxa" w:w="2835"/>
            <w:vAlign w:val="center"/>
            <w:tcMar>
              <w:top w:w="90" w:type="dxa"/>
              <w:start w:w="90" w:type="dxa"/>
              <w:bottom w:w="90" w:type="dxa"/>
              <w:end w:w="90" w:type="dxa"/>
            </w:tcMar>
          </w:tcPr>
          <w:p>
            <w:r>
              <w:rPr>
                <w:sz w:val="19"/>
              </w:rPr>
              <w:t>Allahindlus näiline</w:t>
            </w:r>
          </w:p>
        </w:tc>
        <w:tc>
          <w:tcPr>
            <w:tcW w:type="dxa" w:w="2268"/>
            <w:vAlign w:val="center"/>
            <w:tcMar>
              <w:top w:w="90" w:type="dxa"/>
              <w:start w:w="90" w:type="dxa"/>
              <w:bottom w:w="90" w:type="dxa"/>
              <w:end w:w="90" w:type="dxa"/>
            </w:tcMar>
          </w:tcPr>
          <w:p>
            <w:r>
              <w:rPr>
                <w:sz w:val="19"/>
              </w:rPr>
              <w:t>Kõrge</w:t>
            </w:r>
          </w:p>
        </w:tc>
        <w:tc>
          <w:tcPr>
            <w:tcW w:type="dxa" w:w="3969"/>
            <w:vAlign w:val="center"/>
            <w:tcMar>
              <w:top w:w="90" w:type="dxa"/>
              <w:start w:w="90" w:type="dxa"/>
              <w:bottom w:w="90" w:type="dxa"/>
              <w:end w:w="90" w:type="dxa"/>
            </w:tcMar>
          </w:tcPr>
          <w:p>
            <w:r>
              <w:rPr>
                <w:sz w:val="19"/>
              </w:rPr>
              <w:t>üksikobjekti baashind ja hinnaläved</w:t>
            </w:r>
          </w:p>
        </w:tc>
      </w:tr>
      <w:tr>
        <w:trPr>
          <w:cantSplit/>
        </w:trPr>
        <w:tc>
          <w:tcPr>
            <w:tcW w:type="dxa" w:w="2835"/>
            <w:vAlign w:val="center"/>
            <w:tcMar>
              <w:top w:w="90" w:type="dxa"/>
              <w:start w:w="90" w:type="dxa"/>
              <w:bottom w:w="90" w:type="dxa"/>
              <w:end w:w="90" w:type="dxa"/>
            </w:tcMar>
          </w:tcPr>
          <w:p>
            <w:r>
              <w:rPr>
                <w:sz w:val="19"/>
              </w:rPr>
              <w:t>Osaleja loobub</w:t>
            </w:r>
          </w:p>
        </w:tc>
        <w:tc>
          <w:tcPr>
            <w:tcW w:type="dxa" w:w="2268"/>
            <w:vAlign w:val="center"/>
            <w:tcMar>
              <w:top w:w="90" w:type="dxa"/>
              <w:start w:w="90" w:type="dxa"/>
              <w:bottom w:w="90" w:type="dxa"/>
              <w:end w:w="90" w:type="dxa"/>
            </w:tcMar>
          </w:tcPr>
          <w:p>
            <w:r>
              <w:rPr>
                <w:sz w:val="19"/>
              </w:rPr>
              <w:t>Kõrge</w:t>
            </w:r>
          </w:p>
        </w:tc>
        <w:tc>
          <w:tcPr>
            <w:tcW w:type="dxa" w:w="3969"/>
            <w:vAlign w:val="center"/>
            <w:tcMar>
              <w:top w:w="90" w:type="dxa"/>
              <w:start w:w="90" w:type="dxa"/>
              <w:bottom w:w="90" w:type="dxa"/>
              <w:end w:w="90" w:type="dxa"/>
            </w:tcMar>
          </w:tcPr>
          <w:p>
            <w:r>
              <w:rPr>
                <w:sz w:val="19"/>
              </w:rPr>
              <w:t>käsiraha ja selged tingimused</w:t>
            </w:r>
          </w:p>
        </w:tc>
      </w:tr>
      <w:tr>
        <w:trPr>
          <w:cantSplit/>
        </w:trPr>
        <w:tc>
          <w:tcPr>
            <w:tcW w:type="dxa" w:w="2835"/>
            <w:vAlign w:val="center"/>
            <w:tcMar>
              <w:top w:w="90" w:type="dxa"/>
              <w:start w:w="90" w:type="dxa"/>
              <w:bottom w:w="90" w:type="dxa"/>
              <w:end w:w="90" w:type="dxa"/>
            </w:tcMar>
          </w:tcPr>
          <w:p>
            <w:r>
              <w:rPr>
                <w:sz w:val="19"/>
              </w:rPr>
              <w:t>Pakkuja loobub</w:t>
            </w:r>
          </w:p>
        </w:tc>
        <w:tc>
          <w:tcPr>
            <w:tcW w:type="dxa" w:w="2268"/>
            <w:vAlign w:val="center"/>
            <w:tcMar>
              <w:top w:w="90" w:type="dxa"/>
              <w:start w:w="90" w:type="dxa"/>
              <w:bottom w:w="90" w:type="dxa"/>
              <w:end w:w="90" w:type="dxa"/>
            </w:tcMar>
          </w:tcPr>
          <w:p>
            <w:r>
              <w:rPr>
                <w:sz w:val="19"/>
              </w:rPr>
              <w:t>Kõrge</w:t>
            </w:r>
          </w:p>
        </w:tc>
        <w:tc>
          <w:tcPr>
            <w:tcW w:type="dxa" w:w="3969"/>
            <w:vAlign w:val="center"/>
            <w:tcMar>
              <w:top w:w="90" w:type="dxa"/>
              <w:start w:w="90" w:type="dxa"/>
              <w:bottom w:w="90" w:type="dxa"/>
              <w:end w:w="90" w:type="dxa"/>
            </w:tcMar>
          </w:tcPr>
          <w:p>
            <w:r>
              <w:rPr>
                <w:sz w:val="19"/>
              </w:rPr>
              <w:t>rating, sanktsioon, backup</w:t>
            </w:r>
          </w:p>
        </w:tc>
      </w:tr>
      <w:tr>
        <w:trPr>
          <w:cantSplit/>
        </w:trPr>
        <w:tc>
          <w:tcPr>
            <w:tcW w:type="dxa" w:w="2835"/>
            <w:vAlign w:val="center"/>
            <w:tcMar>
              <w:top w:w="90" w:type="dxa"/>
              <w:start w:w="90" w:type="dxa"/>
              <w:bottom w:w="90" w:type="dxa"/>
              <w:end w:w="90" w:type="dxa"/>
            </w:tcMar>
          </w:tcPr>
          <w:p>
            <w:r>
              <w:rPr>
                <w:sz w:val="19"/>
              </w:rPr>
              <w:t>Teenused pole võrreldavad</w:t>
            </w:r>
          </w:p>
        </w:tc>
        <w:tc>
          <w:tcPr>
            <w:tcW w:type="dxa" w:w="2268"/>
            <w:vAlign w:val="center"/>
            <w:tcMar>
              <w:top w:w="90" w:type="dxa"/>
              <w:start w:w="90" w:type="dxa"/>
              <w:bottom w:w="90" w:type="dxa"/>
              <w:end w:w="90" w:type="dxa"/>
            </w:tcMar>
          </w:tcPr>
          <w:p>
            <w:r>
              <w:rPr>
                <w:sz w:val="19"/>
              </w:rPr>
              <w:t>Kõrge</w:t>
            </w:r>
          </w:p>
        </w:tc>
        <w:tc>
          <w:tcPr>
            <w:tcW w:type="dxa" w:w="3969"/>
            <w:vAlign w:val="center"/>
            <w:tcMar>
              <w:top w:w="90" w:type="dxa"/>
              <w:start w:w="90" w:type="dxa"/>
              <w:bottom w:w="90" w:type="dxa"/>
              <w:end w:w="90" w:type="dxa"/>
            </w:tcMar>
          </w:tcPr>
          <w:p>
            <w:r>
              <w:rPr>
                <w:sz w:val="19"/>
              </w:rPr>
              <w:t>standardiseeritud kategooriad</w:t>
            </w:r>
          </w:p>
        </w:tc>
      </w:tr>
      <w:tr>
        <w:trPr>
          <w:cantSplit/>
        </w:trPr>
        <w:tc>
          <w:tcPr>
            <w:tcW w:type="dxa" w:w="2835"/>
            <w:vAlign w:val="center"/>
            <w:tcMar>
              <w:top w:w="90" w:type="dxa"/>
              <w:start w:w="90" w:type="dxa"/>
              <w:bottom w:w="90" w:type="dxa"/>
              <w:end w:w="90" w:type="dxa"/>
            </w:tcMar>
          </w:tcPr>
          <w:p>
            <w:r>
              <w:rPr>
                <w:sz w:val="19"/>
              </w:rPr>
              <w:t>Platvorm hoiab raha</w:t>
            </w:r>
          </w:p>
        </w:tc>
        <w:tc>
          <w:tcPr>
            <w:tcW w:type="dxa" w:w="2268"/>
            <w:vAlign w:val="center"/>
            <w:tcMar>
              <w:top w:w="90" w:type="dxa"/>
              <w:start w:w="90" w:type="dxa"/>
              <w:bottom w:w="90" w:type="dxa"/>
              <w:end w:w="90" w:type="dxa"/>
            </w:tcMar>
          </w:tcPr>
          <w:p>
            <w:r>
              <w:rPr>
                <w:sz w:val="19"/>
              </w:rPr>
              <w:t>Väga kõrge</w:t>
            </w:r>
          </w:p>
        </w:tc>
        <w:tc>
          <w:tcPr>
            <w:tcW w:type="dxa" w:w="3969"/>
            <w:vAlign w:val="center"/>
            <w:tcMar>
              <w:top w:w="90" w:type="dxa"/>
              <w:start w:w="90" w:type="dxa"/>
              <w:bottom w:w="90" w:type="dxa"/>
              <w:end w:w="90" w:type="dxa"/>
            </w:tcMar>
          </w:tcPr>
          <w:p>
            <w:r>
              <w:rPr>
                <w:sz w:val="19"/>
              </w:rPr>
              <w:t>litsentseeritud PSP</w:t>
            </w:r>
          </w:p>
        </w:tc>
      </w:tr>
      <w:tr>
        <w:trPr>
          <w:cantSplit/>
        </w:trPr>
        <w:tc>
          <w:tcPr>
            <w:tcW w:type="dxa" w:w="2835"/>
            <w:vAlign w:val="center"/>
            <w:tcMar>
              <w:top w:w="90" w:type="dxa"/>
              <w:start w:w="90" w:type="dxa"/>
              <w:bottom w:w="90" w:type="dxa"/>
              <w:end w:w="90" w:type="dxa"/>
            </w:tcMar>
          </w:tcPr>
          <w:p>
            <w:r>
              <w:rPr>
                <w:sz w:val="19"/>
              </w:rPr>
              <w:t>Spam / GDPR</w:t>
            </w:r>
          </w:p>
        </w:tc>
        <w:tc>
          <w:tcPr>
            <w:tcW w:type="dxa" w:w="2268"/>
            <w:vAlign w:val="center"/>
            <w:tcMar>
              <w:top w:w="90" w:type="dxa"/>
              <w:start w:w="90" w:type="dxa"/>
              <w:bottom w:w="90" w:type="dxa"/>
              <w:end w:w="90" w:type="dxa"/>
            </w:tcMar>
          </w:tcPr>
          <w:p>
            <w:r>
              <w:rPr>
                <w:sz w:val="19"/>
              </w:rPr>
              <w:t>Keskmine</w:t>
            </w:r>
          </w:p>
        </w:tc>
        <w:tc>
          <w:tcPr>
            <w:tcW w:type="dxa" w:w="3969"/>
            <w:vAlign w:val="center"/>
            <w:tcMar>
              <w:top w:w="90" w:type="dxa"/>
              <w:start w:w="90" w:type="dxa"/>
              <w:bottom w:w="90" w:type="dxa"/>
              <w:end w:w="90" w:type="dxa"/>
            </w:tcMar>
          </w:tcPr>
          <w:p>
            <w:r>
              <w:rPr>
                <w:sz w:val="19"/>
              </w:rPr>
              <w:t>corporate contacts + opt-out</w:t>
            </w:r>
          </w:p>
        </w:tc>
      </w:tr>
      <w:tr>
        <w:trPr>
          <w:cantSplit/>
        </w:trPr>
        <w:tc>
          <w:tcPr>
            <w:tcW w:type="dxa" w:w="2835"/>
            <w:vAlign w:val="center"/>
            <w:tcMar>
              <w:top w:w="90" w:type="dxa"/>
              <w:start w:w="90" w:type="dxa"/>
              <w:bottom w:w="90" w:type="dxa"/>
              <w:end w:w="90" w:type="dxa"/>
            </w:tcMar>
          </w:tcPr>
          <w:p>
            <w:r>
              <w:rPr>
                <w:sz w:val="19"/>
              </w:rPr>
              <w:t>DAC7</w:t>
            </w:r>
          </w:p>
        </w:tc>
        <w:tc>
          <w:tcPr>
            <w:tcW w:type="dxa" w:w="2268"/>
            <w:vAlign w:val="center"/>
            <w:tcMar>
              <w:top w:w="90" w:type="dxa"/>
              <w:start w:w="90" w:type="dxa"/>
              <w:bottom w:w="90" w:type="dxa"/>
              <w:end w:w="90" w:type="dxa"/>
            </w:tcMar>
          </w:tcPr>
          <w:p>
            <w:r>
              <w:rPr>
                <w:sz w:val="19"/>
              </w:rPr>
              <w:t>Keskmine / kõrge</w:t>
            </w:r>
          </w:p>
        </w:tc>
        <w:tc>
          <w:tcPr>
            <w:tcW w:type="dxa" w:w="3969"/>
            <w:vAlign w:val="center"/>
            <w:tcMar>
              <w:top w:w="90" w:type="dxa"/>
              <w:start w:w="90" w:type="dxa"/>
              <w:bottom w:w="90" w:type="dxa"/>
              <w:end w:w="90" w:type="dxa"/>
            </w:tcMar>
          </w:tcPr>
          <w:p>
            <w:r>
              <w:rPr>
                <w:sz w:val="19"/>
              </w:rPr>
              <w:t>seller KYC + raportiandmed</w:t>
            </w:r>
          </w:p>
        </w:tc>
      </w:tr>
      <w:tr>
        <w:trPr>
          <w:cantSplit/>
        </w:trPr>
        <w:tc>
          <w:tcPr>
            <w:tcW w:type="dxa" w:w="2835"/>
            <w:vAlign w:val="center"/>
            <w:tcMar>
              <w:top w:w="90" w:type="dxa"/>
              <w:start w:w="90" w:type="dxa"/>
              <w:bottom w:w="90" w:type="dxa"/>
              <w:end w:w="90" w:type="dxa"/>
            </w:tcMar>
          </w:tcPr>
          <w:p>
            <w:r>
              <w:rPr>
                <w:sz w:val="19"/>
              </w:rPr>
              <w:t>Avalikud hankijad</w:t>
            </w:r>
          </w:p>
        </w:tc>
        <w:tc>
          <w:tcPr>
            <w:tcW w:type="dxa" w:w="2268"/>
            <w:vAlign w:val="center"/>
            <w:tcMar>
              <w:top w:w="90" w:type="dxa"/>
              <w:start w:w="90" w:type="dxa"/>
              <w:bottom w:w="90" w:type="dxa"/>
              <w:end w:w="90" w:type="dxa"/>
            </w:tcMar>
          </w:tcPr>
          <w:p>
            <w:r>
              <w:rPr>
                <w:sz w:val="19"/>
              </w:rPr>
              <w:t>Kõrge</w:t>
            </w:r>
          </w:p>
        </w:tc>
        <w:tc>
          <w:tcPr>
            <w:tcW w:type="dxa" w:w="3969"/>
            <w:vAlign w:val="center"/>
            <w:tcMar>
              <w:top w:w="90" w:type="dxa"/>
              <w:start w:w="90" w:type="dxa"/>
              <w:bottom w:w="90" w:type="dxa"/>
              <w:end w:w="90" w:type="dxa"/>
            </w:tcMar>
          </w:tcPr>
          <w:p>
            <w:r>
              <w:rPr>
                <w:sz w:val="19"/>
              </w:rPr>
              <w:t>MVP-st välja</w:t>
            </w:r>
          </w:p>
        </w:tc>
      </w:tr>
      <w:tr>
        <w:trPr>
          <w:cantSplit/>
        </w:trPr>
        <w:tc>
          <w:tcPr>
            <w:tcW w:type="dxa" w:w="2835"/>
            <w:vAlign w:val="center"/>
            <w:tcMar>
              <w:top w:w="90" w:type="dxa"/>
              <w:start w:w="90" w:type="dxa"/>
              <w:bottom w:w="90" w:type="dxa"/>
              <w:end w:w="90" w:type="dxa"/>
            </w:tcMar>
          </w:tcPr>
          <w:p>
            <w:r>
              <w:rPr>
                <w:sz w:val="19"/>
              </w:rPr>
              <w:t>Kvaliteedivaidlused</w:t>
            </w:r>
          </w:p>
        </w:tc>
        <w:tc>
          <w:tcPr>
            <w:tcW w:type="dxa" w:w="2268"/>
            <w:vAlign w:val="center"/>
            <w:tcMar>
              <w:top w:w="90" w:type="dxa"/>
              <w:start w:w="90" w:type="dxa"/>
              <w:bottom w:w="90" w:type="dxa"/>
              <w:end w:w="90" w:type="dxa"/>
            </w:tcMar>
          </w:tcPr>
          <w:p>
            <w:r>
              <w:rPr>
                <w:sz w:val="19"/>
              </w:rPr>
              <w:t>Keskmine</w:t>
            </w:r>
          </w:p>
        </w:tc>
        <w:tc>
          <w:tcPr>
            <w:tcW w:type="dxa" w:w="3969"/>
            <w:vAlign w:val="center"/>
            <w:tcMar>
              <w:top w:w="90" w:type="dxa"/>
              <w:start w:w="90" w:type="dxa"/>
              <w:bottom w:w="90" w:type="dxa"/>
              <w:end w:w="90" w:type="dxa"/>
            </w:tcMar>
          </w:tcPr>
          <w:p>
            <w:r>
              <w:rPr>
                <w:sz w:val="19"/>
              </w:rPr>
              <w:t>SLA + tõendid + rating</w:t>
            </w:r>
          </w:p>
        </w:tc>
      </w:tr>
      <w:tr>
        <w:trPr>
          <w:cantSplit/>
        </w:trPr>
        <w:tc>
          <w:tcPr>
            <w:tcW w:type="dxa" w:w="2835"/>
            <w:vAlign w:val="center"/>
            <w:tcMar>
              <w:top w:w="90" w:type="dxa"/>
              <w:start w:w="90" w:type="dxa"/>
              <w:bottom w:w="90" w:type="dxa"/>
              <w:end w:w="90" w:type="dxa"/>
            </w:tcMar>
          </w:tcPr>
          <w:p>
            <w:r>
              <w:rPr>
                <w:sz w:val="19"/>
              </w:rPr>
              <w:t>Kogu Eesti korraga</w:t>
            </w:r>
          </w:p>
        </w:tc>
        <w:tc>
          <w:tcPr>
            <w:tcW w:type="dxa" w:w="2268"/>
            <w:vAlign w:val="center"/>
            <w:tcMar>
              <w:top w:w="90" w:type="dxa"/>
              <w:start w:w="90" w:type="dxa"/>
              <w:bottom w:w="90" w:type="dxa"/>
              <w:end w:w="90" w:type="dxa"/>
            </w:tcMar>
          </w:tcPr>
          <w:p>
            <w:r>
              <w:rPr>
                <w:sz w:val="19"/>
              </w:rPr>
              <w:t>Väga kõrge</w:t>
            </w:r>
          </w:p>
        </w:tc>
        <w:tc>
          <w:tcPr>
            <w:tcW w:type="dxa" w:w="3969"/>
            <w:vAlign w:val="center"/>
            <w:tcMar>
              <w:top w:w="90" w:type="dxa"/>
              <w:start w:w="90" w:type="dxa"/>
              <w:bottom w:w="90" w:type="dxa"/>
              <w:end w:w="90" w:type="dxa"/>
            </w:tcMar>
          </w:tcPr>
          <w:p>
            <w:r>
              <w:rPr>
                <w:sz w:val="19"/>
              </w:rPr>
              <w:t>mikroturg korraga</w:t>
            </w:r>
          </w:p>
        </w:tc>
      </w:tr>
    </w:tbl>
    <w:p/>
    <w:p>
      <w:pPr>
        <w:pStyle w:val="Heading1"/>
      </w:pPr>
      <w:r>
        <w:t>13. Strateegiline hinnang ja tegevuskava</w:t>
      </w:r>
    </w:p>
    <w:p>
      <w:pPr>
        <w:pStyle w:val="Heading2"/>
      </w:pPr>
      <w:r>
        <w:t>13.1 Üks võimalik strateegiline viga</w:t>
      </w:r>
    </w:p>
    <w:p>
      <w:r>
        <w:t>Marketplace’i puhul ei tähenda rohkem kategooriaid ja suurem geograafia automaatselt paremat toodet. Kui 1000 kasutajat hajuvad 100 teenusekategooria ja 15 maakonna vahel, on igas konkreetses turus likviidsus nullilähedane.</w:t>
      </w:r>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Ühishanke tegelik eduühik ei ole “Eesti”. See on teenus × piirkond, näiteks lumetõrje × Mustamäe.</w:t>
            </w:r>
          </w:p>
        </w:tc>
      </w:tr>
    </w:tbl>
    <w:p/>
    <w:p>
      <w:r>
        <w:t>Kui üks mikroturg töötab, saab avada järgmise: lumetõrje × Lasnamäe, seejärel haljastus × Mustamäe jne.</w:t>
      </w:r>
    </w:p>
    <w:p>
      <w:pPr>
        <w:pStyle w:val="Heading2"/>
      </w:pPr>
      <w:r>
        <w:t>13.2 Kriitiline valideeritav hüpotees</w:t>
      </w:r>
    </w:p>
    <w:tbl>
      <w:tblPr>
        <w:tblW w:type="auto" w:w="0"/>
        <w:jc w:val="center"/>
        <w:tblLook w:firstColumn="1" w:firstRow="1" w:lastColumn="0" w:lastRow="0" w:noHBand="0" w:noVBand="1" w:val="04A0"/>
      </w:tblPr>
      <w:tblGrid>
        <w:gridCol w:w="9858"/>
      </w:tblGrid>
      <w:tr>
        <w:tc>
          <w:tcPr>
            <w:tcW w:type="dxa" w:w="9858"/>
            <w:shd w:fill="FFF3E6"/>
            <w:tcMar>
              <w:top w:w="160" w:type="dxa"/>
              <w:start w:w="180" w:type="dxa"/>
              <w:bottom w:w="160" w:type="dxa"/>
              <w:end w:w="180" w:type="dxa"/>
            </w:tcMar>
          </w:tcPr>
          <w:p>
            <w:pPr>
              <w:jc w:val="center"/>
            </w:pPr>
            <w:r>
              <w:rPr>
                <w:b/>
                <w:color w:val="262626"/>
                <w:sz w:val="22"/>
              </w:rPr>
              <w:t>Kas 3–10 lähestikku asuva kinnistu koondamine võimaldab teenusepakkujal anda piisavalt suure hinnavõidu, et KÜ-del tekiks motivatsioon oodata grupi täitumist ja teha selle kinnitamiseks rahaline commitment?</w:t>
            </w:r>
          </w:p>
        </w:tc>
      </w:tr>
    </w:tbl>
    <w:p/>
    <w:p>
      <w:r>
        <w:t>Kui päris tehingutes tekib 5–15% hinnavahe või sama hinna juures selgelt parem teenusetase, on ärimudel tugev. Kui tegelik hinnavõit jääb järjepidevalt 1–2% juurde, on vaja väärtuspakkumist ümber sõnastada või valida teised teenusekategooriad.</w:t>
      </w:r>
    </w:p>
    <w:p>
      <w:pPr>
        <w:pStyle w:val="Heading2"/>
      </w:pPr>
      <w:r>
        <w:t>13.3 Järgmised praktilised sammud</w:t>
      </w:r>
    </w:p>
    <w:p>
      <w:pPr>
        <w:ind w:left="312" w:hanging="312"/>
      </w:pPr>
      <w:r>
        <w:t>1.</w:t>
        <w:tab/>
        <w:t>Vali üks pilootteenus: lumetõrje.</w:t>
      </w:r>
    </w:p>
    <w:p>
      <w:pPr>
        <w:ind w:left="312" w:hanging="312"/>
      </w:pPr>
      <w:r>
        <w:t>2.</w:t>
        <w:tab/>
        <w:t>Vali üks mikroturg: näiteks Mustamäe.</w:t>
      </w:r>
    </w:p>
    <w:p>
      <w:pPr>
        <w:ind w:left="312" w:hanging="312"/>
      </w:pPr>
      <w:r>
        <w:t>3.</w:t>
        <w:tab/>
        <w:t>Intervjueeri 5–10 lumetõrjefirmat küsimusega: kui annaksime ühe kvartali pealt 3, 5 või 10 kinnitatud objekti, kuidas teie hind muutuks?</w:t>
      </w:r>
    </w:p>
    <w:p>
      <w:pPr>
        <w:ind w:left="312" w:hanging="312"/>
      </w:pPr>
      <w:r>
        <w:t>4.</w:t>
        <w:tab/>
        <w:t>Võta 20–30 päris KÜ-d ja testi valmisolekut liituda 50–200 € käsirahaga, kui grupi täitumisel tekib 5–15% hinnaeelis.</w:t>
      </w:r>
    </w:p>
    <w:p>
      <w:pPr>
        <w:ind w:left="312" w:hanging="312"/>
      </w:pPr>
      <w:r>
        <w:t>5.</w:t>
        <w:tab/>
        <w:t>Kujunda tegelik hinnalävendi mudel kahe poole vastuste põhjal.</w:t>
      </w:r>
    </w:p>
    <w:p>
      <w:pPr>
        <w:ind w:left="312" w:hanging="312"/>
      </w:pPr>
      <w:r>
        <w:t>6.</w:t>
        <w:tab/>
        <w:t>Tee vähemalt üks päris ühishange käsitsi enne täismahulise tarkvara ehitamist.</w:t>
      </w:r>
    </w:p>
    <w:p>
      <w:pPr>
        <w:ind w:left="312" w:hanging="312"/>
      </w:pPr>
      <w:r>
        <w:t>7.</w:t>
        <w:tab/>
        <w:t>Mõõda neli numbrit: liitumismäär, saavutatud allahindlus, pakkuja majanduslik kasu ja loobumismäär.</w:t>
      </w:r>
    </w:p>
    <w:p>
      <w:pPr>
        <w:ind w:left="312" w:hanging="312"/>
      </w:pPr>
      <w:r>
        <w:t>8.</w:t>
        <w:tab/>
        <w:t>Alles pärast valideerimist ehita täis-MVP ja automatiseeri korduvad sammud.</w:t>
      </w:r>
    </w:p>
    <w:p>
      <w:pPr>
        <w:pStyle w:val="Heading2"/>
      </w:pPr>
      <w:r>
        <w:t>13.4 Lõppjäreldus</w:t>
      </w:r>
    </w:p>
    <w:p>
      <w:r>
        <w:rPr>
          <w:b/>
        </w:rPr>
        <w:t xml:space="preserve">Idee tugevus ei ole 15% allahindlus. </w:t>
      </w:r>
      <w:r>
        <w:t>Tugevus on selles, et süsteem loob uue müüdava ühiku: “5 kinnitatud klienti 500 meetri raadiuses”.</w:t>
      </w:r>
    </w:p>
    <w:p>
      <w:r>
        <w:t>Kui Ühishange suudab selliseid klastreid usaldusväärselt tekitada, ei ole see enam kuulutusteportaal. Sellest saab kohaliku teenusenõudluse agregatsiooni- ja hinnastusplatvorm. Just sellele tasub ehitada ettevõtte strateegia, andmemudel ja järkjärguline rahvusvaheline kasv.</w:t>
      </w:r>
    </w:p>
    <w:p>
      <w:pPr>
        <w:pStyle w:val="Heading1"/>
      </w:pPr>
      <w:r>
        <w:t>14. Allikad</w:t>
      </w:r>
    </w:p>
    <w:p>
      <w:pPr>
        <w:pStyle w:val="ListBullet"/>
      </w:pPr>
      <w:hyperlink r:id="rId10">
        <w:r>
          <w:rPr>
            <w:color w:val="0563C1"/>
            <w:u w:val="single"/>
          </w:rPr>
          <w:t>Eesti Korteriühistute Liit – Who we are</w:t>
        </w:r>
      </w:hyperlink>
    </w:p>
    <w:p>
      <w:pPr>
        <w:pStyle w:val="ListBullet"/>
      </w:pPr>
      <w:hyperlink r:id="rId11">
        <w:r>
          <w:rPr>
            <w:color w:val="0563C1"/>
            <w:u w:val="single"/>
          </w:rPr>
          <w:t>e-Äriregister – avaandmete allalaadimine</w:t>
        </w:r>
      </w:hyperlink>
    </w:p>
    <w:p>
      <w:pPr>
        <w:pStyle w:val="ListBullet"/>
      </w:pPr>
      <w:hyperlink r:id="rId12">
        <w:r>
          <w:rPr>
            <w:color w:val="0563C1"/>
            <w:u w:val="single"/>
          </w:rPr>
          <w:t>Hange.ee – hinnakiri</w:t>
        </w:r>
      </w:hyperlink>
    </w:p>
    <w:p>
      <w:pPr>
        <w:pStyle w:val="ListBullet"/>
      </w:pPr>
      <w:hyperlink r:id="rId13">
        <w:r>
          <w:rPr>
            <w:color w:val="0563C1"/>
            <w:u w:val="single"/>
          </w:rPr>
          <w:t>Hange.ee – korteriühistu hanked</w:t>
        </w:r>
      </w:hyperlink>
    </w:p>
    <w:p>
      <w:pPr>
        <w:pStyle w:val="ListBullet"/>
      </w:pPr>
      <w:hyperlink r:id="rId14">
        <w:r>
          <w:rPr>
            <w:color w:val="0563C1"/>
            <w:u w:val="single"/>
          </w:rPr>
          <w:t>e-Äriregister – Hange.ee teenused OÜ</w:t>
        </w:r>
      </w:hyperlink>
    </w:p>
    <w:p>
      <w:pPr>
        <w:pStyle w:val="ListBullet"/>
      </w:pPr>
      <w:hyperlink r:id="rId15">
        <w:r>
          <w:rPr>
            <w:color w:val="0563C1"/>
            <w:u w:val="single"/>
          </w:rPr>
          <w:t>Stell – apartment building management</w:t>
        </w:r>
      </w:hyperlink>
    </w:p>
    <w:p>
      <w:pPr>
        <w:pStyle w:val="ListBullet"/>
      </w:pPr>
      <w:hyperlink r:id="rId16">
        <w:r>
          <w:rPr>
            <w:color w:val="0563C1"/>
            <w:u w:val="single"/>
          </w:rPr>
          <w:t>Võlaõigusseadus – Riigi Teataja</w:t>
        </w:r>
      </w:hyperlink>
    </w:p>
    <w:p>
      <w:pPr>
        <w:pStyle w:val="ListBullet"/>
      </w:pPr>
      <w:hyperlink r:id="rId17">
        <w:r>
          <w:rPr>
            <w:color w:val="0563C1"/>
            <w:u w:val="single"/>
          </w:rPr>
          <w:t>Makseteenuste regulatsioon – Riigi Teataja</w:t>
        </w:r>
      </w:hyperlink>
    </w:p>
    <w:p>
      <w:pPr>
        <w:pStyle w:val="ListBullet"/>
      </w:pPr>
      <w:hyperlink r:id="rId18">
        <w:r>
          <w:rPr>
            <w:color w:val="0563C1"/>
            <w:u w:val="single"/>
          </w:rPr>
          <w:t>Finantsinspektsioon – Payment institutions</w:t>
        </w:r>
      </w:hyperlink>
    </w:p>
    <w:p>
      <w:pPr>
        <w:pStyle w:val="ListBullet"/>
      </w:pPr>
      <w:hyperlink r:id="rId19">
        <w:r>
          <w:rPr>
            <w:color w:val="0563C1"/>
            <w:u w:val="single"/>
          </w:rPr>
          <w:t>Montonio – marketplace makselahendus</w:t>
        </w:r>
      </w:hyperlink>
    </w:p>
    <w:p>
      <w:pPr>
        <w:pStyle w:val="ListBullet"/>
      </w:pPr>
      <w:hyperlink r:id="rId20">
        <w:r>
          <w:rPr>
            <w:color w:val="0563C1"/>
            <w:u w:val="single"/>
          </w:rPr>
          <w:t>Riigihangete seadus – Riigi Teataja</w:t>
        </w:r>
      </w:hyperlink>
    </w:p>
    <w:p>
      <w:pPr>
        <w:pStyle w:val="ListBullet"/>
      </w:pPr>
      <w:hyperlink r:id="rId21">
        <w:r>
          <w:rPr>
            <w:color w:val="0563C1"/>
            <w:u w:val="single"/>
          </w:rPr>
          <w:t>Maksu- ja Tolliamet – käibemaks</w:t>
        </w:r>
      </w:hyperlink>
    </w:p>
    <w:p>
      <w:pPr>
        <w:pStyle w:val="ListBullet"/>
      </w:pPr>
      <w:hyperlink r:id="rId22">
        <w:r>
          <w:rPr>
            <w:color w:val="0563C1"/>
            <w:u w:val="single"/>
          </w:rPr>
          <w:t>CommunityGPO</w:t>
        </w:r>
      </w:hyperlink>
    </w:p>
    <w:p>
      <w:pPr>
        <w:pStyle w:val="ListBullet"/>
      </w:pPr>
      <w:hyperlink r:id="rId23">
        <w:r>
          <w:rPr>
            <w:color w:val="0563C1"/>
            <w:u w:val="single"/>
          </w:rPr>
          <w:t>Tallinn – statistiline info</w:t>
        </w:r>
      </w:hyperlink>
    </w:p>
    <w:p>
      <w:r>
        <w:rPr>
          <w:b/>
        </w:rPr>
        <w:t xml:space="preserve">Märkus: </w:t>
      </w:r>
      <w:r>
        <w:t>TAM/SAM/SOM arvutustes kasutatud aastane teenusekulu KÜ kohta on stsenaariumipõhine hüpotees, mitte ametlik statistiline näitaja. Enne investeerimis- või hinnastusotsuseid tuleb need eeldused piloodiga valideerida.</w:t>
      </w:r>
    </w:p>
    <w:sectPr w:rsidR="00FC693F" w:rsidRPr="0006063C" w:rsidSect="00034616">
      <w:footerReference w:type="default" r:id="rId9"/>
      <w:pgSz w:w="12240" w:h="15840"/>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Ühishange ärianalüüs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26262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F7931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26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kyl.ee/en/organisation/who-we-are/" TargetMode="External"/><Relationship Id="rId11" Type="http://schemas.openxmlformats.org/officeDocument/2006/relationships/hyperlink" Target="https://avaandmed.ariregister.rik.ee/et/avaandmete-allalaadimine" TargetMode="External"/><Relationship Id="rId12" Type="http://schemas.openxmlformats.org/officeDocument/2006/relationships/hyperlink" Target="https://www.hange.ee/hinnakiri/" TargetMode="External"/><Relationship Id="rId13" Type="http://schemas.openxmlformats.org/officeDocument/2006/relationships/hyperlink" Target="https://www.hange.ee/hanked/otsing/korteriuhistu/" TargetMode="External"/><Relationship Id="rId14" Type="http://schemas.openxmlformats.org/officeDocument/2006/relationships/hyperlink" Target="https://ariregister.rik.ee/eng/company/16454306/Hangeee-teenused-O%C3%9C" TargetMode="External"/><Relationship Id="rId15" Type="http://schemas.openxmlformats.org/officeDocument/2006/relationships/hyperlink" Target="https://stell.ee/en/management-of-apartment-buildings/" TargetMode="External"/><Relationship Id="rId16" Type="http://schemas.openxmlformats.org/officeDocument/2006/relationships/hyperlink" Target="https://www.riigiteataja.ee/akt/131122017008?leiaKehtiv=" TargetMode="External"/><Relationship Id="rId17" Type="http://schemas.openxmlformats.org/officeDocument/2006/relationships/hyperlink" Target="https://www.riigiteataja.ee/akt/111102024015" TargetMode="External"/><Relationship Id="rId18" Type="http://schemas.openxmlformats.org/officeDocument/2006/relationships/hyperlink" Target="https://www.fi.ee/en/payment-services/payment-institutions" TargetMode="External"/><Relationship Id="rId19" Type="http://schemas.openxmlformats.org/officeDocument/2006/relationships/hyperlink" Target="https://help.montonio.com/et/articles/644498-montonio-makselahendus-marketplace-ehk-turuplatvormide-arimudelile" TargetMode="External"/><Relationship Id="rId20" Type="http://schemas.openxmlformats.org/officeDocument/2006/relationships/hyperlink" Target="https://www.riigiteataja.ee/akt/104082022010?leiaKehtiv=" TargetMode="External"/><Relationship Id="rId21" Type="http://schemas.openxmlformats.org/officeDocument/2006/relationships/hyperlink" Target="https://www.emta.ee/ariklient/maksud-ja-tasumine/kaibemaks" TargetMode="External"/><Relationship Id="rId22" Type="http://schemas.openxmlformats.org/officeDocument/2006/relationships/hyperlink" Target="https://communitygpo.com/" TargetMode="External"/><Relationship Id="rId23" Type="http://schemas.openxmlformats.org/officeDocument/2006/relationships/hyperlink" Target="https://www.tallinn.ee/et/media/509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