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62626"/>
          <w:sz w:val="60"/>
        </w:rPr>
        <w:t>ÜHISHANGE</w:t>
      </w:r>
    </w:p>
    <w:p>
      <w:pPr>
        <w:jc w:val="center"/>
      </w:pPr>
      <w:r>
        <w:rPr>
          <w:rFonts w:ascii="Arial" w:hAnsi="Arial"/>
          <w:b/>
          <w:sz w:val="44"/>
        </w:rPr>
        <w:t>Andmedisaini plaan</w:t>
      </w:r>
    </w:p>
    <w:p/>
    <w:p/>
    <w:p/>
    <w:p/>
    <w:p>
      <w:pPr>
        <w:jc w:val="center"/>
      </w:pPr>
      <w:r>
        <w:rPr>
          <w:i/>
        </w:rPr>
        <w:t>Loogiline andmemudel, olekud, ärireeglid, maksete jälg ja MVP skeem</w:t>
      </w:r>
    </w:p>
    <w:p/>
    <w:p/>
    <w:p/>
    <w:p/>
    <w:p/>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FEFEF"/>
            <w:vAlign w:val="center"/>
            <w:tcMar>
              <w:top w:w="70" w:type="dxa"/>
              <w:start w:w="90" w:type="dxa"/>
              <w:bottom w:w="70" w:type="dxa"/>
              <w:end w:w="90" w:type="dxa"/>
            </w:tcMar>
          </w:tcPr>
          <w:p>
            <w:pPr>
              <w:spacing w:after="0" w:before="0"/>
            </w:pPr>
            <w:r>
              <w:rPr>
                <w:rFonts w:ascii="Arial" w:hAnsi="Arial"/>
                <w:sz w:val="19"/>
              </w:rPr>
              <w:t>Dokumendi tüüp</w:t>
            </w:r>
          </w:p>
        </w:tc>
        <w:tc>
          <w:tcPr>
            <w:tcW w:type="dxa" w:w="5112"/>
            <w:vAlign w:val="center"/>
            <w:tcMar>
              <w:top w:w="70" w:type="dxa"/>
              <w:start w:w="90" w:type="dxa"/>
              <w:bottom w:w="70" w:type="dxa"/>
              <w:end w:w="90" w:type="dxa"/>
            </w:tcMar>
          </w:tcPr>
          <w:p>
            <w:pPr>
              <w:spacing w:after="0" w:before="0"/>
            </w:pPr>
            <w:r>
              <w:rPr>
                <w:rFonts w:ascii="Arial" w:hAnsi="Arial"/>
                <w:sz w:val="19"/>
              </w:rPr>
              <w:t>Eraldiseisev andmedisaini dokument</w:t>
            </w:r>
          </w:p>
        </w:tc>
      </w:tr>
      <w:tr>
        <w:trPr>
          <w:cantSplit/>
        </w:trPr>
        <w:tc>
          <w:tcPr>
            <w:tcW w:type="dxa" w:w="5112"/>
            <w:shd w:fill="EFEFEF"/>
            <w:vAlign w:val="center"/>
            <w:tcMar>
              <w:top w:w="70" w:type="dxa"/>
              <w:start w:w="90" w:type="dxa"/>
              <w:bottom w:w="70" w:type="dxa"/>
              <w:end w:w="90" w:type="dxa"/>
            </w:tcMar>
          </w:tcPr>
          <w:p>
            <w:pPr>
              <w:spacing w:after="0" w:before="0"/>
            </w:pPr>
            <w:r>
              <w:rPr>
                <w:rFonts w:ascii="Arial" w:hAnsi="Arial"/>
                <w:sz w:val="19"/>
              </w:rPr>
              <w:t>Versioon</w:t>
            </w:r>
          </w:p>
        </w:tc>
        <w:tc>
          <w:tcPr>
            <w:tcW w:type="dxa" w:w="5112"/>
            <w:vAlign w:val="center"/>
            <w:tcMar>
              <w:top w:w="70" w:type="dxa"/>
              <w:start w:w="90" w:type="dxa"/>
              <w:bottom w:w="70" w:type="dxa"/>
              <w:end w:w="90" w:type="dxa"/>
            </w:tcMar>
          </w:tcPr>
          <w:p>
            <w:pPr>
              <w:spacing w:after="0" w:before="0"/>
            </w:pPr>
            <w:r>
              <w:rPr>
                <w:rFonts w:ascii="Arial" w:hAnsi="Arial"/>
                <w:sz w:val="19"/>
              </w:rPr>
              <w:t>0.1</w:t>
            </w:r>
          </w:p>
        </w:tc>
      </w:tr>
      <w:tr>
        <w:trPr>
          <w:cantSplit/>
        </w:trPr>
        <w:tc>
          <w:tcPr>
            <w:tcW w:type="dxa" w:w="5112"/>
            <w:shd w:fill="EFEFEF"/>
            <w:vAlign w:val="center"/>
            <w:tcMar>
              <w:top w:w="70" w:type="dxa"/>
              <w:start w:w="90" w:type="dxa"/>
              <w:bottom w:w="70" w:type="dxa"/>
              <w:end w:w="90" w:type="dxa"/>
            </w:tcMar>
          </w:tcPr>
          <w:p>
            <w:pPr>
              <w:spacing w:after="0" w:before="0"/>
            </w:pPr>
            <w:r>
              <w:rPr>
                <w:rFonts w:ascii="Arial" w:hAnsi="Arial"/>
                <w:sz w:val="19"/>
              </w:rPr>
              <w:t>Kuupäev</w:t>
            </w:r>
          </w:p>
        </w:tc>
        <w:tc>
          <w:tcPr>
            <w:tcW w:type="dxa" w:w="5112"/>
            <w:vAlign w:val="center"/>
            <w:tcMar>
              <w:top w:w="70" w:type="dxa"/>
              <w:start w:w="90" w:type="dxa"/>
              <w:bottom w:w="70" w:type="dxa"/>
              <w:end w:w="90" w:type="dxa"/>
            </w:tcMar>
          </w:tcPr>
          <w:p>
            <w:pPr>
              <w:spacing w:after="0" w:before="0"/>
            </w:pPr>
            <w:r>
              <w:rPr>
                <w:rFonts w:ascii="Arial" w:hAnsi="Arial"/>
                <w:sz w:val="19"/>
              </w:rPr>
              <w:t>10.10.2026</w:t>
            </w:r>
          </w:p>
        </w:tc>
      </w:tr>
      <w:tr>
        <w:trPr>
          <w:cantSplit/>
        </w:trPr>
        <w:tc>
          <w:tcPr>
            <w:tcW w:type="dxa" w:w="5112"/>
            <w:shd w:fill="EFEFEF"/>
            <w:vAlign w:val="center"/>
            <w:tcMar>
              <w:top w:w="70" w:type="dxa"/>
              <w:start w:w="90" w:type="dxa"/>
              <w:bottom w:w="70" w:type="dxa"/>
              <w:end w:w="90" w:type="dxa"/>
            </w:tcMar>
          </w:tcPr>
          <w:p>
            <w:pPr>
              <w:spacing w:after="0" w:before="0"/>
            </w:pPr>
            <w:r>
              <w:rPr>
                <w:rFonts w:ascii="Arial" w:hAnsi="Arial"/>
                <w:sz w:val="19"/>
              </w:rPr>
              <w:t>Ulatus</w:t>
            </w:r>
          </w:p>
        </w:tc>
        <w:tc>
          <w:tcPr>
            <w:tcW w:type="dxa" w:w="5112"/>
            <w:vAlign w:val="center"/>
            <w:tcMar>
              <w:top w:w="70" w:type="dxa"/>
              <w:start w:w="90" w:type="dxa"/>
              <w:bottom w:w="70" w:type="dxa"/>
              <w:end w:w="90" w:type="dxa"/>
            </w:tcMar>
          </w:tcPr>
          <w:p>
            <w:pPr>
              <w:spacing w:after="0" w:before="0"/>
            </w:pPr>
            <w:r>
              <w:rPr>
                <w:rFonts w:ascii="Arial" w:hAnsi="Arial"/>
                <w:sz w:val="19"/>
              </w:rPr>
              <w:t>Ühishanke MVP + laiendatav põhimudel</w:t>
            </w:r>
          </w:p>
        </w:tc>
      </w:tr>
    </w:tbl>
    <w:p>
      <w:r>
        <w:br w:type="page"/>
      </w:r>
    </w:p>
    <w:p>
      <w:pPr>
        <w:pStyle w:val="Heading1"/>
      </w:pPr>
      <w:r>
        <w:t>1. Eesmärk ja lähtekoht</w:t>
      </w:r>
    </w:p>
    <w:p>
      <w:r>
        <w:t>Andmedisaini eesmärk on tõlkida Ühishanke äriloogika tehniliselt realiseeritavaks andmemudeliks. Mudel peab toetama piirkondliku ühishanke loomist, läheduses olevate organisatsioonide kutsumist, teenusepakkujate pakkumisi, osalejate siduvaid aktsepteerimisi, ettemakseid, lävendi täitumist, tagasimakseid, loobumisi ja teenusepakkujale väljamakseid.</w:t>
      </w:r>
    </w:p>
    <w:p>
      <w:pPr>
        <w:pStyle w:val="ListBullet"/>
        <w:spacing w:after="40"/>
      </w:pPr>
      <w:r>
        <w:rPr>
          <w:b/>
        </w:rPr>
        <w:t xml:space="preserve">Näidiskasutusjuht. </w:t>
      </w:r>
      <w:r>
        <w:t>Korteriühistu loob lume lükkamise hanke ja kutsub näiteks 500 m raadiuses teisi organisatsioone liituma.</w:t>
      </w:r>
    </w:p>
    <w:p>
      <w:pPr>
        <w:pStyle w:val="ListBullet"/>
        <w:spacing w:after="40"/>
      </w:pPr>
      <w:r>
        <w:rPr>
          <w:b/>
        </w:rPr>
        <w:t xml:space="preserve">Teenusepakkuja pakkumine. </w:t>
      </w:r>
      <w:r>
        <w:t>Pakkuja võib siduda hinna või soodustuse osalejate arvuga, nt vähemalt 5 tellimust = 15% soodustus.</w:t>
      </w:r>
    </w:p>
    <w:p>
      <w:pPr>
        <w:pStyle w:val="ListBullet"/>
        <w:spacing w:after="40"/>
      </w:pPr>
      <w:r>
        <w:rPr>
          <w:b/>
        </w:rPr>
        <w:t xml:space="preserve">Aktsepteerimine. </w:t>
      </w:r>
      <w:r>
        <w:t>Ühistu aktsepteerib konkreetse pakkumise ning teeb sümboolse ettemakse.</w:t>
      </w:r>
    </w:p>
    <w:p>
      <w:pPr>
        <w:pStyle w:val="ListBullet"/>
        <w:spacing w:after="40"/>
      </w:pPr>
      <w:r>
        <w:rPr>
          <w:b/>
        </w:rPr>
        <w:t xml:space="preserve">Õnnestumine. </w:t>
      </w:r>
      <w:r>
        <w:t>Kui pakkumise/hanke tingimus (nt 5 aktiivset aktsepteerimist) on täidetud, fikseeritakse õnnestumine.</w:t>
      </w:r>
    </w:p>
    <w:p>
      <w:pPr>
        <w:pStyle w:val="ListBullet"/>
        <w:spacing w:after="40"/>
      </w:pPr>
      <w:r>
        <w:rPr>
          <w:b/>
        </w:rPr>
        <w:t xml:space="preserve">Raha loogika. </w:t>
      </w:r>
      <w:r>
        <w:t>Ebaõnnestunud hanke korral tehakse tagasimakse. Loobumise korral peab süsteem toetama mitte-tagastatavat ettemakset ja selle jagamist teenusepakkuja ning platvormi teenustasu vahel.</w:t>
      </w:r>
    </w:p>
    <w:tbl>
      <w:tblPr>
        <w:tblW w:type="auto" w:w="0"/>
        <w:jc w:val="center"/>
        <w:tblLook w:firstColumn="1" w:firstRow="1" w:lastColumn="0" w:lastRow="0" w:noHBand="0" w:noVBand="1" w:val="04A0"/>
      </w:tblPr>
      <w:tblGrid>
        <w:gridCol w:w="10224"/>
      </w:tblGrid>
      <w:tr>
        <w:tc>
          <w:tcPr>
            <w:tcW w:type="dxa" w:w="10224"/>
            <w:shd w:fill="F3F3F3"/>
            <w:tcMar>
              <w:top w:w="120" w:type="dxa"/>
              <w:start w:w="160" w:type="dxa"/>
              <w:bottom w:w="120" w:type="dxa"/>
              <w:end w:w="160" w:type="dxa"/>
            </w:tcMar>
          </w:tcPr>
          <w:p>
            <w:r>
              <w:rPr>
                <w:b/>
              </w:rPr>
              <w:t xml:space="preserve">Põhiprintsiip: </w:t>
            </w:r>
            <w:r>
              <w:t>andmemudel peab säilitama otsuste ajaloo. Pakkumise tingimusi, hindu ega ettemakse reegleid ei tohi pärast aktsepteerimist lihtsalt üle kirjutada; aktsepteerimise hetke tingimused salvestatakse snapshot’ina.</w:t>
            </w:r>
          </w:p>
        </w:tc>
      </w:tr>
    </w:tbl>
    <w:p>
      <w:pPr>
        <w:spacing w:after="20"/>
      </w:pPr>
    </w:p>
    <w:p>
      <w:pPr>
        <w:pStyle w:val="Heading1"/>
      </w:pPr>
      <w:r>
        <w:t>2. Andmedisaini põhimõtted</w:t>
      </w:r>
    </w:p>
    <w:p>
      <w:pPr>
        <w:spacing w:after="40"/>
        <w:ind w:left="259" w:hanging="259"/>
      </w:pPr>
      <w:r>
        <w:t>1.</w:t>
        <w:tab/>
      </w:r>
      <w:r>
        <w:t>Organisatsioon on keskne osapool: sama juriidiline isik võib eri hangetes olla algataja, osaleja või teenusepakkuja.</w:t>
      </w:r>
    </w:p>
    <w:p>
      <w:pPr>
        <w:spacing w:after="40"/>
        <w:ind w:left="259" w:hanging="259"/>
      </w:pPr>
      <w:r>
        <w:t>2.</w:t>
        <w:tab/>
      </w:r>
      <w:r>
        <w:t>Pakkumine ja hange on eraldi objektid: ühel hankel võib olla mitu teenusepakkuja pakkumist ning igal pakkumisel oma lävend ja hinnastamisreegel.</w:t>
      </w:r>
    </w:p>
    <w:p>
      <w:pPr>
        <w:spacing w:after="40"/>
        <w:ind w:left="259" w:hanging="259"/>
      </w:pPr>
      <w:r>
        <w:t>3.</w:t>
        <w:tab/>
      </w:r>
      <w:r>
        <w:t>Aktsepteerimine (commitment) on siduv sündmus, mitte lihtsalt “huvi”. Ainult nõuetele vastav aktiivne commitment loetakse lävendi täitumisse.</w:t>
      </w:r>
    </w:p>
    <w:p>
      <w:pPr>
        <w:spacing w:after="40"/>
        <w:ind w:left="259" w:hanging="259"/>
      </w:pPr>
      <w:r>
        <w:t>4.</w:t>
        <w:tab/>
      </w:r>
      <w:r>
        <w:t>Õnnestumise hetk on monotonne: kui lävend on kord nõuetekohaselt täidetud ja succeeded_at fikseeritud, ei kao õnnestumine hilisema loobumise tõttu automaatselt.</w:t>
      </w:r>
    </w:p>
    <w:p>
      <w:pPr>
        <w:spacing w:after="40"/>
        <w:ind w:left="259" w:hanging="259"/>
      </w:pPr>
      <w:r>
        <w:t>5.</w:t>
        <w:tab/>
      </w:r>
      <w:r>
        <w:t>Finantsliikumised on jälgitavad eraldi pearaamatu (ledger) kannetena; makse “status” üksi ei ole piisav auditijälg.</w:t>
      </w:r>
    </w:p>
    <w:p>
      <w:pPr>
        <w:spacing w:after="40"/>
        <w:ind w:left="259" w:hanging="259"/>
      </w:pPr>
      <w:r>
        <w:t>6.</w:t>
        <w:tab/>
      </w:r>
      <w:r>
        <w:t>Geograafiline lähedus arvutatakse koordinaatide põhjal, mitte aadressiteksti võrdlusega.</w:t>
      </w:r>
    </w:p>
    <w:p>
      <w:pPr>
        <w:spacing w:after="40"/>
        <w:ind w:left="259" w:hanging="259"/>
      </w:pPr>
      <w:r>
        <w:t>7.</w:t>
        <w:tab/>
      </w:r>
      <w:r>
        <w:t>Kõik kriitilised olekumuutused on auditeeritavad sündmustena ja webhook’ide töötlemine peab olema idempotentne.</w:t>
      </w:r>
    </w:p>
    <w:p>
      <w:pPr>
        <w:spacing w:after="40"/>
        <w:ind w:left="259" w:hanging="259"/>
      </w:pPr>
      <w:r>
        <w:t>8.</w:t>
        <w:tab/>
      </w:r>
      <w:r>
        <w:t>MVP skeem peab olema lihtne, kuid vältima hilisemat ümbertegemist kohtades, kus raha, lepingud ja osalejate arv on ärikriitilised.</w:t>
      </w:r>
    </w:p>
    <w:p>
      <w:pPr>
        <w:pStyle w:val="Heading1"/>
      </w:pPr>
      <w:r>
        <w:t>3. Põhiobjektid ja vastutus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EAEAEA"/>
            <w:vAlign w:val="center"/>
            <w:tcMar>
              <w:top w:w="70" w:type="dxa"/>
              <w:start w:w="90" w:type="dxa"/>
              <w:bottom w:w="70" w:type="dxa"/>
              <w:end w:w="90" w:type="dxa"/>
            </w:tcMar>
          </w:tcPr>
          <w:p>
            <w:pPr>
              <w:spacing w:after="0" w:before="0"/>
            </w:pPr>
            <w:r>
              <w:rPr>
                <w:rFonts w:ascii="Arial" w:hAnsi="Arial"/>
                <w:b/>
                <w:sz w:val="17"/>
              </w:rPr>
              <w:t>Objekt</w:t>
            </w:r>
          </w:p>
        </w:tc>
        <w:tc>
          <w:tcPr>
            <w:tcW w:type="dxa" w:w="5112"/>
            <w:shd w:fill="EAEAEA"/>
            <w:vAlign w:val="center"/>
            <w:tcMar>
              <w:top w:w="70" w:type="dxa"/>
              <w:start w:w="90" w:type="dxa"/>
              <w:bottom w:w="70" w:type="dxa"/>
              <w:end w:w="90" w:type="dxa"/>
            </w:tcMar>
          </w:tcPr>
          <w:p>
            <w:pPr>
              <w:spacing w:after="0" w:before="0"/>
            </w:pPr>
            <w:r>
              <w:rPr>
                <w:rFonts w:ascii="Arial" w:hAnsi="Arial"/>
                <w:b/>
                <w:sz w:val="17"/>
              </w:rPr>
              <w:t>Vastutus</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USER_ACCOUNT</w:t>
            </w:r>
          </w:p>
        </w:tc>
        <w:tc>
          <w:tcPr>
            <w:tcW w:type="dxa" w:w="5112"/>
            <w:vAlign w:val="center"/>
            <w:tcMar>
              <w:top w:w="70" w:type="dxa"/>
              <w:start w:w="90" w:type="dxa"/>
              <w:bottom w:w="70" w:type="dxa"/>
              <w:end w:w="90" w:type="dxa"/>
            </w:tcMar>
          </w:tcPr>
          <w:p>
            <w:pPr>
              <w:spacing w:after="0" w:before="0"/>
            </w:pPr>
            <w:r>
              <w:rPr>
                <w:rFonts w:ascii="Arial" w:hAnsi="Arial"/>
                <w:sz w:val="17"/>
              </w:rPr>
              <w:t>Platvormi füüsiline kasutaja; autentimine ja konto olek.</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ORGANIZATION</w:t>
            </w:r>
          </w:p>
        </w:tc>
        <w:tc>
          <w:tcPr>
            <w:tcW w:type="dxa" w:w="5112"/>
            <w:vAlign w:val="center"/>
            <w:tcMar>
              <w:top w:w="70" w:type="dxa"/>
              <w:start w:w="90" w:type="dxa"/>
              <w:bottom w:w="70" w:type="dxa"/>
              <w:end w:w="90" w:type="dxa"/>
            </w:tcMar>
          </w:tcPr>
          <w:p>
            <w:pPr>
              <w:spacing w:after="0" w:before="0"/>
            </w:pPr>
            <w:r>
              <w:rPr>
                <w:rFonts w:ascii="Arial" w:hAnsi="Arial"/>
                <w:sz w:val="17"/>
              </w:rPr>
              <w:t>Juriidiline osapool: korteriühistu, ettevõte, teenusepakkuja vm.</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ORGANIZATION_USER</w:t>
            </w:r>
          </w:p>
        </w:tc>
        <w:tc>
          <w:tcPr>
            <w:tcW w:type="dxa" w:w="5112"/>
            <w:vAlign w:val="center"/>
            <w:tcMar>
              <w:top w:w="70" w:type="dxa"/>
              <w:start w:w="90" w:type="dxa"/>
              <w:bottom w:w="70" w:type="dxa"/>
              <w:end w:w="90" w:type="dxa"/>
            </w:tcMar>
          </w:tcPr>
          <w:p>
            <w:pPr>
              <w:spacing w:after="0" w:before="0"/>
            </w:pPr>
            <w:r>
              <w:rPr>
                <w:rFonts w:ascii="Arial" w:hAnsi="Arial"/>
                <w:sz w:val="17"/>
              </w:rPr>
              <w:t>Seos kasutaja ja organisatsiooni vahel koos rolliga (admin, esindaja, vaatleja).</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ADDRESS</w:t>
            </w:r>
          </w:p>
        </w:tc>
        <w:tc>
          <w:tcPr>
            <w:tcW w:type="dxa" w:w="5112"/>
            <w:vAlign w:val="center"/>
            <w:tcMar>
              <w:top w:w="70" w:type="dxa"/>
              <w:start w:w="90" w:type="dxa"/>
              <w:bottom w:w="70" w:type="dxa"/>
              <w:end w:w="90" w:type="dxa"/>
            </w:tcMar>
          </w:tcPr>
          <w:p>
            <w:pPr>
              <w:spacing w:after="0" w:before="0"/>
            </w:pPr>
            <w:r>
              <w:rPr>
                <w:rFonts w:ascii="Arial" w:hAnsi="Arial"/>
                <w:sz w:val="17"/>
              </w:rPr>
              <w:t>Organisatsiooni aadress ja geokoordinaadid; vajalik 500 m kutsete jaoks.</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SERVICE_CATEGORY</w:t>
            </w:r>
          </w:p>
        </w:tc>
        <w:tc>
          <w:tcPr>
            <w:tcW w:type="dxa" w:w="5112"/>
            <w:vAlign w:val="center"/>
            <w:tcMar>
              <w:top w:w="70" w:type="dxa"/>
              <w:start w:w="90" w:type="dxa"/>
              <w:bottom w:w="70" w:type="dxa"/>
              <w:end w:w="90" w:type="dxa"/>
            </w:tcMar>
          </w:tcPr>
          <w:p>
            <w:pPr>
              <w:spacing w:after="0" w:before="0"/>
            </w:pPr>
            <w:r>
              <w:rPr>
                <w:rFonts w:ascii="Arial" w:hAnsi="Arial"/>
                <w:sz w:val="17"/>
              </w:rPr>
              <w:t>Teenuse klassifikatsioon (nt lumetõrje, haljastus, prügivedu).</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PROCUREMENT</w:t>
            </w:r>
          </w:p>
        </w:tc>
        <w:tc>
          <w:tcPr>
            <w:tcW w:type="dxa" w:w="5112"/>
            <w:vAlign w:val="center"/>
            <w:tcMar>
              <w:top w:w="70" w:type="dxa"/>
              <w:start w:w="90" w:type="dxa"/>
              <w:bottom w:w="70" w:type="dxa"/>
              <w:end w:w="90" w:type="dxa"/>
            </w:tcMar>
          </w:tcPr>
          <w:p>
            <w:pPr>
              <w:spacing w:after="0" w:before="0"/>
            </w:pPr>
            <w:r>
              <w:rPr>
                <w:rFonts w:ascii="Arial" w:hAnsi="Arial"/>
                <w:sz w:val="17"/>
              </w:rPr>
              <w:t>Ühishanke raam: vajadus, asukoht, raadius, tähtajad, algataja ja staatus.</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INVITATION</w:t>
            </w:r>
          </w:p>
        </w:tc>
        <w:tc>
          <w:tcPr>
            <w:tcW w:type="dxa" w:w="5112"/>
            <w:vAlign w:val="center"/>
            <w:tcMar>
              <w:top w:w="70" w:type="dxa"/>
              <w:start w:w="90" w:type="dxa"/>
              <w:bottom w:w="70" w:type="dxa"/>
              <w:end w:w="90" w:type="dxa"/>
            </w:tcMar>
          </w:tcPr>
          <w:p>
            <w:pPr>
              <w:spacing w:after="0" w:before="0"/>
            </w:pPr>
            <w:r>
              <w:rPr>
                <w:rFonts w:ascii="Arial" w:hAnsi="Arial"/>
                <w:sz w:val="17"/>
              </w:rPr>
              <w:t>Kutse organisatsioonile või teenusepakkujale konkreetse hankega liitumiseks/pakkumiseks.</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SUPPLIER_OFFER</w:t>
            </w:r>
          </w:p>
        </w:tc>
        <w:tc>
          <w:tcPr>
            <w:tcW w:type="dxa" w:w="5112"/>
            <w:vAlign w:val="center"/>
            <w:tcMar>
              <w:top w:w="70" w:type="dxa"/>
              <w:start w:w="90" w:type="dxa"/>
              <w:bottom w:w="70" w:type="dxa"/>
              <w:end w:w="90" w:type="dxa"/>
            </w:tcMar>
          </w:tcPr>
          <w:p>
            <w:pPr>
              <w:spacing w:after="0" w:before="0"/>
            </w:pPr>
            <w:r>
              <w:rPr>
                <w:rFonts w:ascii="Arial" w:hAnsi="Arial"/>
                <w:sz w:val="17"/>
              </w:rPr>
              <w:t>Teenusepakkuja kommertspakkumine konkreetsele hankele.</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OFFER_TIER</w:t>
            </w:r>
          </w:p>
        </w:tc>
        <w:tc>
          <w:tcPr>
            <w:tcW w:type="dxa" w:w="5112"/>
            <w:vAlign w:val="center"/>
            <w:tcMar>
              <w:top w:w="70" w:type="dxa"/>
              <w:start w:w="90" w:type="dxa"/>
              <w:bottom w:w="70" w:type="dxa"/>
              <w:end w:w="90" w:type="dxa"/>
            </w:tcMar>
          </w:tcPr>
          <w:p>
            <w:pPr>
              <w:spacing w:after="0" w:before="0"/>
            </w:pPr>
            <w:r>
              <w:rPr>
                <w:rFonts w:ascii="Arial" w:hAnsi="Arial"/>
                <w:sz w:val="17"/>
              </w:rPr>
              <w:t>Pakkumise lävend/hinnatase: min osalejaid, allahindlus või ühikhind.</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COMMITMENT</w:t>
            </w:r>
          </w:p>
        </w:tc>
        <w:tc>
          <w:tcPr>
            <w:tcW w:type="dxa" w:w="5112"/>
            <w:vAlign w:val="center"/>
            <w:tcMar>
              <w:top w:w="70" w:type="dxa"/>
              <w:start w:w="90" w:type="dxa"/>
              <w:bottom w:w="70" w:type="dxa"/>
              <w:end w:w="90" w:type="dxa"/>
            </w:tcMar>
          </w:tcPr>
          <w:p>
            <w:pPr>
              <w:spacing w:after="0" w:before="0"/>
            </w:pPr>
            <w:r>
              <w:rPr>
                <w:rFonts w:ascii="Arial" w:hAnsi="Arial"/>
                <w:sz w:val="17"/>
              </w:rPr>
              <w:t>Ostja/ühistu siduv aktsepteerimine konkreetsele pakkumisele ja tier’ile.</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PAYMENT</w:t>
            </w:r>
          </w:p>
        </w:tc>
        <w:tc>
          <w:tcPr>
            <w:tcW w:type="dxa" w:w="5112"/>
            <w:vAlign w:val="center"/>
            <w:tcMar>
              <w:top w:w="70" w:type="dxa"/>
              <w:start w:w="90" w:type="dxa"/>
              <w:bottom w:w="70" w:type="dxa"/>
              <w:end w:w="90" w:type="dxa"/>
            </w:tcMar>
          </w:tcPr>
          <w:p>
            <w:pPr>
              <w:spacing w:after="0" w:before="0"/>
            </w:pPr>
            <w:r>
              <w:rPr>
                <w:rFonts w:ascii="Arial" w:hAnsi="Arial"/>
                <w:sz w:val="17"/>
              </w:rPr>
              <w:t>Maksekorraldus või ettemakse konkreetse commitment’i kohta.</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LEDGER_ENTRY</w:t>
            </w:r>
          </w:p>
        </w:tc>
        <w:tc>
          <w:tcPr>
            <w:tcW w:type="dxa" w:w="5112"/>
            <w:vAlign w:val="center"/>
            <w:tcMar>
              <w:top w:w="70" w:type="dxa"/>
              <w:start w:w="90" w:type="dxa"/>
              <w:bottom w:w="70" w:type="dxa"/>
              <w:end w:w="90" w:type="dxa"/>
            </w:tcMar>
          </w:tcPr>
          <w:p>
            <w:pPr>
              <w:spacing w:after="0" w:before="0"/>
            </w:pPr>
            <w:r>
              <w:rPr>
                <w:rFonts w:ascii="Arial" w:hAnsi="Arial"/>
                <w:sz w:val="17"/>
              </w:rPr>
              <w:t>Finantskande ajalugu: laekumine, tagastus, teenustasu, väljamakse, korrigeerimine.</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CONTRACT</w:t>
            </w:r>
          </w:p>
        </w:tc>
        <w:tc>
          <w:tcPr>
            <w:tcW w:type="dxa" w:w="5112"/>
            <w:vAlign w:val="center"/>
            <w:tcMar>
              <w:top w:w="70" w:type="dxa"/>
              <w:start w:w="90" w:type="dxa"/>
              <w:bottom w:w="70" w:type="dxa"/>
              <w:end w:w="90" w:type="dxa"/>
            </w:tcMar>
          </w:tcPr>
          <w:p>
            <w:pPr>
              <w:spacing w:after="0" w:before="0"/>
            </w:pPr>
            <w:r>
              <w:rPr>
                <w:rFonts w:ascii="Arial" w:hAnsi="Arial"/>
                <w:sz w:val="17"/>
              </w:rPr>
              <w:t>Õnnestunud hanke/pakkumise põhjal loodud lepinguline tulemus.</w:t>
            </w:r>
          </w:p>
        </w:tc>
      </w:tr>
      <w:tr>
        <w:trPr>
          <w:cantSplit/>
        </w:trPr>
        <w:tc>
          <w:tcPr>
            <w:tcW w:type="dxa" w:w="5112"/>
            <w:vAlign w:val="center"/>
            <w:tcMar>
              <w:top w:w="70" w:type="dxa"/>
              <w:start w:w="90" w:type="dxa"/>
              <w:bottom w:w="70" w:type="dxa"/>
              <w:end w:w="90" w:type="dxa"/>
            </w:tcMar>
          </w:tcPr>
          <w:p>
            <w:pPr>
              <w:spacing w:after="0" w:before="0"/>
            </w:pPr>
            <w:r>
              <w:rPr>
                <w:rFonts w:ascii="Arial" w:hAnsi="Arial"/>
                <w:sz w:val="17"/>
              </w:rPr>
              <w:t>AUDIT_EVENT</w:t>
            </w:r>
          </w:p>
        </w:tc>
        <w:tc>
          <w:tcPr>
            <w:tcW w:type="dxa" w:w="5112"/>
            <w:vAlign w:val="center"/>
            <w:tcMar>
              <w:top w:w="70" w:type="dxa"/>
              <w:start w:w="90" w:type="dxa"/>
              <w:bottom w:w="70" w:type="dxa"/>
              <w:end w:w="90" w:type="dxa"/>
            </w:tcMar>
          </w:tcPr>
          <w:p>
            <w:pPr>
              <w:spacing w:after="0" w:before="0"/>
            </w:pPr>
            <w:r>
              <w:rPr>
                <w:rFonts w:ascii="Arial" w:hAnsi="Arial"/>
                <w:sz w:val="17"/>
              </w:rPr>
              <w:t>Ärikriitilise sündmuse muutmatu logi koos payload’iga.</w:t>
            </w:r>
          </w:p>
        </w:tc>
      </w:tr>
    </w:tbl>
    <w:p>
      <w:pPr>
        <w:pStyle w:val="Heading1"/>
      </w:pPr>
      <w:r>
        <w:t>4. Loogiline ER-mudel</w:t>
      </w:r>
    </w:p>
    <w:p>
      <w:pPr>
        <w:jc w:val="left"/>
      </w:pPr>
      <w:r>
        <w:t>Allolev skeem näitab MVP põhiseoseid. AUDIT_EVENT on teadlikult nõrgalt seotud: see viitab objektile tüübi ja ID kaudu, et logi saaks katta kõiki ärikriitilisi objekte ilma kümnete välisvõtmeteta.</w:t>
      </w:r>
    </w:p>
    <w:p>
      <w:r>
        <w:drawing>
          <wp:inline xmlns:a="http://schemas.openxmlformats.org/drawingml/2006/main" xmlns:pic="http://schemas.openxmlformats.org/drawingml/2006/picture">
            <wp:extent cx="6400800" cy="8088040"/>
            <wp:docPr id="1" name="Picture 1"/>
            <wp:cNvGraphicFramePr>
              <a:graphicFrameLocks noChangeAspect="1"/>
            </wp:cNvGraphicFramePr>
            <a:graphic>
              <a:graphicData uri="http://schemas.openxmlformats.org/drawingml/2006/picture">
                <pic:pic>
                  <pic:nvPicPr>
                    <pic:cNvPr id="0" name="uhishange_erd.png"/>
                    <pic:cNvPicPr/>
                  </pic:nvPicPr>
                  <pic:blipFill>
                    <a:blip r:embed="rId9"/>
                    <a:stretch>
                      <a:fillRect/>
                    </a:stretch>
                  </pic:blipFill>
                  <pic:spPr>
                    <a:xfrm>
                      <a:off x="0" y="0"/>
                      <a:ext cx="6400800" cy="8088040"/>
                    </a:xfrm>
                    <a:prstGeom prst="rect"/>
                  </pic:spPr>
                </pic:pic>
              </a:graphicData>
            </a:graphic>
          </wp:inline>
        </w:drawing>
      </w:r>
    </w:p>
    <w:p>
      <w:pPr>
        <w:pStyle w:val="Heading1"/>
      </w:pPr>
      <w:r>
        <w:t>5. Soovituslik loogiline andmeskeem</w:t>
      </w:r>
    </w:p>
    <w:p>
      <w:pPr>
        <w:pStyle w:val="Heading2"/>
      </w:pPr>
      <w:r>
        <w:t>5.1 ORGANIZATION</w:t>
      </w:r>
    </w:p>
    <w:p>
      <w:r>
        <w:t>Juriidiline osapool; registriandmed eraldatakse kasutajakontost.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t>Sisemine püsiv ID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registry_code</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UNIQUE</w:t>
            </w:r>
          </w:p>
        </w:tc>
        <w:tc>
          <w:tcPr>
            <w:tcW w:type="dxa" w:w="2556"/>
            <w:vAlign w:val="center"/>
            <w:tcMar>
              <w:top w:w="70" w:type="dxa"/>
              <w:start w:w="90" w:type="dxa"/>
              <w:bottom w:w="70" w:type="dxa"/>
              <w:end w:w="90" w:type="dxa"/>
            </w:tcMar>
          </w:tcPr>
          <w:p>
            <w:pPr>
              <w:spacing w:after="0" w:before="0"/>
            </w:pPr>
            <w:r>
              <w:rPr>
                <w:rFonts w:ascii="Arial" w:hAnsi="Arial"/>
                <w:sz w:val="16"/>
              </w:rPr>
              <w:t>Äriregistri kood, kui olemas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name</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Ametlik nimi</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org_type</w:t>
            </w:r>
          </w:p>
        </w:tc>
        <w:tc>
          <w:tcPr>
            <w:tcW w:type="dxa" w:w="2556"/>
            <w:vAlign w:val="center"/>
            <w:tcMar>
              <w:top w:w="70" w:type="dxa"/>
              <w:start w:w="90" w:type="dxa"/>
              <w:bottom w:w="70" w:type="dxa"/>
              <w:end w:w="90" w:type="dxa"/>
            </w:tcMar>
          </w:tcPr>
          <w:p>
            <w:pPr>
              <w:spacing w:after="0" w:before="0"/>
            </w:pPr>
            <w:r>
              <w:rPr>
                <w:rFonts w:ascii="Arial" w:hAnsi="Arial"/>
                <w:sz w:val="16"/>
              </w:rPr>
              <w:t>enum/varchar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housing_association, business, supplier, public_body jne; vajadusel M:N rollid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status</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active, inactive, blocked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created_at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Loomise aeg</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updated_at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Viimane muutmine</w:t>
            </w:r>
          </w:p>
        </w:tc>
      </w:tr>
    </w:tbl>
    <w:p>
      <w:pPr>
        <w:pStyle w:val="Heading2"/>
      </w:pPr>
      <w:r>
        <w:t>5.2 ADDRESS</w:t>
      </w:r>
    </w:p>
    <w:p>
      <w:r>
        <w:t>Aadress + geomeetria piirkondliku kutse arvutamiseks.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organization_id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t>→ ORGANIZATION</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address_text</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Kasutajale kuvatav aadress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postal_code</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latitude</w:t>
            </w:r>
          </w:p>
        </w:tc>
        <w:tc>
          <w:tcPr>
            <w:tcW w:type="dxa" w:w="2556"/>
            <w:vAlign w:val="center"/>
            <w:tcMar>
              <w:top w:w="70" w:type="dxa"/>
              <w:start w:w="90" w:type="dxa"/>
              <w:bottom w:w="70" w:type="dxa"/>
              <w:end w:w="90" w:type="dxa"/>
            </w:tcMar>
          </w:tcPr>
          <w:p>
            <w:pPr>
              <w:spacing w:after="0" w:before="0"/>
            </w:pPr>
            <w:r>
              <w:rPr>
                <w:rFonts w:ascii="Arial" w:hAnsi="Arial"/>
                <w:sz w:val="16"/>
              </w:rPr>
              <w:t>decimal</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Vajalik ruumipäringuteks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longitude</w:t>
            </w:r>
          </w:p>
        </w:tc>
        <w:tc>
          <w:tcPr>
            <w:tcW w:type="dxa" w:w="2556"/>
            <w:vAlign w:val="center"/>
            <w:tcMar>
              <w:top w:w="70" w:type="dxa"/>
              <w:start w:w="90" w:type="dxa"/>
              <w:bottom w:w="70" w:type="dxa"/>
              <w:end w:w="90" w:type="dxa"/>
            </w:tcMar>
          </w:tcPr>
          <w:p>
            <w:pPr>
              <w:spacing w:after="0" w:before="0"/>
            </w:pPr>
            <w:r>
              <w:rPr>
                <w:rFonts w:ascii="Arial" w:hAnsi="Arial"/>
                <w:sz w:val="16"/>
              </w:rPr>
              <w:t>decimal</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Vajalik ruumipäringuteks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geo_point</w:t>
            </w:r>
          </w:p>
        </w:tc>
        <w:tc>
          <w:tcPr>
            <w:tcW w:type="dxa" w:w="2556"/>
            <w:vAlign w:val="center"/>
            <w:tcMar>
              <w:top w:w="70" w:type="dxa"/>
              <w:start w:w="90" w:type="dxa"/>
              <w:bottom w:w="70" w:type="dxa"/>
              <w:end w:w="90" w:type="dxa"/>
            </w:tcMar>
          </w:tcPr>
          <w:p>
            <w:pPr>
              <w:spacing w:after="0" w:before="0"/>
            </w:pPr>
            <w:r>
              <w:rPr>
                <w:rFonts w:ascii="Arial" w:hAnsi="Arial"/>
                <w:sz w:val="16"/>
              </w:rPr>
              <w:t>geography(Point,4326)</w:t>
            </w:r>
          </w:p>
        </w:tc>
        <w:tc>
          <w:tcPr>
            <w:tcW w:type="dxa" w:w="2556"/>
            <w:vAlign w:val="center"/>
            <w:tcMar>
              <w:top w:w="70" w:type="dxa"/>
              <w:start w:w="90" w:type="dxa"/>
              <w:bottom w:w="70" w:type="dxa"/>
              <w:end w:w="90" w:type="dxa"/>
            </w:tcMar>
          </w:tcPr>
          <w:p>
            <w:pPr>
              <w:spacing w:after="0" w:before="0"/>
            </w:pPr>
            <w:r>
              <w:rPr>
                <w:rFonts w:ascii="Arial" w:hAnsi="Arial"/>
                <w:sz w:val="16"/>
              </w:rPr>
              <w:t>soovituslik</w:t>
            </w:r>
          </w:p>
        </w:tc>
        <w:tc>
          <w:tcPr>
            <w:tcW w:type="dxa" w:w="2556"/>
            <w:vAlign w:val="center"/>
            <w:tcMar>
              <w:top w:w="70" w:type="dxa"/>
              <w:start w:w="90" w:type="dxa"/>
              <w:bottom w:w="70" w:type="dxa"/>
              <w:end w:w="90" w:type="dxa"/>
            </w:tcMar>
          </w:tcPr>
          <w:p>
            <w:pPr>
              <w:spacing w:after="0" w:before="0"/>
            </w:pPr>
            <w:r>
              <w:rPr>
                <w:rFonts w:ascii="Arial" w:hAnsi="Arial"/>
                <w:sz w:val="16"/>
              </w:rPr>
              <w:t>PostGIS; ruumipäringute jaoks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is_primary</w:t>
            </w:r>
          </w:p>
        </w:tc>
        <w:tc>
          <w:tcPr>
            <w:tcW w:type="dxa" w:w="2556"/>
            <w:vAlign w:val="center"/>
            <w:tcMar>
              <w:top w:w="70" w:type="dxa"/>
              <w:start w:w="90" w:type="dxa"/>
              <w:bottom w:w="70" w:type="dxa"/>
              <w:end w:w="90" w:type="dxa"/>
            </w:tcMar>
          </w:tcPr>
          <w:p>
            <w:pPr>
              <w:spacing w:after="0" w:before="0"/>
            </w:pPr>
            <w:r>
              <w:rPr>
                <w:rFonts w:ascii="Arial" w:hAnsi="Arial"/>
                <w:sz w:val="16"/>
              </w:rPr>
              <w:t>boolean</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Põhiaadress</w:t>
            </w:r>
          </w:p>
        </w:tc>
      </w:tr>
    </w:tbl>
    <w:p>
      <w:pPr>
        <w:pStyle w:val="Heading2"/>
      </w:pPr>
      <w:r>
        <w:t>5.3 PROCUREMENT</w:t>
      </w:r>
    </w:p>
    <w:p>
      <w:r>
        <w:t>Ühishanke tuumobjekt.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initiator_org_id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t>Hanke algataja</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service_category_id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t>Teenuse liik</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title</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Nt “Lumelükkamine 2026/27”</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description</w:t>
            </w:r>
          </w:p>
        </w:tc>
        <w:tc>
          <w:tcPr>
            <w:tcW w:type="dxa" w:w="2556"/>
            <w:vAlign w:val="center"/>
            <w:tcMar>
              <w:top w:w="70" w:type="dxa"/>
              <w:start w:w="90" w:type="dxa"/>
              <w:bottom w:w="70" w:type="dxa"/>
              <w:end w:w="90" w:type="dxa"/>
            </w:tcMar>
          </w:tcPr>
          <w:p>
            <w:pPr>
              <w:spacing w:after="0" w:before="0"/>
            </w:pPr>
            <w:r>
              <w:rPr>
                <w:rFonts w:ascii="Arial" w:hAnsi="Arial"/>
                <w:sz w:val="16"/>
              </w:rPr>
              <w:t>text</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Vajaduse sisu</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location_point</w:t>
            </w:r>
          </w:p>
        </w:tc>
        <w:tc>
          <w:tcPr>
            <w:tcW w:type="dxa" w:w="2556"/>
            <w:vAlign w:val="center"/>
            <w:tcMar>
              <w:top w:w="70" w:type="dxa"/>
              <w:start w:w="90" w:type="dxa"/>
              <w:bottom w:w="70" w:type="dxa"/>
              <w:end w:w="90" w:type="dxa"/>
            </w:tcMar>
          </w:tcPr>
          <w:p>
            <w:pPr>
              <w:spacing w:after="0" w:before="0"/>
            </w:pPr>
            <w:r>
              <w:rPr>
                <w:rFonts w:ascii="Arial" w:hAnsi="Arial"/>
                <w:sz w:val="16"/>
              </w:rPr>
              <w:t>geography(Point,4326)</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Hanke keskpunkt</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radius_m</w:t>
            </w:r>
          </w:p>
        </w:tc>
        <w:tc>
          <w:tcPr>
            <w:tcW w:type="dxa" w:w="2556"/>
            <w:vAlign w:val="center"/>
            <w:tcMar>
              <w:top w:w="70" w:type="dxa"/>
              <w:start w:w="90" w:type="dxa"/>
              <w:bottom w:w="70" w:type="dxa"/>
              <w:end w:w="90" w:type="dxa"/>
            </w:tcMar>
          </w:tcPr>
          <w:p>
            <w:pPr>
              <w:spacing w:after="0" w:before="0"/>
            </w:pPr>
            <w:r>
              <w:rPr>
                <w:rFonts w:ascii="Arial" w:hAnsi="Arial"/>
                <w:sz w:val="16"/>
              </w:rPr>
              <w:t>integer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Vaikimisi nt 500</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join_deadline_at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Osalemise lõpp</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offer_deadline_at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Pakkujate pakkumiste lõpp</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status</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DRAFT, OPEN, SUCCEEDED, FAILED, CONTRACTED, COMPLETED, CANCELLED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succeeded_at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Lukustub tingimuste täitumisel</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awarded_offer_id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NULL FK</w:t>
            </w:r>
          </w:p>
        </w:tc>
        <w:tc>
          <w:tcPr>
            <w:tcW w:type="dxa" w:w="2556"/>
            <w:vAlign w:val="center"/>
            <w:tcMar>
              <w:top w:w="70" w:type="dxa"/>
              <w:start w:w="90" w:type="dxa"/>
              <w:bottom w:w="70" w:type="dxa"/>
              <w:end w:w="90" w:type="dxa"/>
            </w:tcMar>
          </w:tcPr>
          <w:p>
            <w:pPr>
              <w:spacing w:after="0" w:before="0"/>
            </w:pPr>
            <w:r>
              <w:rPr>
                <w:rFonts w:ascii="Arial" w:hAnsi="Arial"/>
                <w:sz w:val="16"/>
              </w:rPr>
              <w:t>Kui ärireegel lubab ühe võitja</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created_at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r>
          </w:p>
        </w:tc>
      </w:tr>
    </w:tbl>
    <w:p>
      <w:pPr>
        <w:pStyle w:val="Heading2"/>
      </w:pPr>
      <w:r>
        <w:t>5.4 INVITATION</w:t>
      </w:r>
    </w:p>
    <w:p>
      <w:r>
        <w:t>Üks kutse ühele sihtorganisatsioonile; eristab potentsiaalse ostja ja teenusepakkuja kutset.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procurement_id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target_org_id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FK/NULL</w:t>
            </w:r>
          </w:p>
        </w:tc>
        <w:tc>
          <w:tcPr>
            <w:tcW w:type="dxa" w:w="2556"/>
            <w:vAlign w:val="center"/>
            <w:tcMar>
              <w:top w:w="70" w:type="dxa"/>
              <w:start w:w="90" w:type="dxa"/>
              <w:bottom w:w="70" w:type="dxa"/>
              <w:end w:w="90" w:type="dxa"/>
            </w:tcMar>
          </w:tcPr>
          <w:p>
            <w:pPr>
              <w:spacing w:after="0" w:before="0"/>
            </w:pPr>
            <w:r>
              <w:rPr>
                <w:rFonts w:ascii="Arial" w:hAnsi="Arial"/>
                <w:sz w:val="16"/>
              </w:rPr>
              <w:t>Kui organisatsioon on süsteemis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target_registry_code</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Registrist leitud siht</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invite_type</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BUYER_JOIN või SUPPLIER_OFFER</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distance_m</w:t>
            </w:r>
          </w:p>
        </w:tc>
        <w:tc>
          <w:tcPr>
            <w:tcW w:type="dxa" w:w="2556"/>
            <w:vAlign w:val="center"/>
            <w:tcMar>
              <w:top w:w="70" w:type="dxa"/>
              <w:start w:w="90" w:type="dxa"/>
              <w:bottom w:w="70" w:type="dxa"/>
              <w:end w:w="90" w:type="dxa"/>
            </w:tcMar>
          </w:tcPr>
          <w:p>
            <w:pPr>
              <w:spacing w:after="0" w:before="0"/>
            </w:pPr>
            <w:r>
              <w:rPr>
                <w:rFonts w:ascii="Arial" w:hAnsi="Arial"/>
                <w:sz w:val="16"/>
              </w:rPr>
              <w:t>integer</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Kutset genereerides arvutatud kaugus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status</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CREATED, SENT, OPENED, ACCEPTED, DECLINED, EXPIRED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sent_at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source</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registry, manual, referral</w:t>
            </w:r>
          </w:p>
        </w:tc>
      </w:tr>
    </w:tbl>
    <w:p>
      <w:pPr>
        <w:pStyle w:val="Heading2"/>
      </w:pPr>
      <w:r>
        <w:t>5.5 SUPPLIER_OFFER</w:t>
      </w:r>
    </w:p>
    <w:p>
      <w:r>
        <w:t>Teenusepakkuja pakkumine. Tingimused versioonitakse ja säilitatakse.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procurement_id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supplier_org_id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status</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DRAFT, PUBLISHED, THRESHOLD_MET, SELECTED, EXPIRED, CANCELLED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base_price</w:t>
            </w:r>
          </w:p>
        </w:tc>
        <w:tc>
          <w:tcPr>
            <w:tcW w:type="dxa" w:w="2556"/>
            <w:vAlign w:val="center"/>
            <w:tcMar>
              <w:top w:w="70" w:type="dxa"/>
              <w:start w:w="90" w:type="dxa"/>
              <w:bottom w:w="70" w:type="dxa"/>
              <w:end w:w="90" w:type="dxa"/>
            </w:tcMar>
          </w:tcPr>
          <w:p>
            <w:pPr>
              <w:spacing w:after="0" w:before="0"/>
            </w:pPr>
            <w:r>
              <w:rPr>
                <w:rFonts w:ascii="Arial" w:hAnsi="Arial"/>
                <w:sz w:val="16"/>
              </w:rPr>
              <w:t>numeric(12,2)</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Kui kasutatakse lähtehinda</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currency</w:t>
            </w:r>
          </w:p>
        </w:tc>
        <w:tc>
          <w:tcPr>
            <w:tcW w:type="dxa" w:w="2556"/>
            <w:vAlign w:val="center"/>
            <w:tcMar>
              <w:top w:w="70" w:type="dxa"/>
              <w:start w:w="90" w:type="dxa"/>
              <w:bottom w:w="70" w:type="dxa"/>
              <w:end w:w="90" w:type="dxa"/>
            </w:tcMar>
          </w:tcPr>
          <w:p>
            <w:pPr>
              <w:spacing w:after="0" w:before="0"/>
            </w:pPr>
            <w:r>
              <w:rPr>
                <w:rFonts w:ascii="Arial" w:hAnsi="Arial"/>
                <w:sz w:val="16"/>
              </w:rPr>
              <w:t>char(3)</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EUR</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terms_text</w:t>
            </w:r>
          </w:p>
        </w:tc>
        <w:tc>
          <w:tcPr>
            <w:tcW w:type="dxa" w:w="2556"/>
            <w:vAlign w:val="center"/>
            <w:tcMar>
              <w:top w:w="70" w:type="dxa"/>
              <w:start w:w="90" w:type="dxa"/>
              <w:bottom w:w="70" w:type="dxa"/>
              <w:end w:w="90" w:type="dxa"/>
            </w:tcMar>
          </w:tcPr>
          <w:p>
            <w:pPr>
              <w:spacing w:after="0" w:before="0"/>
            </w:pPr>
            <w:r>
              <w:rPr>
                <w:rFonts w:ascii="Arial" w:hAnsi="Arial"/>
                <w:sz w:val="16"/>
              </w:rPr>
              <w:t>text</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Inimloetavad tingimused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terms_version</w:t>
            </w:r>
          </w:p>
        </w:tc>
        <w:tc>
          <w:tcPr>
            <w:tcW w:type="dxa" w:w="2556"/>
            <w:vAlign w:val="center"/>
            <w:tcMar>
              <w:top w:w="70" w:type="dxa"/>
              <w:start w:w="90" w:type="dxa"/>
              <w:bottom w:w="70" w:type="dxa"/>
              <w:end w:w="90" w:type="dxa"/>
            </w:tcMar>
          </w:tcPr>
          <w:p>
            <w:pPr>
              <w:spacing w:after="0" w:before="0"/>
            </w:pPr>
            <w:r>
              <w:rPr>
                <w:rFonts w:ascii="Arial" w:hAnsi="Arial"/>
                <w:sz w:val="16"/>
              </w:rPr>
              <w:t>integer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Tingimuste versioon</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valid_until</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published_at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bl>
    <w:p>
      <w:pPr>
        <w:pStyle w:val="Heading2"/>
      </w:pPr>
      <w:r>
        <w:t>5.6 OFFER_TIER</w:t>
      </w:r>
    </w:p>
    <w:p>
      <w:r>
        <w:t>Toetab mitut lävendit ühe pakkumise sees, nt 3 osalejat = 10%, 5 = 15%, 10 = 20%.</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offer_id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min_commitments</w:t>
            </w:r>
          </w:p>
        </w:tc>
        <w:tc>
          <w:tcPr>
            <w:tcW w:type="dxa" w:w="2556"/>
            <w:vAlign w:val="center"/>
            <w:tcMar>
              <w:top w:w="70" w:type="dxa"/>
              <w:start w:w="90" w:type="dxa"/>
              <w:bottom w:w="70" w:type="dxa"/>
              <w:end w:w="90" w:type="dxa"/>
            </w:tcMar>
          </w:tcPr>
          <w:p>
            <w:pPr>
              <w:spacing w:after="0" w:before="0"/>
            </w:pPr>
            <w:r>
              <w:rPr>
                <w:rFonts w:ascii="Arial" w:hAnsi="Arial"/>
                <w:sz w:val="16"/>
              </w:rPr>
              <w:t>integer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Lävendi minimaalne aktiivsete commitment’ide arv</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discount_pct</w:t>
            </w:r>
          </w:p>
        </w:tc>
        <w:tc>
          <w:tcPr>
            <w:tcW w:type="dxa" w:w="2556"/>
            <w:vAlign w:val="center"/>
            <w:tcMar>
              <w:top w:w="70" w:type="dxa"/>
              <w:start w:w="90" w:type="dxa"/>
              <w:bottom w:w="70" w:type="dxa"/>
              <w:end w:w="90" w:type="dxa"/>
            </w:tcMar>
          </w:tcPr>
          <w:p>
            <w:pPr>
              <w:spacing w:after="0" w:before="0"/>
            </w:pPr>
            <w:r>
              <w:rPr>
                <w:rFonts w:ascii="Arial" w:hAnsi="Arial"/>
                <w:sz w:val="16"/>
              </w:rPr>
              <w:t>numeric(5,2)</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Alternatiiv hinnale</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unit_price</w:t>
            </w:r>
          </w:p>
        </w:tc>
        <w:tc>
          <w:tcPr>
            <w:tcW w:type="dxa" w:w="2556"/>
            <w:vAlign w:val="center"/>
            <w:tcMar>
              <w:top w:w="70" w:type="dxa"/>
              <w:start w:w="90" w:type="dxa"/>
              <w:bottom w:w="70" w:type="dxa"/>
              <w:end w:w="90" w:type="dxa"/>
            </w:tcMar>
          </w:tcPr>
          <w:p>
            <w:pPr>
              <w:spacing w:after="0" w:before="0"/>
            </w:pPr>
            <w:r>
              <w:rPr>
                <w:rFonts w:ascii="Arial" w:hAnsi="Arial"/>
                <w:sz w:val="16"/>
              </w:rPr>
              <w:t>numeric(12,2)</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Alternatiiv soodustusele</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deposit_amount</w:t>
            </w:r>
          </w:p>
        </w:tc>
        <w:tc>
          <w:tcPr>
            <w:tcW w:type="dxa" w:w="2556"/>
            <w:vAlign w:val="center"/>
            <w:tcMar>
              <w:top w:w="70" w:type="dxa"/>
              <w:start w:w="90" w:type="dxa"/>
              <w:bottom w:w="70" w:type="dxa"/>
              <w:end w:w="90" w:type="dxa"/>
            </w:tcMar>
          </w:tcPr>
          <w:p>
            <w:pPr>
              <w:spacing w:after="0" w:before="0"/>
            </w:pPr>
            <w:r>
              <w:rPr>
                <w:rFonts w:ascii="Arial" w:hAnsi="Arial"/>
                <w:sz w:val="16"/>
              </w:rPr>
              <w:t>numeric(12,2)</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Ettemakse suurus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sort_order</w:t>
            </w:r>
          </w:p>
        </w:tc>
        <w:tc>
          <w:tcPr>
            <w:tcW w:type="dxa" w:w="2556"/>
            <w:vAlign w:val="center"/>
            <w:tcMar>
              <w:top w:w="70" w:type="dxa"/>
              <w:start w:w="90" w:type="dxa"/>
              <w:bottom w:w="70" w:type="dxa"/>
              <w:end w:w="90" w:type="dxa"/>
            </w:tcMar>
          </w:tcPr>
          <w:p>
            <w:pPr>
              <w:spacing w:after="0" w:before="0"/>
            </w:pPr>
            <w:r>
              <w:rPr>
                <w:rFonts w:ascii="Arial" w:hAnsi="Arial"/>
                <w:sz w:val="16"/>
              </w:rPr>
              <w:t>integer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Lävendite järjestus</w:t>
            </w:r>
          </w:p>
        </w:tc>
      </w:tr>
    </w:tbl>
    <w:p>
      <w:pPr>
        <w:pStyle w:val="Heading2"/>
      </w:pPr>
      <w:r>
        <w:t>5.7 COMMITMENT</w:t>
      </w:r>
    </w:p>
    <w:p>
      <w:r>
        <w:t>Osaleja siduv aktsepteerimine. See on lävendi arvutuse lähteobjekt.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offer_id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buyer_org_id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tier_id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t>Aktsepteerimise hetke tier</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status</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PENDING_PAYMENT, ACTIVE, WITHDRAWN, REFUNDED, CONTRACTED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quantity</w:t>
            </w:r>
          </w:p>
        </w:tc>
        <w:tc>
          <w:tcPr>
            <w:tcW w:type="dxa" w:w="2556"/>
            <w:vAlign w:val="center"/>
            <w:tcMar>
              <w:top w:w="70" w:type="dxa"/>
              <w:start w:w="90" w:type="dxa"/>
              <w:bottom w:w="70" w:type="dxa"/>
              <w:end w:w="90" w:type="dxa"/>
            </w:tcMar>
          </w:tcPr>
          <w:p>
            <w:pPr>
              <w:spacing w:after="0" w:before="0"/>
            </w:pPr>
            <w:r>
              <w:rPr>
                <w:rFonts w:ascii="Arial" w:hAnsi="Arial"/>
                <w:sz w:val="16"/>
              </w:rPr>
              <w:t>numeric</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Kui teenus on kogusepõhine</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accepted_at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withdrawn_at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price_snapshot</w:t>
            </w:r>
          </w:p>
        </w:tc>
        <w:tc>
          <w:tcPr>
            <w:tcW w:type="dxa" w:w="2556"/>
            <w:vAlign w:val="center"/>
            <w:tcMar>
              <w:top w:w="70" w:type="dxa"/>
              <w:start w:w="90" w:type="dxa"/>
              <w:bottom w:w="70" w:type="dxa"/>
              <w:end w:w="90" w:type="dxa"/>
            </w:tcMar>
          </w:tcPr>
          <w:p>
            <w:pPr>
              <w:spacing w:after="0" w:before="0"/>
            </w:pPr>
            <w:r>
              <w:rPr>
                <w:rFonts w:ascii="Arial" w:hAnsi="Arial"/>
                <w:sz w:val="16"/>
              </w:rPr>
              <w:t>jsonb</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Hind, allahindlus, ettemakse, käibemaks jm aktsepteerimise hetkel</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terms_snapshot</w:t>
            </w:r>
          </w:p>
        </w:tc>
        <w:tc>
          <w:tcPr>
            <w:tcW w:type="dxa" w:w="2556"/>
            <w:vAlign w:val="center"/>
            <w:tcMar>
              <w:top w:w="70" w:type="dxa"/>
              <w:start w:w="90" w:type="dxa"/>
              <w:bottom w:w="70" w:type="dxa"/>
              <w:end w:w="90" w:type="dxa"/>
            </w:tcMar>
          </w:tcPr>
          <w:p>
            <w:pPr>
              <w:spacing w:after="0" w:before="0"/>
            </w:pPr>
            <w:r>
              <w:rPr>
                <w:rFonts w:ascii="Arial" w:hAnsi="Arial"/>
                <w:sz w:val="16"/>
              </w:rPr>
              <w:t>jsonb/text</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Aktsepteeritud tingimused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success_counted_at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Millal commitment arvestati lävendisse</w:t>
            </w:r>
          </w:p>
        </w:tc>
      </w:tr>
    </w:tbl>
    <w:p>
      <w:pPr>
        <w:pStyle w:val="Heading2"/>
      </w:pPr>
      <w:r>
        <w:t>5.8 PAYMENT</w:t>
      </w:r>
    </w:p>
    <w:p>
      <w:r>
        <w:t>Välise makseteenuse tehniline makseobjekt; ühe commitment’i kohta võib olla mitu katset või refund’i.</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commitment_id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provider</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Maksepartner</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provider_tx_id</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UNIQUE</w:t>
            </w:r>
          </w:p>
        </w:tc>
        <w:tc>
          <w:tcPr>
            <w:tcW w:type="dxa" w:w="2556"/>
            <w:vAlign w:val="center"/>
            <w:tcMar>
              <w:top w:w="70" w:type="dxa"/>
              <w:start w:w="90" w:type="dxa"/>
              <w:bottom w:w="70" w:type="dxa"/>
              <w:end w:w="90" w:type="dxa"/>
            </w:tcMar>
          </w:tcPr>
          <w:p>
            <w:pPr>
              <w:spacing w:after="0" w:before="0"/>
            </w:pPr>
            <w:r>
              <w:rPr>
                <w:rFonts w:ascii="Arial" w:hAnsi="Arial"/>
                <w:sz w:val="16"/>
              </w:rPr>
              <w:t>Idempotentsus ja webhook seos</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gross_amount</w:t>
            </w:r>
          </w:p>
        </w:tc>
        <w:tc>
          <w:tcPr>
            <w:tcW w:type="dxa" w:w="2556"/>
            <w:vAlign w:val="center"/>
            <w:tcMar>
              <w:top w:w="70" w:type="dxa"/>
              <w:start w:w="90" w:type="dxa"/>
              <w:bottom w:w="70" w:type="dxa"/>
              <w:end w:w="90" w:type="dxa"/>
            </w:tcMar>
          </w:tcPr>
          <w:p>
            <w:pPr>
              <w:spacing w:after="0" w:before="0"/>
            </w:pPr>
            <w:r>
              <w:rPr>
                <w:rFonts w:ascii="Arial" w:hAnsi="Arial"/>
                <w:sz w:val="16"/>
              </w:rPr>
              <w:t>numeric(12,2)</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Ettemakse bruto</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currency</w:t>
            </w:r>
          </w:p>
        </w:tc>
        <w:tc>
          <w:tcPr>
            <w:tcW w:type="dxa" w:w="2556"/>
            <w:vAlign w:val="center"/>
            <w:tcMar>
              <w:top w:w="70" w:type="dxa"/>
              <w:start w:w="90" w:type="dxa"/>
              <w:bottom w:w="70" w:type="dxa"/>
              <w:end w:w="90" w:type="dxa"/>
            </w:tcMar>
          </w:tcPr>
          <w:p>
            <w:pPr>
              <w:spacing w:after="0" w:before="0"/>
            </w:pPr>
            <w:r>
              <w:rPr>
                <w:rFonts w:ascii="Arial" w:hAnsi="Arial"/>
                <w:sz w:val="16"/>
              </w:rPr>
              <w:t>char(3)</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EUR</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status</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CREATED, AUTHORIZED, CAPTURED, REFUNDED, PART_REFUNDED, RELEASED, FAILED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captured_at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refunded_at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raw_provider_status</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Välise süsteemi olek diagnostikaks</w:t>
            </w:r>
          </w:p>
        </w:tc>
      </w:tr>
    </w:tbl>
    <w:p>
      <w:pPr>
        <w:pStyle w:val="Heading2"/>
      </w:pPr>
      <w:r>
        <w:t>5.9 LEDGER_ENTRY</w:t>
      </w:r>
    </w:p>
    <w:p>
      <w:r>
        <w:t>Muutmatu finantsjälg. Summasid ei “parandata” üle kirjutades; tehakse vastukandeid.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payment_id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entry_type</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DEPOSIT_IN, REFUND_OUT, PLATFORM_FEE, SUPPLIER_PAYOUT, REVERSAL, ADJUSTMENT</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amount</w:t>
            </w:r>
          </w:p>
        </w:tc>
        <w:tc>
          <w:tcPr>
            <w:tcW w:type="dxa" w:w="2556"/>
            <w:vAlign w:val="center"/>
            <w:tcMar>
              <w:top w:w="70" w:type="dxa"/>
              <w:start w:w="90" w:type="dxa"/>
              <w:bottom w:w="70" w:type="dxa"/>
              <w:end w:w="90" w:type="dxa"/>
            </w:tcMar>
          </w:tcPr>
          <w:p>
            <w:pPr>
              <w:spacing w:after="0" w:before="0"/>
            </w:pPr>
            <w:r>
              <w:rPr>
                <w:rFonts w:ascii="Arial" w:hAnsi="Arial"/>
                <w:sz w:val="16"/>
              </w:rPr>
              <w:t>numeric(12,2)</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Soovituslikult alati positiivne + suund entry_type järgi või signed amount</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currency</w:t>
            </w:r>
          </w:p>
        </w:tc>
        <w:tc>
          <w:tcPr>
            <w:tcW w:type="dxa" w:w="2556"/>
            <w:vAlign w:val="center"/>
            <w:tcMar>
              <w:top w:w="70" w:type="dxa"/>
              <w:start w:w="90" w:type="dxa"/>
              <w:bottom w:w="70" w:type="dxa"/>
              <w:end w:w="90" w:type="dxa"/>
            </w:tcMar>
          </w:tcPr>
          <w:p>
            <w:pPr>
              <w:spacing w:after="0" w:before="0"/>
            </w:pPr>
            <w:r>
              <w:rPr>
                <w:rFonts w:ascii="Arial" w:hAnsi="Arial"/>
                <w:sz w:val="16"/>
              </w:rPr>
              <w:t>char(3)</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EUR</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reference_id</w:t>
            </w:r>
          </w:p>
        </w:tc>
        <w:tc>
          <w:tcPr>
            <w:tcW w:type="dxa" w:w="2556"/>
            <w:vAlign w:val="center"/>
            <w:tcMar>
              <w:top w:w="70" w:type="dxa"/>
              <w:start w:w="90" w:type="dxa"/>
              <w:bottom w:w="70" w:type="dxa"/>
              <w:end w:w="90" w:type="dxa"/>
            </w:tcMar>
          </w:tcPr>
          <w:p>
            <w:pPr>
              <w:spacing w:after="0" w:before="0"/>
            </w:pPr>
            <w:r>
              <w:rPr>
                <w:rFonts w:ascii="Arial" w:hAnsi="Arial"/>
                <w:sz w:val="16"/>
              </w:rPr>
              <w:t>uuid/varchar</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Seos payout/refund/provider sündmusega</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created_at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metadata</w:t>
            </w:r>
          </w:p>
        </w:tc>
        <w:tc>
          <w:tcPr>
            <w:tcW w:type="dxa" w:w="2556"/>
            <w:vAlign w:val="center"/>
            <w:tcMar>
              <w:top w:w="70" w:type="dxa"/>
              <w:start w:w="90" w:type="dxa"/>
              <w:bottom w:w="70" w:type="dxa"/>
              <w:end w:w="90" w:type="dxa"/>
            </w:tcMar>
          </w:tcPr>
          <w:p>
            <w:pPr>
              <w:spacing w:after="0" w:before="0"/>
            </w:pPr>
            <w:r>
              <w:rPr>
                <w:rFonts w:ascii="Arial" w:hAnsi="Arial"/>
                <w:sz w:val="16"/>
              </w:rPr>
              <w:t>jsonb</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Tehniline lisainfo</w:t>
            </w:r>
          </w:p>
        </w:tc>
      </w:tr>
    </w:tbl>
    <w:p>
      <w:pPr>
        <w:pStyle w:val="Heading2"/>
      </w:pPr>
      <w:r>
        <w:t>5.10 CONTRACT</w:t>
      </w:r>
    </w:p>
    <w:p>
      <w:r>
        <w:t>Õnnestunud pakkumise teostamise objekt; ei pea MVP-s olema täismahus lepinguhaldus.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procurement_id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offer_id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supplier_org_id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FK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status</w:t>
            </w:r>
          </w:p>
        </w:tc>
        <w:tc>
          <w:tcPr>
            <w:tcW w:type="dxa" w:w="2556"/>
            <w:vAlign w:val="center"/>
            <w:tcMar>
              <w:top w:w="70" w:type="dxa"/>
              <w:start w:w="90" w:type="dxa"/>
              <w:bottom w:w="70" w:type="dxa"/>
              <w:end w:w="90" w:type="dxa"/>
            </w:tcMar>
          </w:tcPr>
          <w:p>
            <w:pPr>
              <w:spacing w:after="0" w:before="0"/>
            </w:pPr>
            <w:r>
              <w:rPr>
                <w:rFonts w:ascii="Arial" w:hAnsi="Arial"/>
                <w:sz w:val="16"/>
              </w:rPr>
              <w:t>enum</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DRAFT, ACTIVE, COMPLETED, TERMINATED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contract_number</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signed_at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terms_snapshot</w:t>
            </w:r>
          </w:p>
        </w:tc>
        <w:tc>
          <w:tcPr>
            <w:tcW w:type="dxa" w:w="2556"/>
            <w:vAlign w:val="center"/>
            <w:tcMar>
              <w:top w:w="70" w:type="dxa"/>
              <w:start w:w="90" w:type="dxa"/>
              <w:bottom w:w="70" w:type="dxa"/>
              <w:end w:w="90" w:type="dxa"/>
            </w:tcMar>
          </w:tcPr>
          <w:p>
            <w:pPr>
              <w:spacing w:after="0" w:before="0"/>
            </w:pPr>
            <w:r>
              <w:rPr>
                <w:rFonts w:ascii="Arial" w:hAnsi="Arial"/>
                <w:sz w:val="16"/>
              </w:rPr>
              <w:t>jsonb/text</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Õnnestumise hetke lõplikud tingimused</w:t>
            </w:r>
          </w:p>
        </w:tc>
      </w:tr>
    </w:tbl>
    <w:p>
      <w:pPr>
        <w:pStyle w:val="Heading2"/>
      </w:pPr>
      <w:r>
        <w:t>5.11 AUDIT_EVENT</w:t>
      </w:r>
    </w:p>
    <w:p>
      <w:r>
        <w:t>Ärikriitilise ajaloo logi. Sobib ka sündmuspõhiseks analüütikaks.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Väli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Tüüp</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Nõue</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Märkused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PK</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entity_type</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PROCUREMENT, OFFER, COMMITMENT, PAYMENT jne</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entity_id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Objekti ID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event_type</w:t>
            </w:r>
          </w:p>
        </w:tc>
        <w:tc>
          <w:tcPr>
            <w:tcW w:type="dxa" w:w="2556"/>
            <w:vAlign w:val="center"/>
            <w:tcMar>
              <w:top w:w="70" w:type="dxa"/>
              <w:start w:w="90" w:type="dxa"/>
              <w:bottom w:w="70" w:type="dxa"/>
              <w:end w:w="90" w:type="dxa"/>
            </w:tcMar>
          </w:tcPr>
          <w:p>
            <w:pPr>
              <w:spacing w:after="0" w:before="0"/>
            </w:pPr>
            <w:r>
              <w:rPr>
                <w:rFonts w:ascii="Arial" w:hAnsi="Arial"/>
                <w:sz w:val="16"/>
              </w:rPr>
              <w:t>varchar</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Nt THRESHOLD_REACHED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actor_user_id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Kui sündmus tehti kasutaja poolt</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actor_org_id</w:t>
            </w:r>
          </w:p>
        </w:tc>
        <w:tc>
          <w:tcPr>
            <w:tcW w:type="dxa" w:w="2556"/>
            <w:vAlign w:val="center"/>
            <w:tcMar>
              <w:top w:w="70" w:type="dxa"/>
              <w:start w:w="90" w:type="dxa"/>
              <w:bottom w:w="70" w:type="dxa"/>
              <w:end w:w="90" w:type="dxa"/>
            </w:tcMar>
          </w:tcPr>
          <w:p>
            <w:pPr>
              <w:spacing w:after="0" w:before="0"/>
            </w:pPr>
            <w:r>
              <w:rPr>
                <w:rFonts w:ascii="Arial" w:hAnsi="Arial"/>
                <w:sz w:val="16"/>
              </w:rPr>
              <w:t>uuid</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payload_json</w:t>
            </w:r>
          </w:p>
        </w:tc>
        <w:tc>
          <w:tcPr>
            <w:tcW w:type="dxa" w:w="2556"/>
            <w:vAlign w:val="center"/>
            <w:tcMar>
              <w:top w:w="70" w:type="dxa"/>
              <w:start w:w="90" w:type="dxa"/>
              <w:bottom w:w="70" w:type="dxa"/>
              <w:end w:w="90" w:type="dxa"/>
            </w:tcMar>
          </w:tcPr>
          <w:p>
            <w:pPr>
              <w:spacing w:after="0" w:before="0"/>
            </w:pPr>
            <w:r>
              <w:rPr>
                <w:rFonts w:ascii="Arial" w:hAnsi="Arial"/>
                <w:sz w:val="16"/>
              </w:rPr>
              <w:t>jsonb</w:t>
            </w:r>
          </w:p>
        </w:tc>
        <w:tc>
          <w:tcPr>
            <w:tcW w:type="dxa" w:w="2556"/>
            <w:vAlign w:val="center"/>
            <w:tcMar>
              <w:top w:w="70" w:type="dxa"/>
              <w:start w:w="90" w:type="dxa"/>
              <w:bottom w:w="70" w:type="dxa"/>
              <w:end w:w="90" w:type="dxa"/>
            </w:tcMar>
          </w:tcPr>
          <w:p>
            <w:pPr>
              <w:spacing w:after="0" w:before="0"/>
            </w:pPr>
            <w:r>
              <w:rPr>
                <w:rFonts w:ascii="Arial" w:hAnsi="Arial"/>
                <w:sz w:val="16"/>
              </w:rPr>
              <w:t>NULL</w:t>
            </w:r>
          </w:p>
        </w:tc>
        <w:tc>
          <w:tcPr>
            <w:tcW w:type="dxa" w:w="2556"/>
            <w:vAlign w:val="center"/>
            <w:tcMar>
              <w:top w:w="70" w:type="dxa"/>
              <w:start w:w="90" w:type="dxa"/>
              <w:bottom w:w="70" w:type="dxa"/>
              <w:end w:w="90" w:type="dxa"/>
            </w:tcMar>
          </w:tcPr>
          <w:p>
            <w:pPr>
              <w:spacing w:after="0" w:before="0"/>
            </w:pPr>
            <w:r>
              <w:rPr>
                <w:rFonts w:ascii="Arial" w:hAnsi="Arial"/>
                <w:sz w:val="16"/>
              </w:rPr>
              <w:t>Väärtused enne/pärast või sündmuse detailid</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created_at</w:t>
            </w:r>
          </w:p>
        </w:tc>
        <w:tc>
          <w:tcPr>
            <w:tcW w:type="dxa" w:w="2556"/>
            <w:vAlign w:val="center"/>
            <w:tcMar>
              <w:top w:w="70" w:type="dxa"/>
              <w:start w:w="90" w:type="dxa"/>
              <w:bottom w:w="70" w:type="dxa"/>
              <w:end w:w="90" w:type="dxa"/>
            </w:tcMar>
          </w:tcPr>
          <w:p>
            <w:pPr>
              <w:spacing w:after="0" w:before="0"/>
            </w:pPr>
            <w:r>
              <w:rPr>
                <w:rFonts w:ascii="Arial" w:hAnsi="Arial"/>
                <w:sz w:val="16"/>
              </w:rPr>
              <w:t>timestamptz</w:t>
            </w:r>
          </w:p>
        </w:tc>
        <w:tc>
          <w:tcPr>
            <w:tcW w:type="dxa" w:w="2556"/>
            <w:vAlign w:val="center"/>
            <w:tcMar>
              <w:top w:w="70" w:type="dxa"/>
              <w:start w:w="90" w:type="dxa"/>
              <w:bottom w:w="70" w:type="dxa"/>
              <w:end w:w="90" w:type="dxa"/>
            </w:tcMar>
          </w:tcPr>
          <w:p>
            <w:pPr>
              <w:spacing w:after="0" w:before="0"/>
            </w:pPr>
            <w:r>
              <w:rPr>
                <w:rFonts w:ascii="Arial" w:hAnsi="Arial"/>
                <w:sz w:val="16"/>
              </w:rPr>
              <w:t>NOT NULL</w:t>
            </w:r>
          </w:p>
        </w:tc>
        <w:tc>
          <w:tcPr>
            <w:tcW w:type="dxa" w:w="2556"/>
            <w:vAlign w:val="center"/>
            <w:tcMar>
              <w:top w:w="70" w:type="dxa"/>
              <w:start w:w="90" w:type="dxa"/>
              <w:bottom w:w="70" w:type="dxa"/>
              <w:end w:w="90" w:type="dxa"/>
            </w:tcMar>
          </w:tcPr>
          <w:p>
            <w:pPr>
              <w:spacing w:after="0" w:before="0"/>
            </w:pPr>
            <w:r>
              <w:rPr>
                <w:rFonts w:ascii="Arial" w:hAnsi="Arial"/>
                <w:sz w:val="16"/>
              </w:rPr>
              <w:t>Muutmatu aeg</w:t>
            </w:r>
          </w:p>
        </w:tc>
      </w:tr>
    </w:tbl>
    <w:p>
      <w:pPr>
        <w:pStyle w:val="Heading1"/>
      </w:pPr>
      <w:r>
        <w:t>6. Olekumudelid</w:t>
      </w:r>
    </w:p>
    <w:p>
      <w:pPr>
        <w:pStyle w:val="Heading2"/>
      </w:pPr>
      <w:r>
        <w:t>6.1 Hanke olek</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AEAEA"/>
            <w:vAlign w:val="center"/>
            <w:tcMar>
              <w:top w:w="70" w:type="dxa"/>
              <w:start w:w="90" w:type="dxa"/>
              <w:bottom w:w="70" w:type="dxa"/>
              <w:end w:w="90" w:type="dxa"/>
            </w:tcMar>
          </w:tcPr>
          <w:p>
            <w:pPr>
              <w:spacing w:after="0" w:before="0"/>
            </w:pPr>
            <w:r>
              <w:rPr>
                <w:rFonts w:ascii="Arial" w:hAnsi="Arial"/>
                <w:b/>
                <w:sz w:val="17"/>
              </w:rPr>
              <w:t>Olek</w:t>
            </w:r>
          </w:p>
        </w:tc>
        <w:tc>
          <w:tcPr>
            <w:tcW w:type="dxa" w:w="3408"/>
            <w:shd w:fill="EAEAEA"/>
            <w:vAlign w:val="center"/>
            <w:tcMar>
              <w:top w:w="70" w:type="dxa"/>
              <w:start w:w="90" w:type="dxa"/>
              <w:bottom w:w="70" w:type="dxa"/>
              <w:end w:w="90" w:type="dxa"/>
            </w:tcMar>
          </w:tcPr>
          <w:p>
            <w:pPr>
              <w:spacing w:after="0" w:before="0"/>
            </w:pPr>
            <w:r>
              <w:rPr>
                <w:rFonts w:ascii="Arial" w:hAnsi="Arial"/>
                <w:b/>
                <w:sz w:val="17"/>
              </w:rPr>
              <w:t>Tähendus</w:t>
            </w:r>
          </w:p>
        </w:tc>
        <w:tc>
          <w:tcPr>
            <w:tcW w:type="dxa" w:w="3408"/>
            <w:shd w:fill="EAEAEA"/>
            <w:vAlign w:val="center"/>
            <w:tcMar>
              <w:top w:w="70" w:type="dxa"/>
              <w:start w:w="90" w:type="dxa"/>
              <w:bottom w:w="70" w:type="dxa"/>
              <w:end w:w="90" w:type="dxa"/>
            </w:tcMar>
          </w:tcPr>
          <w:p>
            <w:pPr>
              <w:spacing w:after="0" w:before="0"/>
            </w:pPr>
            <w:r>
              <w:rPr>
                <w:rFonts w:ascii="Arial" w:hAnsi="Arial"/>
                <w:b/>
                <w:sz w:val="17"/>
              </w:rPr>
              <w:t>Lubatud põhijärgmised olekud</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7"/>
              </w:rPr>
              <w:t>DRAFT</w:t>
            </w:r>
          </w:p>
        </w:tc>
        <w:tc>
          <w:tcPr>
            <w:tcW w:type="dxa" w:w="3408"/>
            <w:vAlign w:val="center"/>
            <w:tcMar>
              <w:top w:w="70" w:type="dxa"/>
              <w:start w:w="90" w:type="dxa"/>
              <w:bottom w:w="70" w:type="dxa"/>
              <w:end w:w="90" w:type="dxa"/>
            </w:tcMar>
          </w:tcPr>
          <w:p>
            <w:pPr>
              <w:spacing w:after="0" w:before="0"/>
            </w:pPr>
            <w:r>
              <w:rPr>
                <w:rFonts w:ascii="Arial" w:hAnsi="Arial"/>
                <w:sz w:val="17"/>
              </w:rPr>
              <w:t>Algataja koostab hanget</w:t>
            </w:r>
          </w:p>
        </w:tc>
        <w:tc>
          <w:tcPr>
            <w:tcW w:type="dxa" w:w="3408"/>
            <w:vAlign w:val="center"/>
            <w:tcMar>
              <w:top w:w="70" w:type="dxa"/>
              <w:start w:w="90" w:type="dxa"/>
              <w:bottom w:w="70" w:type="dxa"/>
              <w:end w:w="90" w:type="dxa"/>
            </w:tcMar>
          </w:tcPr>
          <w:p>
            <w:pPr>
              <w:spacing w:after="0" w:before="0"/>
            </w:pPr>
            <w:r>
              <w:rPr>
                <w:rFonts w:ascii="Arial" w:hAnsi="Arial"/>
                <w:sz w:val="17"/>
              </w:rPr>
              <w:t>OPEN, CANCELLED</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7"/>
              </w:rPr>
              <w:t>OPEN</w:t>
            </w:r>
          </w:p>
        </w:tc>
        <w:tc>
          <w:tcPr>
            <w:tcW w:type="dxa" w:w="3408"/>
            <w:vAlign w:val="center"/>
            <w:tcMar>
              <w:top w:w="70" w:type="dxa"/>
              <w:start w:w="90" w:type="dxa"/>
              <w:bottom w:w="70" w:type="dxa"/>
              <w:end w:w="90" w:type="dxa"/>
            </w:tcMar>
          </w:tcPr>
          <w:p>
            <w:pPr>
              <w:spacing w:after="0" w:before="0"/>
            </w:pPr>
            <w:r>
              <w:rPr>
                <w:rFonts w:ascii="Arial" w:hAnsi="Arial"/>
                <w:sz w:val="17"/>
              </w:rPr>
              <w:t>Kutsed ja pakkumised/aktsepteerimised aktiivsed</w:t>
            </w:r>
          </w:p>
        </w:tc>
        <w:tc>
          <w:tcPr>
            <w:tcW w:type="dxa" w:w="3408"/>
            <w:vAlign w:val="center"/>
            <w:tcMar>
              <w:top w:w="70" w:type="dxa"/>
              <w:start w:w="90" w:type="dxa"/>
              <w:bottom w:w="70" w:type="dxa"/>
              <w:end w:w="90" w:type="dxa"/>
            </w:tcMar>
          </w:tcPr>
          <w:p>
            <w:pPr>
              <w:spacing w:after="0" w:before="0"/>
            </w:pPr>
            <w:r>
              <w:rPr>
                <w:rFonts w:ascii="Arial" w:hAnsi="Arial"/>
                <w:sz w:val="17"/>
              </w:rPr>
              <w:t>SUCCEEDED, FAILED, CANCELLED</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7"/>
              </w:rPr>
              <w:t>SUCCEEDED</w:t>
            </w:r>
          </w:p>
        </w:tc>
        <w:tc>
          <w:tcPr>
            <w:tcW w:type="dxa" w:w="3408"/>
            <w:vAlign w:val="center"/>
            <w:tcMar>
              <w:top w:w="70" w:type="dxa"/>
              <w:start w:w="90" w:type="dxa"/>
              <w:bottom w:w="70" w:type="dxa"/>
              <w:end w:w="90" w:type="dxa"/>
            </w:tcMar>
          </w:tcPr>
          <w:p>
            <w:pPr>
              <w:spacing w:after="0" w:before="0"/>
            </w:pPr>
            <w:r>
              <w:rPr>
                <w:rFonts w:ascii="Arial" w:hAnsi="Arial"/>
                <w:sz w:val="17"/>
              </w:rPr>
              <w:t>Vähemalt üks nõuetekohane pakkumine/lävend täidetud; hetk fikseeritud</w:t>
            </w:r>
          </w:p>
        </w:tc>
        <w:tc>
          <w:tcPr>
            <w:tcW w:type="dxa" w:w="3408"/>
            <w:vAlign w:val="center"/>
            <w:tcMar>
              <w:top w:w="70" w:type="dxa"/>
              <w:start w:w="90" w:type="dxa"/>
              <w:bottom w:w="70" w:type="dxa"/>
              <w:end w:w="90" w:type="dxa"/>
            </w:tcMar>
          </w:tcPr>
          <w:p>
            <w:pPr>
              <w:spacing w:after="0" w:before="0"/>
            </w:pPr>
            <w:r>
              <w:rPr>
                <w:rFonts w:ascii="Arial" w:hAnsi="Arial"/>
                <w:sz w:val="17"/>
              </w:rPr>
              <w:t>CONTRACTED, COMPLETED</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7"/>
              </w:rPr>
              <w:t>FAILED</w:t>
            </w:r>
          </w:p>
        </w:tc>
        <w:tc>
          <w:tcPr>
            <w:tcW w:type="dxa" w:w="3408"/>
            <w:vAlign w:val="center"/>
            <w:tcMar>
              <w:top w:w="70" w:type="dxa"/>
              <w:start w:w="90" w:type="dxa"/>
              <w:bottom w:w="70" w:type="dxa"/>
              <w:end w:w="90" w:type="dxa"/>
            </w:tcMar>
          </w:tcPr>
          <w:p>
            <w:pPr>
              <w:spacing w:after="0" w:before="0"/>
            </w:pPr>
            <w:r>
              <w:rPr>
                <w:rFonts w:ascii="Arial" w:hAnsi="Arial"/>
                <w:sz w:val="17"/>
              </w:rPr>
              <w:t>Tähtaeg möödus ilma nõutud tingimuseta</w:t>
            </w:r>
          </w:p>
        </w:tc>
        <w:tc>
          <w:tcPr>
            <w:tcW w:type="dxa" w:w="3408"/>
            <w:vAlign w:val="center"/>
            <w:tcMar>
              <w:top w:w="70" w:type="dxa"/>
              <w:start w:w="90" w:type="dxa"/>
              <w:bottom w:w="70" w:type="dxa"/>
              <w:end w:w="90" w:type="dxa"/>
            </w:tcMar>
          </w:tcPr>
          <w:p>
            <w:pPr>
              <w:spacing w:after="0" w:before="0"/>
            </w:pPr>
            <w:r>
              <w:rPr>
                <w:rFonts w:ascii="Arial" w:hAnsi="Arial"/>
                <w:sz w:val="17"/>
              </w:rPr>
              <w:t>—</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7"/>
              </w:rPr>
              <w:t>CONTRACTED</w:t>
            </w:r>
          </w:p>
        </w:tc>
        <w:tc>
          <w:tcPr>
            <w:tcW w:type="dxa" w:w="3408"/>
            <w:vAlign w:val="center"/>
            <w:tcMar>
              <w:top w:w="70" w:type="dxa"/>
              <w:start w:w="90" w:type="dxa"/>
              <w:bottom w:w="70" w:type="dxa"/>
              <w:end w:w="90" w:type="dxa"/>
            </w:tcMar>
          </w:tcPr>
          <w:p>
            <w:pPr>
              <w:spacing w:after="0" w:before="0"/>
            </w:pPr>
            <w:r>
              <w:rPr>
                <w:rFonts w:ascii="Arial" w:hAnsi="Arial"/>
                <w:sz w:val="17"/>
              </w:rPr>
              <w:t>Lepinguline tulemus loodud</w:t>
            </w:r>
          </w:p>
        </w:tc>
        <w:tc>
          <w:tcPr>
            <w:tcW w:type="dxa" w:w="3408"/>
            <w:vAlign w:val="center"/>
            <w:tcMar>
              <w:top w:w="70" w:type="dxa"/>
              <w:start w:w="90" w:type="dxa"/>
              <w:bottom w:w="70" w:type="dxa"/>
              <w:end w:w="90" w:type="dxa"/>
            </w:tcMar>
          </w:tcPr>
          <w:p>
            <w:pPr>
              <w:spacing w:after="0" w:before="0"/>
            </w:pPr>
            <w:r>
              <w:rPr>
                <w:rFonts w:ascii="Arial" w:hAnsi="Arial"/>
                <w:sz w:val="17"/>
              </w:rPr>
              <w:t>COMPLETED</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7"/>
              </w:rPr>
              <w:t>COMPLETED</w:t>
            </w:r>
          </w:p>
        </w:tc>
        <w:tc>
          <w:tcPr>
            <w:tcW w:type="dxa" w:w="3408"/>
            <w:vAlign w:val="center"/>
            <w:tcMar>
              <w:top w:w="70" w:type="dxa"/>
              <w:start w:w="90" w:type="dxa"/>
              <w:bottom w:w="70" w:type="dxa"/>
              <w:end w:w="90" w:type="dxa"/>
            </w:tcMar>
          </w:tcPr>
          <w:p>
            <w:pPr>
              <w:spacing w:after="0" w:before="0"/>
            </w:pPr>
            <w:r>
              <w:rPr>
                <w:rFonts w:ascii="Arial" w:hAnsi="Arial"/>
                <w:sz w:val="17"/>
              </w:rPr>
              <w:t>Teenuse periood lõpetatud</w:t>
            </w:r>
          </w:p>
        </w:tc>
        <w:tc>
          <w:tcPr>
            <w:tcW w:type="dxa" w:w="3408"/>
            <w:vAlign w:val="center"/>
            <w:tcMar>
              <w:top w:w="70" w:type="dxa"/>
              <w:start w:w="90" w:type="dxa"/>
              <w:bottom w:w="70" w:type="dxa"/>
              <w:end w:w="90" w:type="dxa"/>
            </w:tcMar>
          </w:tcPr>
          <w:p>
            <w:pPr>
              <w:spacing w:after="0" w:before="0"/>
            </w:pPr>
            <w:r>
              <w:rPr>
                <w:rFonts w:ascii="Arial" w:hAnsi="Arial"/>
                <w:sz w:val="17"/>
              </w:rPr>
              <w:t>—</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7"/>
              </w:rPr>
              <w:t>CANCELLED</w:t>
            </w:r>
          </w:p>
        </w:tc>
        <w:tc>
          <w:tcPr>
            <w:tcW w:type="dxa" w:w="3408"/>
            <w:vAlign w:val="center"/>
            <w:tcMar>
              <w:top w:w="70" w:type="dxa"/>
              <w:start w:w="90" w:type="dxa"/>
              <w:bottom w:w="70" w:type="dxa"/>
              <w:end w:w="90" w:type="dxa"/>
            </w:tcMar>
          </w:tcPr>
          <w:p>
            <w:pPr>
              <w:spacing w:after="0" w:before="0"/>
            </w:pPr>
            <w:r>
              <w:rPr>
                <w:rFonts w:ascii="Arial" w:hAnsi="Arial"/>
                <w:sz w:val="17"/>
              </w:rPr>
              <w:t>Algataja või süsteem tühistas erireegli alusel</w:t>
            </w:r>
          </w:p>
        </w:tc>
        <w:tc>
          <w:tcPr>
            <w:tcW w:type="dxa" w:w="3408"/>
            <w:vAlign w:val="center"/>
            <w:tcMar>
              <w:top w:w="70" w:type="dxa"/>
              <w:start w:w="90" w:type="dxa"/>
              <w:bottom w:w="70" w:type="dxa"/>
              <w:end w:w="90" w:type="dxa"/>
            </w:tcMar>
          </w:tcPr>
          <w:p>
            <w:pPr>
              <w:spacing w:after="0" w:before="0"/>
            </w:pPr>
            <w:r>
              <w:rPr>
                <w:rFonts w:ascii="Arial" w:hAnsi="Arial"/>
                <w:sz w:val="17"/>
              </w:rPr>
              <w:t>—</w:t>
            </w:r>
          </w:p>
        </w:tc>
      </w:tr>
    </w:tbl>
    <w:tbl>
      <w:tblPr>
        <w:tblW w:type="auto" w:w="0"/>
        <w:jc w:val="center"/>
        <w:tblLook w:firstColumn="1" w:firstRow="1" w:lastColumn="0" w:lastRow="0" w:noHBand="0" w:noVBand="1" w:val="04A0"/>
      </w:tblPr>
      <w:tblGrid>
        <w:gridCol w:w="10224"/>
      </w:tblGrid>
      <w:tr>
        <w:tc>
          <w:tcPr>
            <w:tcW w:type="dxa" w:w="10224"/>
            <w:shd w:fill="F3F3F3"/>
            <w:tcMar>
              <w:top w:w="120" w:type="dxa"/>
              <w:start w:w="160" w:type="dxa"/>
              <w:bottom w:w="120" w:type="dxa"/>
              <w:end w:w="160" w:type="dxa"/>
            </w:tcMar>
          </w:tcPr>
          <w:p>
            <w:r>
              <w:rPr>
                <w:b/>
              </w:rPr>
              <w:t xml:space="preserve">Oluline: </w:t>
            </w:r>
            <w:r>
              <w:t>SUCCEEDED olek peab olema “latch”: pärast succeeded_at väärtust ei tohi hilisem osaleja loobumine hanget vaikimisi tagasi OPEN/FAILED olekusse viia. Vastasel juhul muutub lepingu ja raha loogika ebastabiilseks.</w:t>
            </w:r>
          </w:p>
        </w:tc>
      </w:tr>
    </w:tbl>
    <w:p>
      <w:pPr>
        <w:spacing w:after="20"/>
      </w:pPr>
    </w:p>
    <w:p>
      <w:pPr>
        <w:pStyle w:val="Heading2"/>
      </w:pPr>
      <w:r>
        <w:t>6.2 Commitment’i olek</w:t>
      </w:r>
    </w:p>
    <w:p>
      <w:pPr>
        <w:pStyle w:val="ListBullet"/>
        <w:spacing w:after="40"/>
      </w:pPr>
      <w:r>
        <w:rPr>
          <w:b/>
        </w:rPr>
        <w:t xml:space="preserve">PENDING_PAYMENT — </w:t>
      </w:r>
      <w:r>
        <w:t>pakkumine on valitud, kuid ettemakse pole veel kinnitatud.</w:t>
      </w:r>
    </w:p>
    <w:p>
      <w:pPr>
        <w:pStyle w:val="ListBullet"/>
        <w:spacing w:after="40"/>
      </w:pPr>
      <w:r>
        <w:rPr>
          <w:b/>
        </w:rPr>
        <w:t xml:space="preserve">ACTIVE — </w:t>
      </w:r>
      <w:r>
        <w:t>makse on nõutud kujul kinnitatud; commitment arvestatakse lävendi täitumisse.</w:t>
      </w:r>
    </w:p>
    <w:p>
      <w:pPr>
        <w:pStyle w:val="ListBullet"/>
        <w:spacing w:after="40"/>
      </w:pPr>
      <w:r>
        <w:rPr>
          <w:b/>
        </w:rPr>
        <w:t xml:space="preserve">WITHDRAWN — </w:t>
      </w:r>
      <w:r>
        <w:t>osaleja on loobunud; ajalooline kirje jääb alles.</w:t>
      </w:r>
    </w:p>
    <w:p>
      <w:pPr>
        <w:pStyle w:val="ListBullet"/>
        <w:spacing w:after="40"/>
      </w:pPr>
      <w:r>
        <w:rPr>
          <w:b/>
        </w:rPr>
        <w:t xml:space="preserve">REFUNDED — </w:t>
      </w:r>
      <w:r>
        <w:t>hange ebaõnnestus või muu reegel nõudis raha tagastamist.</w:t>
      </w:r>
    </w:p>
    <w:p>
      <w:pPr>
        <w:pStyle w:val="ListBullet"/>
        <w:spacing w:after="40"/>
      </w:pPr>
      <w:r>
        <w:rPr>
          <w:b/>
        </w:rPr>
        <w:t xml:space="preserve">CONTRACTED — </w:t>
      </w:r>
      <w:r>
        <w:t>commitment on kandunud lepingulisse täitmisse.</w:t>
      </w:r>
    </w:p>
    <w:p>
      <w:pPr>
        <w:pStyle w:val="Heading2"/>
      </w:pPr>
      <w:r>
        <w:t>6.3 Maksete põhivoog</w:t>
      </w:r>
    </w:p>
    <w:p>
      <w:r>
        <w:drawing>
          <wp:inline xmlns:a="http://schemas.openxmlformats.org/drawingml/2006/main" xmlns:pic="http://schemas.openxmlformats.org/drawingml/2006/picture">
            <wp:extent cx="6309360" cy="934470"/>
            <wp:docPr id="2" name="Picture 2"/>
            <wp:cNvGraphicFramePr>
              <a:graphicFrameLocks noChangeAspect="1"/>
            </wp:cNvGraphicFramePr>
            <a:graphic>
              <a:graphicData uri="http://schemas.openxmlformats.org/drawingml/2006/picture">
                <pic:pic>
                  <pic:nvPicPr>
                    <pic:cNvPr id="0" name="uhishange_payment_flow.png"/>
                    <pic:cNvPicPr/>
                  </pic:nvPicPr>
                  <pic:blipFill>
                    <a:blip r:embed="rId10"/>
                    <a:stretch>
                      <a:fillRect/>
                    </a:stretch>
                  </pic:blipFill>
                  <pic:spPr>
                    <a:xfrm>
                      <a:off x="0" y="0"/>
                      <a:ext cx="6309360" cy="934470"/>
                    </a:xfrm>
                    <a:prstGeom prst="rect"/>
                  </pic:spPr>
                </pic:pic>
              </a:graphicData>
            </a:graphic>
          </wp:inline>
        </w:drawing>
      </w:r>
    </w:p>
    <w:p>
      <w:pPr>
        <w:pStyle w:val="Heading1"/>
      </w:pPr>
      <w:r>
        <w:t>7. Kriitilised ärireeglid andmekihis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AEAEA"/>
            <w:vAlign w:val="center"/>
            <w:tcMar>
              <w:top w:w="70" w:type="dxa"/>
              <w:start w:w="90" w:type="dxa"/>
              <w:bottom w:w="70" w:type="dxa"/>
              <w:end w:w="90" w:type="dxa"/>
            </w:tcMar>
          </w:tcPr>
          <w:p>
            <w:pPr>
              <w:spacing w:after="0" w:before="0"/>
            </w:pPr>
            <w:r>
              <w:rPr>
                <w:rFonts w:ascii="Arial" w:hAnsi="Arial"/>
                <w:b/>
                <w:sz w:val="16"/>
              </w:rPr>
              <w:t>ID</w:t>
            </w:r>
          </w:p>
        </w:tc>
        <w:tc>
          <w:tcPr>
            <w:tcW w:type="dxa" w:w="3408"/>
            <w:shd w:fill="EAEAEA"/>
            <w:vAlign w:val="center"/>
            <w:tcMar>
              <w:top w:w="70" w:type="dxa"/>
              <w:start w:w="90" w:type="dxa"/>
              <w:bottom w:w="70" w:type="dxa"/>
              <w:end w:w="90" w:type="dxa"/>
            </w:tcMar>
          </w:tcPr>
          <w:p>
            <w:pPr>
              <w:spacing w:after="0" w:before="0"/>
            </w:pPr>
            <w:r>
              <w:rPr>
                <w:rFonts w:ascii="Arial" w:hAnsi="Arial"/>
                <w:b/>
                <w:sz w:val="16"/>
              </w:rPr>
              <w:t>Reegel</w:t>
            </w:r>
          </w:p>
        </w:tc>
        <w:tc>
          <w:tcPr>
            <w:tcW w:type="dxa" w:w="3408"/>
            <w:shd w:fill="EAEAEA"/>
            <w:vAlign w:val="center"/>
            <w:tcMar>
              <w:top w:w="70" w:type="dxa"/>
              <w:start w:w="90" w:type="dxa"/>
              <w:bottom w:w="70" w:type="dxa"/>
              <w:end w:w="90" w:type="dxa"/>
            </w:tcMar>
          </w:tcPr>
          <w:p>
            <w:pPr>
              <w:spacing w:after="0" w:before="0"/>
            </w:pPr>
            <w:r>
              <w:rPr>
                <w:rFonts w:ascii="Arial" w:hAnsi="Arial"/>
                <w:b/>
                <w:sz w:val="16"/>
              </w:rPr>
              <w:t>Andmekihi nõue</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BR-01</w:t>
            </w:r>
          </w:p>
        </w:tc>
        <w:tc>
          <w:tcPr>
            <w:tcW w:type="dxa" w:w="3408"/>
            <w:vAlign w:val="center"/>
            <w:tcMar>
              <w:top w:w="70" w:type="dxa"/>
              <w:start w:w="90" w:type="dxa"/>
              <w:bottom w:w="70" w:type="dxa"/>
              <w:end w:w="90" w:type="dxa"/>
            </w:tcMar>
          </w:tcPr>
          <w:p>
            <w:pPr>
              <w:spacing w:after="0" w:before="0"/>
            </w:pPr>
            <w:r>
              <w:rPr>
                <w:rFonts w:ascii="Arial" w:hAnsi="Arial"/>
                <w:sz w:val="16"/>
              </w:rPr>
              <w:t>Lävendi arvestus</w:t>
            </w:r>
          </w:p>
        </w:tc>
        <w:tc>
          <w:tcPr>
            <w:tcW w:type="dxa" w:w="3408"/>
            <w:vAlign w:val="center"/>
            <w:tcMar>
              <w:top w:w="70" w:type="dxa"/>
              <w:start w:w="90" w:type="dxa"/>
              <w:bottom w:w="70" w:type="dxa"/>
              <w:end w:w="90" w:type="dxa"/>
            </w:tcMar>
          </w:tcPr>
          <w:p>
            <w:pPr>
              <w:spacing w:after="0" w:before="0"/>
            </w:pPr>
            <w:r>
              <w:rPr>
                <w:rFonts w:ascii="Arial" w:hAnsi="Arial"/>
                <w:sz w:val="16"/>
              </w:rPr>
              <w:t>Lävendisse loetakse ainult commitment, mille status = ACTIVE ja mille ettemakse/makse vastab nõutud olekule.</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BR-02</w:t>
            </w:r>
          </w:p>
        </w:tc>
        <w:tc>
          <w:tcPr>
            <w:tcW w:type="dxa" w:w="3408"/>
            <w:vAlign w:val="center"/>
            <w:tcMar>
              <w:top w:w="70" w:type="dxa"/>
              <w:start w:w="90" w:type="dxa"/>
              <w:bottom w:w="70" w:type="dxa"/>
              <w:end w:w="90" w:type="dxa"/>
            </w:tcMar>
          </w:tcPr>
          <w:p>
            <w:pPr>
              <w:spacing w:after="0" w:before="0"/>
            </w:pPr>
            <w:r>
              <w:rPr>
                <w:rFonts w:ascii="Arial" w:hAnsi="Arial"/>
                <w:sz w:val="16"/>
              </w:rPr>
              <w:t>Lävendi atomaarne kontroll</w:t>
            </w:r>
          </w:p>
        </w:tc>
        <w:tc>
          <w:tcPr>
            <w:tcW w:type="dxa" w:w="3408"/>
            <w:vAlign w:val="center"/>
            <w:tcMar>
              <w:top w:w="70" w:type="dxa"/>
              <w:start w:w="90" w:type="dxa"/>
              <w:bottom w:w="70" w:type="dxa"/>
              <w:end w:w="90" w:type="dxa"/>
            </w:tcMar>
          </w:tcPr>
          <w:p>
            <w:pPr>
              <w:spacing w:after="0" w:before="0"/>
            </w:pPr>
            <w:r>
              <w:rPr>
                <w:rFonts w:ascii="Arial" w:hAnsi="Arial"/>
                <w:sz w:val="16"/>
              </w:rPr>
              <w:t>Viies (või muu N-s) commitment võib saabuda paralleelselt. Lävendi kontroll ja succeeded_at seadmine peavad toimuma ühe andmebaasitransaktsiooni või lukustuse all.</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BR-03</w:t>
            </w:r>
          </w:p>
        </w:tc>
        <w:tc>
          <w:tcPr>
            <w:tcW w:type="dxa" w:w="3408"/>
            <w:vAlign w:val="center"/>
            <w:tcMar>
              <w:top w:w="70" w:type="dxa"/>
              <w:start w:w="90" w:type="dxa"/>
              <w:bottom w:w="70" w:type="dxa"/>
              <w:end w:w="90" w:type="dxa"/>
            </w:tcMar>
          </w:tcPr>
          <w:p>
            <w:pPr>
              <w:spacing w:after="0" w:before="0"/>
            </w:pPr>
            <w:r>
              <w:rPr>
                <w:rFonts w:ascii="Arial" w:hAnsi="Arial"/>
                <w:sz w:val="16"/>
              </w:rPr>
              <w:t>Üks organisatsioon / üks aktiivne aktsepteerimine</w:t>
            </w:r>
          </w:p>
        </w:tc>
        <w:tc>
          <w:tcPr>
            <w:tcW w:type="dxa" w:w="3408"/>
            <w:vAlign w:val="center"/>
            <w:tcMar>
              <w:top w:w="70" w:type="dxa"/>
              <w:start w:w="90" w:type="dxa"/>
              <w:bottom w:w="70" w:type="dxa"/>
              <w:end w:w="90" w:type="dxa"/>
            </w:tcMar>
          </w:tcPr>
          <w:p>
            <w:pPr>
              <w:spacing w:after="0" w:before="0"/>
            </w:pPr>
            <w:r>
              <w:rPr>
                <w:rFonts w:ascii="Arial" w:hAnsi="Arial"/>
                <w:sz w:val="16"/>
              </w:rPr>
              <w:t>Sama buyer_org_id ei tohi sama pakkumist topelt lugeda. Soovitus: partial unique index aktiivsetele commitment’idele.</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BR-04</w:t>
            </w:r>
          </w:p>
        </w:tc>
        <w:tc>
          <w:tcPr>
            <w:tcW w:type="dxa" w:w="3408"/>
            <w:vAlign w:val="center"/>
            <w:tcMar>
              <w:top w:w="70" w:type="dxa"/>
              <w:start w:w="90" w:type="dxa"/>
              <w:bottom w:w="70" w:type="dxa"/>
              <w:end w:w="90" w:type="dxa"/>
            </w:tcMar>
          </w:tcPr>
          <w:p>
            <w:pPr>
              <w:spacing w:after="0" w:before="0"/>
            </w:pPr>
            <w:r>
              <w:rPr>
                <w:rFonts w:ascii="Arial" w:hAnsi="Arial"/>
                <w:sz w:val="16"/>
              </w:rPr>
              <w:t>Snapshot</w:t>
            </w:r>
          </w:p>
        </w:tc>
        <w:tc>
          <w:tcPr>
            <w:tcW w:type="dxa" w:w="3408"/>
            <w:vAlign w:val="center"/>
            <w:tcMar>
              <w:top w:w="70" w:type="dxa"/>
              <w:start w:w="90" w:type="dxa"/>
              <w:bottom w:w="70" w:type="dxa"/>
              <w:end w:w="90" w:type="dxa"/>
            </w:tcMar>
          </w:tcPr>
          <w:p>
            <w:pPr>
              <w:spacing w:after="0" w:before="0"/>
            </w:pPr>
            <w:r>
              <w:rPr>
                <w:rFonts w:ascii="Arial" w:hAnsi="Arial"/>
                <w:sz w:val="16"/>
              </w:rPr>
              <w:t>Commitment säilitab aktsepteerimise hetke hinna, teenustasu, ettemakse, tier’i ja tingimuste snapshot’i.</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BR-05</w:t>
            </w:r>
          </w:p>
        </w:tc>
        <w:tc>
          <w:tcPr>
            <w:tcW w:type="dxa" w:w="3408"/>
            <w:vAlign w:val="center"/>
            <w:tcMar>
              <w:top w:w="70" w:type="dxa"/>
              <w:start w:w="90" w:type="dxa"/>
              <w:bottom w:w="70" w:type="dxa"/>
              <w:end w:w="90" w:type="dxa"/>
            </w:tcMar>
          </w:tcPr>
          <w:p>
            <w:pPr>
              <w:spacing w:after="0" w:before="0"/>
            </w:pPr>
            <w:r>
              <w:rPr>
                <w:rFonts w:ascii="Arial" w:hAnsi="Arial"/>
                <w:sz w:val="16"/>
              </w:rPr>
              <w:t>Õnnestumise pöördumatus</w:t>
            </w:r>
          </w:p>
        </w:tc>
        <w:tc>
          <w:tcPr>
            <w:tcW w:type="dxa" w:w="3408"/>
            <w:vAlign w:val="center"/>
            <w:tcMar>
              <w:top w:w="70" w:type="dxa"/>
              <w:start w:w="90" w:type="dxa"/>
              <w:bottom w:w="70" w:type="dxa"/>
              <w:end w:w="90" w:type="dxa"/>
            </w:tcMar>
          </w:tcPr>
          <w:p>
            <w:pPr>
              <w:spacing w:after="0" w:before="0"/>
            </w:pPr>
            <w:r>
              <w:rPr>
                <w:rFonts w:ascii="Arial" w:hAnsi="Arial"/>
                <w:sz w:val="16"/>
              </w:rPr>
              <w:t>Kui hange/pakkumine on tingimused täitnud ja succeeded_at on fikseeritud, hilisem loobumine ei tühista automaatselt edu.</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BR-06</w:t>
            </w:r>
          </w:p>
        </w:tc>
        <w:tc>
          <w:tcPr>
            <w:tcW w:type="dxa" w:w="3408"/>
            <w:vAlign w:val="center"/>
            <w:tcMar>
              <w:top w:w="70" w:type="dxa"/>
              <w:start w:w="90" w:type="dxa"/>
              <w:bottom w:w="70" w:type="dxa"/>
              <w:end w:w="90" w:type="dxa"/>
            </w:tcMar>
          </w:tcPr>
          <w:p>
            <w:pPr>
              <w:spacing w:after="0" w:before="0"/>
            </w:pPr>
            <w:r>
              <w:rPr>
                <w:rFonts w:ascii="Arial" w:hAnsi="Arial"/>
                <w:sz w:val="16"/>
              </w:rPr>
              <w:t>Ebaõnnestumine</w:t>
            </w:r>
          </w:p>
        </w:tc>
        <w:tc>
          <w:tcPr>
            <w:tcW w:type="dxa" w:w="3408"/>
            <w:vAlign w:val="center"/>
            <w:tcMar>
              <w:top w:w="70" w:type="dxa"/>
              <w:start w:w="90" w:type="dxa"/>
              <w:bottom w:w="70" w:type="dxa"/>
              <w:end w:w="90" w:type="dxa"/>
            </w:tcMar>
          </w:tcPr>
          <w:p>
            <w:pPr>
              <w:spacing w:after="0" w:before="0"/>
            </w:pPr>
            <w:r>
              <w:rPr>
                <w:rFonts w:ascii="Arial" w:hAnsi="Arial"/>
                <w:sz w:val="16"/>
              </w:rPr>
              <w:t>Kui tähtajaks nõuet ei täideta, märgitakse FAILED ja nõuetele vastavad tagasimaksed luuakse ledger’isse.</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BR-07</w:t>
            </w:r>
          </w:p>
        </w:tc>
        <w:tc>
          <w:tcPr>
            <w:tcW w:type="dxa" w:w="3408"/>
            <w:vAlign w:val="center"/>
            <w:tcMar>
              <w:top w:w="70" w:type="dxa"/>
              <w:start w:w="90" w:type="dxa"/>
              <w:bottom w:w="70" w:type="dxa"/>
              <w:end w:w="90" w:type="dxa"/>
            </w:tcMar>
          </w:tcPr>
          <w:p>
            <w:pPr>
              <w:spacing w:after="0" w:before="0"/>
            </w:pPr>
            <w:r>
              <w:rPr>
                <w:rFonts w:ascii="Arial" w:hAnsi="Arial"/>
                <w:sz w:val="16"/>
              </w:rPr>
              <w:t>Loobumine</w:t>
            </w:r>
          </w:p>
        </w:tc>
        <w:tc>
          <w:tcPr>
            <w:tcW w:type="dxa" w:w="3408"/>
            <w:vAlign w:val="center"/>
            <w:tcMar>
              <w:top w:w="70" w:type="dxa"/>
              <w:start w:w="90" w:type="dxa"/>
              <w:bottom w:w="70" w:type="dxa"/>
              <w:end w:w="90" w:type="dxa"/>
            </w:tcMar>
          </w:tcPr>
          <w:p>
            <w:pPr>
              <w:spacing w:after="0" w:before="0"/>
            </w:pPr>
            <w:r>
              <w:rPr>
                <w:rFonts w:ascii="Arial" w:hAnsi="Arial"/>
                <w:sz w:val="16"/>
              </w:rPr>
              <w:t>Loobumine ei kustuta commitment’i. Salvestatakse WITHDRAWN, withdrawn_at ja eraldi finantskanded.</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BR-08</w:t>
            </w:r>
          </w:p>
        </w:tc>
        <w:tc>
          <w:tcPr>
            <w:tcW w:type="dxa" w:w="3408"/>
            <w:vAlign w:val="center"/>
            <w:tcMar>
              <w:top w:w="70" w:type="dxa"/>
              <w:start w:w="90" w:type="dxa"/>
              <w:bottom w:w="70" w:type="dxa"/>
              <w:end w:w="90" w:type="dxa"/>
            </w:tcMar>
          </w:tcPr>
          <w:p>
            <w:pPr>
              <w:spacing w:after="0" w:before="0"/>
            </w:pPr>
            <w:r>
              <w:rPr>
                <w:rFonts w:ascii="Arial" w:hAnsi="Arial"/>
                <w:sz w:val="16"/>
              </w:rPr>
              <w:t>Finantsjälg</w:t>
            </w:r>
          </w:p>
        </w:tc>
        <w:tc>
          <w:tcPr>
            <w:tcW w:type="dxa" w:w="3408"/>
            <w:vAlign w:val="center"/>
            <w:tcMar>
              <w:top w:w="70" w:type="dxa"/>
              <w:start w:w="90" w:type="dxa"/>
              <w:bottom w:w="70" w:type="dxa"/>
              <w:end w:w="90" w:type="dxa"/>
            </w:tcMar>
          </w:tcPr>
          <w:p>
            <w:pPr>
              <w:spacing w:after="0" w:before="0"/>
            </w:pPr>
            <w:r>
              <w:rPr>
                <w:rFonts w:ascii="Arial" w:hAnsi="Arial"/>
                <w:sz w:val="16"/>
              </w:rPr>
              <w:t>Iga laekumine, refund, platvormitasu ja payout peab olema eraldi LEDGER_ENTRY. Kandeid ei kustutata.</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BR-09</w:t>
            </w:r>
          </w:p>
        </w:tc>
        <w:tc>
          <w:tcPr>
            <w:tcW w:type="dxa" w:w="3408"/>
            <w:vAlign w:val="center"/>
            <w:tcMar>
              <w:top w:w="70" w:type="dxa"/>
              <w:start w:w="90" w:type="dxa"/>
              <w:bottom w:w="70" w:type="dxa"/>
              <w:end w:w="90" w:type="dxa"/>
            </w:tcMar>
          </w:tcPr>
          <w:p>
            <w:pPr>
              <w:spacing w:after="0" w:before="0"/>
            </w:pPr>
            <w:r>
              <w:rPr>
                <w:rFonts w:ascii="Arial" w:hAnsi="Arial"/>
                <w:sz w:val="16"/>
              </w:rPr>
              <w:t>Idempotentsed webhook’id</w:t>
            </w:r>
          </w:p>
        </w:tc>
        <w:tc>
          <w:tcPr>
            <w:tcW w:type="dxa" w:w="3408"/>
            <w:vAlign w:val="center"/>
            <w:tcMar>
              <w:top w:w="70" w:type="dxa"/>
              <w:start w:w="90" w:type="dxa"/>
              <w:bottom w:w="70" w:type="dxa"/>
              <w:end w:w="90" w:type="dxa"/>
            </w:tcMar>
          </w:tcPr>
          <w:p>
            <w:pPr>
              <w:spacing w:after="0" w:before="0"/>
            </w:pPr>
            <w:r>
              <w:rPr>
                <w:rFonts w:ascii="Arial" w:hAnsi="Arial"/>
                <w:sz w:val="16"/>
              </w:rPr>
              <w:t>Sama maksepartneri webhook ei tohi korduskutse korral tekitada topeltkannet ega topeltlävendit.</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BR-10</w:t>
            </w:r>
          </w:p>
        </w:tc>
        <w:tc>
          <w:tcPr>
            <w:tcW w:type="dxa" w:w="3408"/>
            <w:vAlign w:val="center"/>
            <w:tcMar>
              <w:top w:w="70" w:type="dxa"/>
              <w:start w:w="90" w:type="dxa"/>
              <w:bottom w:w="70" w:type="dxa"/>
              <w:end w:w="90" w:type="dxa"/>
            </w:tcMar>
          </w:tcPr>
          <w:p>
            <w:pPr>
              <w:spacing w:after="0" w:before="0"/>
            </w:pPr>
            <w:r>
              <w:rPr>
                <w:rFonts w:ascii="Arial" w:hAnsi="Arial"/>
                <w:sz w:val="16"/>
              </w:rPr>
              <w:t>Kutse raadius</w:t>
            </w:r>
          </w:p>
        </w:tc>
        <w:tc>
          <w:tcPr>
            <w:tcW w:type="dxa" w:w="3408"/>
            <w:vAlign w:val="center"/>
            <w:tcMar>
              <w:top w:w="70" w:type="dxa"/>
              <w:start w:w="90" w:type="dxa"/>
              <w:bottom w:w="70" w:type="dxa"/>
              <w:end w:w="90" w:type="dxa"/>
            </w:tcMar>
          </w:tcPr>
          <w:p>
            <w:pPr>
              <w:spacing w:after="0" w:before="0"/>
            </w:pPr>
            <w:r>
              <w:rPr>
                <w:rFonts w:ascii="Arial" w:hAnsi="Arial"/>
                <w:sz w:val="16"/>
              </w:rPr>
              <w:t>500 m on hanke parameeter, mitte kõvakodeeritud väärtus. Kutse salvestab arvutatud kauguse ja allika.</w:t>
            </w:r>
          </w:p>
        </w:tc>
      </w:tr>
    </w:tbl>
    <w:p>
      <w:pPr>
        <w:pStyle w:val="Heading1"/>
      </w:pPr>
      <w:r>
        <w:t>8. Piirkondlik andmedisain ja 500 m kutse</w:t>
      </w:r>
    </w:p>
    <w:p>
      <w:r>
        <w:t>Piirkondlikkus on Ühishanke eristav funktsioon ning seetõttu tasub geoinfo lahendada andmebaasi tasemel korrektselt juba MVP-s.</w:t>
      </w:r>
    </w:p>
    <w:p>
      <w:pPr>
        <w:pStyle w:val="ListBullet"/>
        <w:spacing w:after="40"/>
      </w:pPr>
      <w:r>
        <w:rPr>
          <w:b/>
        </w:rPr>
        <w:t xml:space="preserve">Koordinaadid. </w:t>
      </w:r>
      <w:r>
        <w:t>Igal kutsetavaks sobival organisatsioonil peab olema geokodeeritud põhiaadress (WGS84).</w:t>
      </w:r>
    </w:p>
    <w:p>
      <w:pPr>
        <w:pStyle w:val="ListBullet"/>
        <w:spacing w:after="40"/>
      </w:pPr>
      <w:r>
        <w:rPr>
          <w:b/>
        </w:rPr>
        <w:t xml:space="preserve">Ruumipäring. </w:t>
      </w:r>
      <w:r>
        <w:t>PostgreSQL + PostGIS korral sobib ST_DWithin(organization_point, procurement_point, radius_m).</w:t>
      </w:r>
    </w:p>
    <w:p>
      <w:pPr>
        <w:pStyle w:val="ListBullet"/>
        <w:spacing w:after="40"/>
      </w:pPr>
      <w:r>
        <w:rPr>
          <w:b/>
        </w:rPr>
        <w:t xml:space="preserve">Aadressi allikas. </w:t>
      </w:r>
      <w:r>
        <w:t>Registrist saadud aadress ja geokodeerimise tulemus salvestatakse eraldi; algset registriteksti ei tohi geokodeerimise käigus kaotada.</w:t>
      </w:r>
    </w:p>
    <w:p>
      <w:pPr>
        <w:pStyle w:val="ListBullet"/>
        <w:spacing w:after="40"/>
      </w:pPr>
      <w:r>
        <w:rPr>
          <w:b/>
        </w:rPr>
        <w:t xml:space="preserve">Korduvkasutus. </w:t>
      </w:r>
      <w:r>
        <w:t>Koordinaadid cache’itakse ADDRESS tabelisse, et sama aadressi ei geokodeeritaks iga hanke puhul uuesti.</w:t>
      </w:r>
    </w:p>
    <w:p>
      <w:pPr>
        <w:pStyle w:val="ListBullet"/>
        <w:spacing w:after="40"/>
      </w:pPr>
      <w:r>
        <w:rPr>
          <w:b/>
        </w:rPr>
        <w:t xml:space="preserve">Kutse tõendatavus. </w:t>
      </w:r>
      <w:r>
        <w:t>INVITATION.distance_m ja source võimaldavad hiljem selgitada, miks konkreetne organisatsioon kutsuti.</w:t>
      </w:r>
    </w:p>
    <w:p>
      <w:pPr>
        <w:pStyle w:val="CodeSmall"/>
      </w:pPr>
      <w:r>
        <w:t>CREATE INDEX ix_address_geo ON address USING GIST (geo_point);</w:t>
        <w:br/>
        <w:t>SELECT organization_id</w:t>
        <w:br/>
        <w:t>FROM address</w:t>
        <w:br/>
        <w:t>WHERE ST_DWithin(geo_point, :procurement_point, :radius_m);</w:t>
      </w:r>
    </w:p>
    <w:p>
      <w:pPr>
        <w:pStyle w:val="Heading1"/>
      </w:pPr>
      <w:r>
        <w:t>9. Ettemakse, teenustasu ja väljamakse andmemudel</w:t>
      </w:r>
    </w:p>
    <w:p>
      <w:r>
        <w:t>Finantsmudel peab eristama kolme asja: (1) maksepartneri tehniline tehing, (2) Ühishanke sisemine äriline nõue ja (3) raha jaotus. Seetõttu ei tohiks kogu loogikat panna ühte PAYMENT.status välja.</w:t>
      </w:r>
    </w:p>
    <w:p>
      <w:pPr>
        <w:pStyle w:val="ListBullet"/>
        <w:spacing w:after="40"/>
      </w:pPr>
      <w:r>
        <w:rPr>
          <w:b/>
        </w:rPr>
        <w:t xml:space="preserve">gross_deposit — </w:t>
      </w:r>
      <w:r>
        <w:t>osaleja tasutud ettemakse.</w:t>
      </w:r>
    </w:p>
    <w:p>
      <w:pPr>
        <w:pStyle w:val="ListBullet"/>
        <w:spacing w:after="40"/>
      </w:pPr>
      <w:r>
        <w:rPr>
          <w:b/>
        </w:rPr>
        <w:t xml:space="preserve">platform_fee — </w:t>
      </w:r>
      <w:r>
        <w:t>Ühishanke teenustasu; protsent või fikseeritud summa snapshot’ina commitment’is.</w:t>
      </w:r>
    </w:p>
    <w:p>
      <w:pPr>
        <w:pStyle w:val="ListBullet"/>
        <w:spacing w:after="40"/>
      </w:pPr>
      <w:r>
        <w:rPr>
          <w:b/>
        </w:rPr>
        <w:t xml:space="preserve">supplier_share — </w:t>
      </w:r>
      <w:r>
        <w:t>teenusepakkujale kuuluv osa = gross_deposit − platform_fee − muud kokkulepitud tasud.</w:t>
      </w:r>
    </w:p>
    <w:p>
      <w:pPr>
        <w:pStyle w:val="ListBullet"/>
        <w:spacing w:after="40"/>
      </w:pPr>
      <w:r>
        <w:rPr>
          <w:b/>
        </w:rPr>
        <w:t xml:space="preserve">refund_amount — </w:t>
      </w:r>
      <w:r>
        <w:t>tagastatav summa; ebaõnnestumise korral reeglina kogu tagastatav ettemakse.</w:t>
      </w:r>
    </w:p>
    <w:tbl>
      <w:tblPr>
        <w:tblW w:type="auto" w:w="0"/>
        <w:jc w:val="center"/>
        <w:tblLook w:firstColumn="1" w:firstRow="1" w:lastColumn="0" w:lastRow="0" w:noHBand="0" w:noVBand="1" w:val="04A0"/>
      </w:tblPr>
      <w:tblGrid>
        <w:gridCol w:w="10224"/>
      </w:tblGrid>
      <w:tr>
        <w:tc>
          <w:tcPr>
            <w:tcW w:type="dxa" w:w="10224"/>
            <w:shd w:fill="F3F3F3"/>
            <w:tcMar>
              <w:top w:w="120" w:type="dxa"/>
              <w:start w:w="160" w:type="dxa"/>
              <w:bottom w:w="120" w:type="dxa"/>
              <w:end w:w="160" w:type="dxa"/>
            </w:tcMar>
          </w:tcPr>
          <w:p>
            <w:r>
              <w:rPr>
                <w:b/>
              </w:rPr>
              <w:t xml:space="preserve">Terminoloogia: </w:t>
            </w:r>
            <w:r>
              <w:t>“escrow” tuleks kasutada ainult siis, kui valitud makselahendus ja lepinguline raamistik seda tegelikult toetavad. Andmemudelis on turvalisem kasutada neutraalseid mõisteid deposit/reserved/captured/payout ning kaardistada need maksepartneri tegelikele olekutele.</w:t>
            </w:r>
          </w:p>
        </w:tc>
      </w:tr>
    </w:tbl>
    <w:p>
      <w:pPr>
        <w:spacing w:after="20"/>
      </w:pPr>
    </w:p>
    <w:p>
      <w:pPr>
        <w:pStyle w:val="Heading1"/>
      </w:pPr>
      <w:r>
        <w:t>10. Lahendamist vajav ärireegli konflikt</w:t>
      </w:r>
    </w:p>
    <w:p>
      <w:r>
        <w:t>Senises kontseptsioonis on korraga kaks reeglit: “ebaõnnestumisel makstakse raha tagasi” ja “loobumisel raha tagasi ei saa; loobuja ettemakse läheb hanke täitjale, millest võetakse maha teenustasu”. Need reeglid on ühes olukorras vastuolus: osaleja loobub enne lävendi täitumist ja hange ebaõnnestub hiljem tervikuna.</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EAEAEA"/>
            <w:vAlign w:val="center"/>
            <w:tcMar>
              <w:top w:w="70" w:type="dxa"/>
              <w:start w:w="90" w:type="dxa"/>
              <w:bottom w:w="70" w:type="dxa"/>
              <w:end w:w="90" w:type="dxa"/>
            </w:tcMar>
          </w:tcPr>
          <w:p>
            <w:pPr>
              <w:spacing w:after="0" w:before="0"/>
            </w:pPr>
            <w:r>
              <w:rPr>
                <w:rFonts w:ascii="Arial" w:hAnsi="Arial"/>
                <w:b/>
                <w:sz w:val="16"/>
              </w:rPr>
              <w:t>Stsenaarium</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Praegune tõlgendus</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Andmemudeli tugi</w:t>
            </w:r>
          </w:p>
        </w:tc>
        <w:tc>
          <w:tcPr>
            <w:tcW w:type="dxa" w:w="2556"/>
            <w:shd w:fill="EAEAEA"/>
            <w:vAlign w:val="center"/>
            <w:tcMar>
              <w:top w:w="70" w:type="dxa"/>
              <w:start w:w="90" w:type="dxa"/>
              <w:bottom w:w="70" w:type="dxa"/>
              <w:end w:w="90" w:type="dxa"/>
            </w:tcMar>
          </w:tcPr>
          <w:p>
            <w:pPr>
              <w:spacing w:after="0" w:before="0"/>
            </w:pPr>
            <w:r>
              <w:rPr>
                <w:rFonts w:ascii="Arial" w:hAnsi="Arial"/>
                <w:b/>
                <w:sz w:val="16"/>
              </w:rPr>
              <w:t>Otsus vajalik</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Hange ebaõnnestub; osaleja ei loobunud</w:t>
            </w:r>
          </w:p>
        </w:tc>
        <w:tc>
          <w:tcPr>
            <w:tcW w:type="dxa" w:w="2556"/>
            <w:vAlign w:val="center"/>
            <w:tcMar>
              <w:top w:w="70" w:type="dxa"/>
              <w:start w:w="90" w:type="dxa"/>
              <w:bottom w:w="70" w:type="dxa"/>
              <w:end w:w="90" w:type="dxa"/>
            </w:tcMar>
          </w:tcPr>
          <w:p>
            <w:pPr>
              <w:spacing w:after="0" w:before="0"/>
            </w:pPr>
            <w:r>
              <w:rPr>
                <w:rFonts w:ascii="Arial" w:hAnsi="Arial"/>
                <w:sz w:val="16"/>
              </w:rPr>
              <w:t>Tagasimakse</w:t>
            </w:r>
          </w:p>
        </w:tc>
        <w:tc>
          <w:tcPr>
            <w:tcW w:type="dxa" w:w="2556"/>
            <w:vAlign w:val="center"/>
            <w:tcMar>
              <w:top w:w="70" w:type="dxa"/>
              <w:start w:w="90" w:type="dxa"/>
              <w:bottom w:w="70" w:type="dxa"/>
              <w:end w:w="90" w:type="dxa"/>
            </w:tcMar>
          </w:tcPr>
          <w:p>
            <w:pPr>
              <w:spacing w:after="0" w:before="0"/>
            </w:pPr>
            <w:r>
              <w:rPr>
                <w:rFonts w:ascii="Arial" w:hAnsi="Arial"/>
                <w:sz w:val="16"/>
              </w:rPr>
              <w:t>REFUND_OUT</w:t>
            </w:r>
          </w:p>
        </w:tc>
        <w:tc>
          <w:tcPr>
            <w:tcW w:type="dxa" w:w="2556"/>
            <w:vAlign w:val="center"/>
            <w:tcMar>
              <w:top w:w="70" w:type="dxa"/>
              <w:start w:w="90" w:type="dxa"/>
              <w:bottom w:w="70" w:type="dxa"/>
              <w:end w:w="90" w:type="dxa"/>
            </w:tcMar>
          </w:tcPr>
          <w:p>
            <w:pPr>
              <w:spacing w:after="0" w:before="0"/>
            </w:pPr>
            <w:r>
              <w:rPr>
                <w:rFonts w:ascii="Arial" w:hAnsi="Arial"/>
                <w:sz w:val="16"/>
              </w:rPr>
              <w:t>Ei</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Hange õnnestub; osaleja jääb</w:t>
            </w:r>
          </w:p>
        </w:tc>
        <w:tc>
          <w:tcPr>
            <w:tcW w:type="dxa" w:w="2556"/>
            <w:vAlign w:val="center"/>
            <w:tcMar>
              <w:top w:w="70" w:type="dxa"/>
              <w:start w:w="90" w:type="dxa"/>
              <w:bottom w:w="70" w:type="dxa"/>
              <w:end w:w="90" w:type="dxa"/>
            </w:tcMar>
          </w:tcPr>
          <w:p>
            <w:pPr>
              <w:spacing w:after="0" w:before="0"/>
            </w:pPr>
            <w:r>
              <w:rPr>
                <w:rFonts w:ascii="Arial" w:hAnsi="Arial"/>
                <w:sz w:val="16"/>
              </w:rPr>
              <w:t>Leping/täitmine</w:t>
            </w:r>
          </w:p>
        </w:tc>
        <w:tc>
          <w:tcPr>
            <w:tcW w:type="dxa" w:w="2556"/>
            <w:vAlign w:val="center"/>
            <w:tcMar>
              <w:top w:w="70" w:type="dxa"/>
              <w:start w:w="90" w:type="dxa"/>
              <w:bottom w:w="70" w:type="dxa"/>
              <w:end w:w="90" w:type="dxa"/>
            </w:tcMar>
          </w:tcPr>
          <w:p>
            <w:pPr>
              <w:spacing w:after="0" w:before="0"/>
            </w:pPr>
            <w:r>
              <w:rPr>
                <w:rFonts w:ascii="Arial" w:hAnsi="Arial"/>
                <w:sz w:val="16"/>
              </w:rPr>
              <w:t>CONTRACT + payout reeglid</w:t>
            </w:r>
          </w:p>
        </w:tc>
        <w:tc>
          <w:tcPr>
            <w:tcW w:type="dxa" w:w="2556"/>
            <w:vAlign w:val="center"/>
            <w:tcMar>
              <w:top w:w="70" w:type="dxa"/>
              <w:start w:w="90" w:type="dxa"/>
              <w:bottom w:w="70" w:type="dxa"/>
              <w:end w:w="90" w:type="dxa"/>
            </w:tcMar>
          </w:tcPr>
          <w:p>
            <w:pPr>
              <w:spacing w:after="0" w:before="0"/>
            </w:pPr>
            <w:r>
              <w:rPr>
                <w:rFonts w:ascii="Arial" w:hAnsi="Arial"/>
                <w:sz w:val="16"/>
              </w:rPr>
              <w:t>Ei</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Hange õnnestub; osaleja loobub</w:t>
            </w:r>
          </w:p>
        </w:tc>
        <w:tc>
          <w:tcPr>
            <w:tcW w:type="dxa" w:w="2556"/>
            <w:vAlign w:val="center"/>
            <w:tcMar>
              <w:top w:w="70" w:type="dxa"/>
              <w:start w:w="90" w:type="dxa"/>
              <w:bottom w:w="70" w:type="dxa"/>
              <w:end w:w="90" w:type="dxa"/>
            </w:tcMar>
          </w:tcPr>
          <w:p>
            <w:pPr>
              <w:spacing w:after="0" w:before="0"/>
            </w:pPr>
            <w:r>
              <w:rPr>
                <w:rFonts w:ascii="Arial" w:hAnsi="Arial"/>
                <w:sz w:val="16"/>
              </w:rPr>
              <w:t>Ettemakse ei tagastata; teenusepakkuja osa + teenustasu</w:t>
            </w:r>
          </w:p>
        </w:tc>
        <w:tc>
          <w:tcPr>
            <w:tcW w:type="dxa" w:w="2556"/>
            <w:vAlign w:val="center"/>
            <w:tcMar>
              <w:top w:w="70" w:type="dxa"/>
              <w:start w:w="90" w:type="dxa"/>
              <w:bottom w:w="70" w:type="dxa"/>
              <w:end w:w="90" w:type="dxa"/>
            </w:tcMar>
          </w:tcPr>
          <w:p>
            <w:pPr>
              <w:spacing w:after="0" w:before="0"/>
            </w:pPr>
            <w:r>
              <w:rPr>
                <w:rFonts w:ascii="Arial" w:hAnsi="Arial"/>
                <w:sz w:val="16"/>
              </w:rPr>
              <w:t>WITHDRAWN + PLATFORM_FEE + SUPPLIER_PAYOUT</w:t>
            </w:r>
          </w:p>
        </w:tc>
        <w:tc>
          <w:tcPr>
            <w:tcW w:type="dxa" w:w="2556"/>
            <w:vAlign w:val="center"/>
            <w:tcMar>
              <w:top w:w="70" w:type="dxa"/>
              <w:start w:w="90" w:type="dxa"/>
              <w:bottom w:w="70" w:type="dxa"/>
              <w:end w:w="90" w:type="dxa"/>
            </w:tcMar>
          </w:tcPr>
          <w:p>
            <w:pPr>
              <w:spacing w:after="0" w:before="0"/>
            </w:pPr>
            <w:r>
              <w:rPr>
                <w:rFonts w:ascii="Arial" w:hAnsi="Arial"/>
                <w:sz w:val="16"/>
              </w:rPr>
              <w:t>Ei</w:t>
            </w:r>
          </w:p>
        </w:tc>
      </w:tr>
      <w:tr>
        <w:trPr>
          <w:cantSplit/>
        </w:trPr>
        <w:tc>
          <w:tcPr>
            <w:tcW w:type="dxa" w:w="2556"/>
            <w:vAlign w:val="center"/>
            <w:tcMar>
              <w:top w:w="70" w:type="dxa"/>
              <w:start w:w="90" w:type="dxa"/>
              <w:bottom w:w="70" w:type="dxa"/>
              <w:end w:w="90" w:type="dxa"/>
            </w:tcMar>
          </w:tcPr>
          <w:p>
            <w:pPr>
              <w:spacing w:after="0" w:before="0"/>
            </w:pPr>
            <w:r>
              <w:rPr>
                <w:rFonts w:ascii="Arial" w:hAnsi="Arial"/>
                <w:sz w:val="16"/>
              </w:rPr>
              <w:t>Osaleja loobub enne edu; hange hiljem ebaõnnestub</w:t>
            </w:r>
          </w:p>
        </w:tc>
        <w:tc>
          <w:tcPr>
            <w:tcW w:type="dxa" w:w="2556"/>
            <w:vAlign w:val="center"/>
            <w:tcMar>
              <w:top w:w="70" w:type="dxa"/>
              <w:start w:w="90" w:type="dxa"/>
              <w:bottom w:w="70" w:type="dxa"/>
              <w:end w:w="90" w:type="dxa"/>
            </w:tcMar>
          </w:tcPr>
          <w:p>
            <w:pPr>
              <w:spacing w:after="0" w:before="0"/>
            </w:pPr>
            <w:r>
              <w:rPr>
                <w:rFonts w:ascii="Arial" w:hAnsi="Arial"/>
                <w:sz w:val="16"/>
              </w:rPr>
              <w:t>Reeglid võivad konflikti minna</w:t>
            </w:r>
          </w:p>
        </w:tc>
        <w:tc>
          <w:tcPr>
            <w:tcW w:type="dxa" w:w="2556"/>
            <w:vAlign w:val="center"/>
            <w:tcMar>
              <w:top w:w="70" w:type="dxa"/>
              <w:start w:w="90" w:type="dxa"/>
              <w:bottom w:w="70" w:type="dxa"/>
              <w:end w:w="90" w:type="dxa"/>
            </w:tcMar>
          </w:tcPr>
          <w:p>
            <w:pPr>
              <w:spacing w:after="0" w:before="0"/>
            </w:pPr>
            <w:r>
              <w:rPr>
                <w:rFonts w:ascii="Arial" w:hAnsi="Arial"/>
                <w:sz w:val="16"/>
              </w:rPr>
              <w:t>Mudel toetab nii refund’i kui forfeiture’i</w:t>
            </w:r>
          </w:p>
        </w:tc>
        <w:tc>
          <w:tcPr>
            <w:tcW w:type="dxa" w:w="2556"/>
            <w:vAlign w:val="center"/>
            <w:tcMar>
              <w:top w:w="70" w:type="dxa"/>
              <w:start w:w="90" w:type="dxa"/>
              <w:bottom w:w="70" w:type="dxa"/>
              <w:end w:w="90" w:type="dxa"/>
            </w:tcMar>
          </w:tcPr>
          <w:p>
            <w:pPr>
              <w:spacing w:after="0" w:before="0"/>
            </w:pPr>
            <w:r>
              <w:rPr>
                <w:rFonts w:ascii="Arial" w:hAnsi="Arial"/>
                <w:sz w:val="16"/>
              </w:rPr>
              <w:t>Jah — toote/õiguse otsus</w:t>
            </w:r>
          </w:p>
        </w:tc>
      </w:tr>
    </w:tbl>
    <w:p>
      <w:pPr>
        <w:pStyle w:val="Heading1"/>
      </w:pPr>
      <w:r>
        <w:t>11. Andmeterviklus ja indeksid</w:t>
      </w:r>
    </w:p>
    <w:p>
      <w:pPr>
        <w:pStyle w:val="ListBullet"/>
        <w:spacing w:after="40"/>
      </w:pPr>
      <w:r>
        <w:rPr>
          <w:b/>
        </w:rPr>
        <w:t xml:space="preserve">Unikaalsus. </w:t>
      </w:r>
      <w:r>
        <w:t>ORGANIZATION.registry_code; PAYMENT.provider_tx_id; ORGANIZATION_USER(organization_id,user_id).</w:t>
      </w:r>
    </w:p>
    <w:p>
      <w:pPr>
        <w:pStyle w:val="ListBullet"/>
        <w:spacing w:after="40"/>
      </w:pPr>
      <w:r>
        <w:rPr>
          <w:b/>
        </w:rPr>
        <w:t xml:space="preserve">Topeltaktsepteerimise vältimine. </w:t>
      </w:r>
      <w:r>
        <w:t>COMMITMENT(offer_id,buyer_org_id) peab lubama maksimaalselt ühe aktiivse commitment’i; ajaloolised WITHDRAWN kirjed võib säilitada.</w:t>
      </w:r>
    </w:p>
    <w:p>
      <w:pPr>
        <w:pStyle w:val="ListBullet"/>
        <w:spacing w:after="40"/>
      </w:pPr>
      <w:r>
        <w:rPr>
          <w:b/>
        </w:rPr>
        <w:t xml:space="preserve">Ruumindeks. </w:t>
      </w:r>
      <w:r>
        <w:t>GIST indeks ADDRESS.geo_point ja vajadusel PROCUREMENT.location_point.</w:t>
      </w:r>
    </w:p>
    <w:p>
      <w:pPr>
        <w:pStyle w:val="ListBullet"/>
        <w:spacing w:after="40"/>
      </w:pPr>
      <w:r>
        <w:rPr>
          <w:b/>
        </w:rPr>
        <w:t xml:space="preserve">Tööjärjekorrad. </w:t>
      </w:r>
      <w:r>
        <w:t>Indeksid PROCUREMENT(status, join_deadline_at), SUPPLIER_OFFER(status, valid_until), PAYMENT(status).</w:t>
      </w:r>
    </w:p>
    <w:p>
      <w:pPr>
        <w:pStyle w:val="ListBullet"/>
        <w:spacing w:after="40"/>
      </w:pPr>
      <w:r>
        <w:rPr>
          <w:b/>
        </w:rPr>
        <w:t xml:space="preserve">Välisvõtmed. </w:t>
      </w:r>
      <w:r>
        <w:t>Finants- ja lepingutabelites kasutada RESTRICT/NO ACTION kustutusi; ärikriitilisi objekte ei kustutata cascade’iga.</w:t>
      </w:r>
    </w:p>
    <w:p>
      <w:pPr>
        <w:pStyle w:val="ListBullet"/>
        <w:spacing w:after="40"/>
      </w:pPr>
      <w:r>
        <w:rPr>
          <w:b/>
        </w:rPr>
        <w:t xml:space="preserve">Soft delete. </w:t>
      </w:r>
      <w:r>
        <w:t>Organisatsioonide ja kasutajate puhul eelistada status/deleted_at, kui ajaloolised hanked peavad jääma loetavaks.</w:t>
      </w:r>
    </w:p>
    <w:p>
      <w:pPr>
        <w:pStyle w:val="Heading1"/>
      </w:pPr>
      <w:r>
        <w:t>12. Sündmused ja analüütika</w:t>
      </w:r>
    </w:p>
    <w:p>
      <w:r>
        <w:t>AUDIT_EVENT võib olla ühtaegu auditijälg ja lähtepunkt tooteanalüütikale. Soovituslikud sündmused:</w:t>
      </w:r>
    </w:p>
    <w:p>
      <w:pPr>
        <w:pStyle w:val="ListBullet"/>
        <w:spacing w:after="40"/>
      </w:pPr>
      <w:r>
        <w:t>PROCUREMENT_CREATED</w:t>
      </w:r>
    </w:p>
    <w:p>
      <w:pPr>
        <w:pStyle w:val="ListBullet"/>
        <w:spacing w:after="40"/>
      </w:pPr>
      <w:r>
        <w:t>PROCUREMENT_PUBLISHED</w:t>
      </w:r>
    </w:p>
    <w:p>
      <w:pPr>
        <w:pStyle w:val="ListBullet"/>
        <w:spacing w:after="40"/>
      </w:pPr>
      <w:r>
        <w:t>BUYER_INVITATION_SENT</w:t>
      </w:r>
    </w:p>
    <w:p>
      <w:pPr>
        <w:pStyle w:val="ListBullet"/>
        <w:spacing w:after="40"/>
      </w:pPr>
      <w:r>
        <w:t>SUPPLIER_INVITATION_SENT</w:t>
      </w:r>
    </w:p>
    <w:p>
      <w:pPr>
        <w:pStyle w:val="ListBullet"/>
        <w:spacing w:after="40"/>
      </w:pPr>
      <w:r>
        <w:t>OFFER_PUBLISHED</w:t>
      </w:r>
    </w:p>
    <w:p>
      <w:pPr>
        <w:pStyle w:val="ListBullet"/>
        <w:spacing w:after="40"/>
      </w:pPr>
      <w:r>
        <w:t>COMMITMENT_CREATED</w:t>
      </w:r>
    </w:p>
    <w:p>
      <w:pPr>
        <w:pStyle w:val="ListBullet"/>
        <w:spacing w:after="40"/>
      </w:pPr>
      <w:r>
        <w:t>DEPOSIT_CAPTURED</w:t>
      </w:r>
    </w:p>
    <w:p>
      <w:pPr>
        <w:pStyle w:val="ListBullet"/>
        <w:spacing w:after="40"/>
      </w:pPr>
      <w:r>
        <w:t>THRESHOLD_REACHED</w:t>
      </w:r>
    </w:p>
    <w:p>
      <w:pPr>
        <w:pStyle w:val="ListBullet"/>
        <w:spacing w:after="40"/>
      </w:pPr>
      <w:r>
        <w:t>PROCUREMENT_SUCCEEDED</w:t>
      </w:r>
    </w:p>
    <w:p>
      <w:pPr>
        <w:pStyle w:val="ListBullet"/>
        <w:spacing w:after="40"/>
      </w:pPr>
      <w:r>
        <w:t>PROCUREMENT_FAILED</w:t>
      </w:r>
    </w:p>
    <w:p>
      <w:pPr>
        <w:pStyle w:val="ListBullet"/>
        <w:spacing w:after="40"/>
      </w:pPr>
      <w:r>
        <w:t>COMMITMENT_WITHDRAWN</w:t>
      </w:r>
    </w:p>
    <w:p>
      <w:pPr>
        <w:pStyle w:val="ListBullet"/>
        <w:spacing w:after="40"/>
      </w:pPr>
      <w:r>
        <w:t>REFUND_ISSUED</w:t>
      </w:r>
    </w:p>
    <w:p>
      <w:pPr>
        <w:pStyle w:val="ListBullet"/>
        <w:spacing w:after="40"/>
      </w:pPr>
      <w:r>
        <w:t>SUPPLIER_PAYOUT_CREATED</w:t>
      </w:r>
    </w:p>
    <w:p>
      <w:pPr>
        <w:pStyle w:val="ListBullet"/>
        <w:spacing w:after="40"/>
      </w:pPr>
      <w:r>
        <w:t>CONTRACT_CREATED</w:t>
      </w:r>
    </w:p>
    <w:p>
      <w:pPr>
        <w:pStyle w:val="ListBullet"/>
        <w:spacing w:after="40"/>
      </w:pPr>
      <w:r>
        <w:t>SERVICE_COMPLETED</w:t>
      </w:r>
    </w:p>
    <w:p>
      <w:r>
        <w:t>Nendest saab hiljem mõõta nt kutse → liitumine konversiooni, keskmist aega lävendini, ebaõnnestumise määra, hanke piirkonna tihedust, pakkumiste hinnastamise tundlikkust ja platvormi teenustasu.</w:t>
      </w:r>
    </w:p>
    <w:p>
      <w:pPr>
        <w:pStyle w:val="Heading1"/>
      </w:pPr>
      <w:r>
        <w:t>13. MVP vs järgmine etapp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AEAEA"/>
            <w:vAlign w:val="center"/>
            <w:tcMar>
              <w:top w:w="70" w:type="dxa"/>
              <w:start w:w="90" w:type="dxa"/>
              <w:bottom w:w="70" w:type="dxa"/>
              <w:end w:w="90" w:type="dxa"/>
            </w:tcMar>
          </w:tcPr>
          <w:p>
            <w:pPr>
              <w:spacing w:after="0" w:before="0"/>
            </w:pPr>
            <w:r>
              <w:rPr>
                <w:rFonts w:ascii="Arial" w:hAnsi="Arial"/>
                <w:b/>
                <w:sz w:val="16"/>
              </w:rPr>
              <w:t>Valdkond</w:t>
            </w:r>
          </w:p>
        </w:tc>
        <w:tc>
          <w:tcPr>
            <w:tcW w:type="dxa" w:w="3408"/>
            <w:shd w:fill="EAEAEA"/>
            <w:vAlign w:val="center"/>
            <w:tcMar>
              <w:top w:w="70" w:type="dxa"/>
              <w:start w:w="90" w:type="dxa"/>
              <w:bottom w:w="70" w:type="dxa"/>
              <w:end w:w="90" w:type="dxa"/>
            </w:tcMar>
          </w:tcPr>
          <w:p>
            <w:pPr>
              <w:spacing w:after="0" w:before="0"/>
            </w:pPr>
            <w:r>
              <w:rPr>
                <w:rFonts w:ascii="Arial" w:hAnsi="Arial"/>
                <w:b/>
                <w:sz w:val="16"/>
              </w:rPr>
              <w:t>MVP</w:t>
            </w:r>
          </w:p>
        </w:tc>
        <w:tc>
          <w:tcPr>
            <w:tcW w:type="dxa" w:w="3408"/>
            <w:shd w:fill="EAEAEA"/>
            <w:vAlign w:val="center"/>
            <w:tcMar>
              <w:top w:w="70" w:type="dxa"/>
              <w:start w:w="90" w:type="dxa"/>
              <w:bottom w:w="70" w:type="dxa"/>
              <w:end w:w="90" w:type="dxa"/>
            </w:tcMar>
          </w:tcPr>
          <w:p>
            <w:pPr>
              <w:spacing w:after="0" w:before="0"/>
            </w:pPr>
            <w:r>
              <w:rPr>
                <w:rFonts w:ascii="Arial" w:hAnsi="Arial"/>
                <w:b/>
                <w:sz w:val="16"/>
              </w:rPr>
              <w:t>Järgmine etapp</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Organisatsioonid</w:t>
            </w:r>
          </w:p>
        </w:tc>
        <w:tc>
          <w:tcPr>
            <w:tcW w:type="dxa" w:w="3408"/>
            <w:vAlign w:val="center"/>
            <w:tcMar>
              <w:top w:w="70" w:type="dxa"/>
              <w:start w:w="90" w:type="dxa"/>
              <w:bottom w:w="70" w:type="dxa"/>
              <w:end w:w="90" w:type="dxa"/>
            </w:tcMar>
          </w:tcPr>
          <w:p>
            <w:pPr>
              <w:spacing w:after="0" w:before="0"/>
            </w:pPr>
            <w:r>
              <w:rPr>
                <w:rFonts w:ascii="Arial" w:hAnsi="Arial"/>
                <w:sz w:val="16"/>
              </w:rPr>
              <w:t>Registrikood, nimi, aadress, roll</w:t>
            </w:r>
          </w:p>
        </w:tc>
        <w:tc>
          <w:tcPr>
            <w:tcW w:type="dxa" w:w="3408"/>
            <w:vAlign w:val="center"/>
            <w:tcMar>
              <w:top w:w="70" w:type="dxa"/>
              <w:start w:w="90" w:type="dxa"/>
              <w:bottom w:w="70" w:type="dxa"/>
              <w:end w:w="90" w:type="dxa"/>
            </w:tcMar>
          </w:tcPr>
          <w:p>
            <w:pPr>
              <w:spacing w:after="0" w:before="0"/>
            </w:pPr>
            <w:r>
              <w:rPr>
                <w:rFonts w:ascii="Arial" w:hAnsi="Arial"/>
                <w:sz w:val="16"/>
              </w:rPr>
              <w:t>Automaatne registrisünk, mitu tegevuskohta</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Geograafia</w:t>
            </w:r>
          </w:p>
        </w:tc>
        <w:tc>
          <w:tcPr>
            <w:tcW w:type="dxa" w:w="3408"/>
            <w:vAlign w:val="center"/>
            <w:tcMar>
              <w:top w:w="70" w:type="dxa"/>
              <w:start w:w="90" w:type="dxa"/>
              <w:bottom w:w="70" w:type="dxa"/>
              <w:end w:w="90" w:type="dxa"/>
            </w:tcMar>
          </w:tcPr>
          <w:p>
            <w:pPr>
              <w:spacing w:after="0" w:before="0"/>
            </w:pPr>
            <w:r>
              <w:rPr>
                <w:rFonts w:ascii="Arial" w:hAnsi="Arial"/>
                <w:sz w:val="16"/>
              </w:rPr>
              <w:t>Üks põhiaadress + 500 m raadius</w:t>
            </w:r>
          </w:p>
        </w:tc>
        <w:tc>
          <w:tcPr>
            <w:tcW w:type="dxa" w:w="3408"/>
            <w:vAlign w:val="center"/>
            <w:tcMar>
              <w:top w:w="70" w:type="dxa"/>
              <w:start w:w="90" w:type="dxa"/>
              <w:bottom w:w="70" w:type="dxa"/>
              <w:end w:w="90" w:type="dxa"/>
            </w:tcMar>
          </w:tcPr>
          <w:p>
            <w:pPr>
              <w:spacing w:after="0" w:before="0"/>
            </w:pPr>
            <w:r>
              <w:rPr>
                <w:rFonts w:ascii="Arial" w:hAnsi="Arial"/>
                <w:sz w:val="16"/>
              </w:rPr>
              <w:t>Polügoonid, teeninduspiirkonnad, dünaamiline raadius</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Hange</w:t>
            </w:r>
          </w:p>
        </w:tc>
        <w:tc>
          <w:tcPr>
            <w:tcW w:type="dxa" w:w="3408"/>
            <w:vAlign w:val="center"/>
            <w:tcMar>
              <w:top w:w="70" w:type="dxa"/>
              <w:start w:w="90" w:type="dxa"/>
              <w:bottom w:w="70" w:type="dxa"/>
              <w:end w:w="90" w:type="dxa"/>
            </w:tcMar>
          </w:tcPr>
          <w:p>
            <w:pPr>
              <w:spacing w:after="0" w:before="0"/>
            </w:pPr>
            <w:r>
              <w:rPr>
                <w:rFonts w:ascii="Arial" w:hAnsi="Arial"/>
                <w:sz w:val="16"/>
              </w:rPr>
              <w:t>Üks teenusekategooria, üks keskpunkt</w:t>
            </w:r>
          </w:p>
        </w:tc>
        <w:tc>
          <w:tcPr>
            <w:tcW w:type="dxa" w:w="3408"/>
            <w:vAlign w:val="center"/>
            <w:tcMar>
              <w:top w:w="70" w:type="dxa"/>
              <w:start w:w="90" w:type="dxa"/>
              <w:bottom w:w="70" w:type="dxa"/>
              <w:end w:w="90" w:type="dxa"/>
            </w:tcMar>
          </w:tcPr>
          <w:p>
            <w:pPr>
              <w:spacing w:after="0" w:before="0"/>
            </w:pPr>
            <w:r>
              <w:rPr>
                <w:rFonts w:ascii="Arial" w:hAnsi="Arial"/>
                <w:sz w:val="16"/>
              </w:rPr>
              <w:t>Mitme objekti/asukohaga hanked</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Pakkumine</w:t>
            </w:r>
          </w:p>
        </w:tc>
        <w:tc>
          <w:tcPr>
            <w:tcW w:type="dxa" w:w="3408"/>
            <w:vAlign w:val="center"/>
            <w:tcMar>
              <w:top w:w="70" w:type="dxa"/>
              <w:start w:w="90" w:type="dxa"/>
              <w:bottom w:w="70" w:type="dxa"/>
              <w:end w:w="90" w:type="dxa"/>
            </w:tcMar>
          </w:tcPr>
          <w:p>
            <w:pPr>
              <w:spacing w:after="0" w:before="0"/>
            </w:pPr>
            <w:r>
              <w:rPr>
                <w:rFonts w:ascii="Arial" w:hAnsi="Arial"/>
                <w:sz w:val="16"/>
              </w:rPr>
              <w:t>Üks või mitu tier’i</w:t>
            </w:r>
          </w:p>
        </w:tc>
        <w:tc>
          <w:tcPr>
            <w:tcW w:type="dxa" w:w="3408"/>
            <w:vAlign w:val="center"/>
            <w:tcMar>
              <w:top w:w="70" w:type="dxa"/>
              <w:start w:w="90" w:type="dxa"/>
              <w:bottom w:w="70" w:type="dxa"/>
              <w:end w:w="90" w:type="dxa"/>
            </w:tcMar>
          </w:tcPr>
          <w:p>
            <w:pPr>
              <w:spacing w:after="0" w:before="0"/>
            </w:pPr>
            <w:r>
              <w:rPr>
                <w:rFonts w:ascii="Arial" w:hAnsi="Arial"/>
                <w:sz w:val="16"/>
              </w:rPr>
              <w:t>Keerukad hinnastamisvalemid, mahupõhine hind</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Commitment</w:t>
            </w:r>
          </w:p>
        </w:tc>
        <w:tc>
          <w:tcPr>
            <w:tcW w:type="dxa" w:w="3408"/>
            <w:vAlign w:val="center"/>
            <w:tcMar>
              <w:top w:w="70" w:type="dxa"/>
              <w:start w:w="90" w:type="dxa"/>
              <w:bottom w:w="70" w:type="dxa"/>
              <w:end w:w="90" w:type="dxa"/>
            </w:tcMar>
          </w:tcPr>
          <w:p>
            <w:pPr>
              <w:spacing w:after="0" w:before="0"/>
            </w:pPr>
            <w:r>
              <w:rPr>
                <w:rFonts w:ascii="Arial" w:hAnsi="Arial"/>
                <w:sz w:val="16"/>
              </w:rPr>
              <w:t>Üks organisatsioon = üks aktiivne aktsepteerimine pakkumise kohta</w:t>
            </w:r>
          </w:p>
        </w:tc>
        <w:tc>
          <w:tcPr>
            <w:tcW w:type="dxa" w:w="3408"/>
            <w:vAlign w:val="center"/>
            <w:tcMar>
              <w:top w:w="70" w:type="dxa"/>
              <w:start w:w="90" w:type="dxa"/>
              <w:bottom w:w="70" w:type="dxa"/>
              <w:end w:w="90" w:type="dxa"/>
            </w:tcMar>
          </w:tcPr>
          <w:p>
            <w:pPr>
              <w:spacing w:after="0" w:before="0"/>
            </w:pPr>
            <w:r>
              <w:rPr>
                <w:rFonts w:ascii="Arial" w:hAnsi="Arial"/>
                <w:sz w:val="16"/>
              </w:rPr>
              <w:t>Mitme objekti/koguse commitment</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Makse</w:t>
            </w:r>
          </w:p>
        </w:tc>
        <w:tc>
          <w:tcPr>
            <w:tcW w:type="dxa" w:w="3408"/>
            <w:vAlign w:val="center"/>
            <w:tcMar>
              <w:top w:w="70" w:type="dxa"/>
              <w:start w:w="90" w:type="dxa"/>
              <w:bottom w:w="70" w:type="dxa"/>
              <w:end w:w="90" w:type="dxa"/>
            </w:tcMar>
          </w:tcPr>
          <w:p>
            <w:pPr>
              <w:spacing w:after="0" w:before="0"/>
            </w:pPr>
            <w:r>
              <w:rPr>
                <w:rFonts w:ascii="Arial" w:hAnsi="Arial"/>
                <w:sz w:val="16"/>
              </w:rPr>
              <w:t>Ettemakse + refund + payout + fee ledger</w:t>
            </w:r>
          </w:p>
        </w:tc>
        <w:tc>
          <w:tcPr>
            <w:tcW w:type="dxa" w:w="3408"/>
            <w:vAlign w:val="center"/>
            <w:tcMar>
              <w:top w:w="70" w:type="dxa"/>
              <w:start w:w="90" w:type="dxa"/>
              <w:bottom w:w="70" w:type="dxa"/>
              <w:end w:w="90" w:type="dxa"/>
            </w:tcMar>
          </w:tcPr>
          <w:p>
            <w:pPr>
              <w:spacing w:after="0" w:before="0"/>
            </w:pPr>
            <w:r>
              <w:rPr>
                <w:rFonts w:ascii="Arial" w:hAnsi="Arial"/>
                <w:sz w:val="16"/>
              </w:rPr>
              <w:t>Arved, osamaksed, credit balance</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Leping</w:t>
            </w:r>
          </w:p>
        </w:tc>
        <w:tc>
          <w:tcPr>
            <w:tcW w:type="dxa" w:w="3408"/>
            <w:vAlign w:val="center"/>
            <w:tcMar>
              <w:top w:w="70" w:type="dxa"/>
              <w:start w:w="90" w:type="dxa"/>
              <w:bottom w:w="70" w:type="dxa"/>
              <w:end w:w="90" w:type="dxa"/>
            </w:tcMar>
          </w:tcPr>
          <w:p>
            <w:pPr>
              <w:spacing w:after="0" w:before="0"/>
            </w:pPr>
            <w:r>
              <w:rPr>
                <w:rFonts w:ascii="Arial" w:hAnsi="Arial"/>
                <w:sz w:val="16"/>
              </w:rPr>
              <w:t>Lihtne contract record + PDF/link</w:t>
            </w:r>
          </w:p>
        </w:tc>
        <w:tc>
          <w:tcPr>
            <w:tcW w:type="dxa" w:w="3408"/>
            <w:vAlign w:val="center"/>
            <w:tcMar>
              <w:top w:w="70" w:type="dxa"/>
              <w:start w:w="90" w:type="dxa"/>
              <w:bottom w:w="70" w:type="dxa"/>
              <w:end w:w="90" w:type="dxa"/>
            </w:tcMar>
          </w:tcPr>
          <w:p>
            <w:pPr>
              <w:spacing w:after="0" w:before="0"/>
            </w:pPr>
            <w:r>
              <w:rPr>
                <w:rFonts w:ascii="Arial" w:hAnsi="Arial"/>
                <w:sz w:val="16"/>
              </w:rPr>
              <w:t>E-allkirjastamine, versioonid, SLA</w:t>
            </w:r>
          </w:p>
        </w:tc>
      </w:tr>
      <w:tr>
        <w:trPr>
          <w:cantSplit/>
        </w:trPr>
        <w:tc>
          <w:tcPr>
            <w:tcW w:type="dxa" w:w="3408"/>
            <w:vAlign w:val="center"/>
            <w:tcMar>
              <w:top w:w="70" w:type="dxa"/>
              <w:start w:w="90" w:type="dxa"/>
              <w:bottom w:w="70" w:type="dxa"/>
              <w:end w:w="90" w:type="dxa"/>
            </w:tcMar>
          </w:tcPr>
          <w:p>
            <w:pPr>
              <w:spacing w:after="0" w:before="0"/>
            </w:pPr>
            <w:r>
              <w:rPr>
                <w:rFonts w:ascii="Arial" w:hAnsi="Arial"/>
                <w:sz w:val="16"/>
              </w:rPr>
              <w:t>Analüütika</w:t>
            </w:r>
          </w:p>
        </w:tc>
        <w:tc>
          <w:tcPr>
            <w:tcW w:type="dxa" w:w="3408"/>
            <w:vAlign w:val="center"/>
            <w:tcMar>
              <w:top w:w="70" w:type="dxa"/>
              <w:start w:w="90" w:type="dxa"/>
              <w:bottom w:w="70" w:type="dxa"/>
              <w:end w:w="90" w:type="dxa"/>
            </w:tcMar>
          </w:tcPr>
          <w:p>
            <w:pPr>
              <w:spacing w:after="0" w:before="0"/>
            </w:pPr>
            <w:r>
              <w:rPr>
                <w:rFonts w:ascii="Arial" w:hAnsi="Arial"/>
                <w:sz w:val="16"/>
              </w:rPr>
              <w:t>Audit events + põhimõõdikud</w:t>
            </w:r>
          </w:p>
        </w:tc>
        <w:tc>
          <w:tcPr>
            <w:tcW w:type="dxa" w:w="3408"/>
            <w:vAlign w:val="center"/>
            <w:tcMar>
              <w:top w:w="70" w:type="dxa"/>
              <w:start w:w="90" w:type="dxa"/>
              <w:bottom w:w="70" w:type="dxa"/>
              <w:end w:w="90" w:type="dxa"/>
            </w:tcMar>
          </w:tcPr>
          <w:p>
            <w:pPr>
              <w:spacing w:after="0" w:before="0"/>
            </w:pPr>
            <w:r>
              <w:rPr>
                <w:rFonts w:ascii="Arial" w:hAnsi="Arial"/>
                <w:sz w:val="16"/>
              </w:rPr>
              <w:t>Data warehouse / BI / soovitusmudelid</w:t>
            </w:r>
          </w:p>
        </w:tc>
      </w:tr>
    </w:tbl>
    <w:p>
      <w:pPr>
        <w:pStyle w:val="Heading1"/>
      </w:pPr>
      <w:r>
        <w:t>14. Tehniline soovitus MVP jaoks</w:t>
      </w:r>
    </w:p>
    <w:p>
      <w:pPr>
        <w:pStyle w:val="ListBullet"/>
        <w:spacing w:after="40"/>
      </w:pPr>
      <w:r>
        <w:rPr>
          <w:b/>
        </w:rPr>
        <w:t xml:space="preserve">Andmebaas. </w:t>
      </w:r>
      <w:r>
        <w:t>PostgreSQL + PostGIS, sest tehinguline andmemudel ja geograafilised päringud on mõlemad tuumfunktsioonid.</w:t>
      </w:r>
    </w:p>
    <w:p>
      <w:pPr>
        <w:pStyle w:val="ListBullet"/>
        <w:spacing w:after="40"/>
      </w:pPr>
      <w:r>
        <w:rPr>
          <w:b/>
        </w:rPr>
        <w:t xml:space="preserve">Primaarvõtmed. </w:t>
      </w:r>
      <w:r>
        <w:t>UUID, et objektide loomine oleks ohutu ka hajutatud/async töövoogudes.</w:t>
      </w:r>
    </w:p>
    <w:p>
      <w:pPr>
        <w:pStyle w:val="ListBullet"/>
        <w:spacing w:after="40"/>
      </w:pPr>
      <w:r>
        <w:rPr>
          <w:b/>
        </w:rPr>
        <w:t xml:space="preserve">Ajad. </w:t>
      </w:r>
      <w:r>
        <w:t>Kõik ärikriitilised ajad timestamptz; kasutajale kuvatakse lokaalses ajavööndis.</w:t>
      </w:r>
    </w:p>
    <w:p>
      <w:pPr>
        <w:pStyle w:val="ListBullet"/>
        <w:spacing w:after="40"/>
      </w:pPr>
      <w:r>
        <w:rPr>
          <w:b/>
        </w:rPr>
        <w:t xml:space="preserve">Raha. </w:t>
      </w:r>
      <w:r>
        <w:t>numeric/decimal; mitte floating point.</w:t>
      </w:r>
    </w:p>
    <w:p>
      <w:pPr>
        <w:pStyle w:val="ListBullet"/>
        <w:spacing w:after="40"/>
      </w:pPr>
      <w:r>
        <w:rPr>
          <w:b/>
        </w:rPr>
        <w:t xml:space="preserve">JSONB. </w:t>
      </w:r>
      <w:r>
        <w:t>Kasuta snapshot’ide ja väliste webhook payload’ide jaoks, mitte põhiseoste asendamiseks.</w:t>
      </w:r>
    </w:p>
    <w:p>
      <w:pPr>
        <w:pStyle w:val="ListBullet"/>
        <w:spacing w:after="40"/>
      </w:pPr>
      <w:r>
        <w:rPr>
          <w:b/>
        </w:rPr>
        <w:t xml:space="preserve">Taustatöö. </w:t>
      </w:r>
      <w:r>
        <w:t>Kutsed, teavitused, refund’id ja payout’d käivitada job queue kaudu; andmebaasis säilitada idempotency key / event status.</w:t>
      </w:r>
    </w:p>
    <w:p>
      <w:pPr>
        <w:pStyle w:val="Heading1"/>
      </w:pPr>
      <w:r>
        <w:t>15. Andmedisaini MVP vastuvõtukriteeriumid</w:t>
      </w:r>
    </w:p>
    <w:p>
      <w:pPr>
        <w:pStyle w:val="ListBullet"/>
      </w:pPr>
      <w:r>
        <w:t>☐ Algataja saab luua hanke koos keskpunkti, raadiuse ja tähtajaga.</w:t>
      </w:r>
    </w:p>
    <w:p>
      <w:pPr>
        <w:pStyle w:val="ListBullet"/>
      </w:pPr>
      <w:r>
        <w:t>☐ Süsteem suudab leida ja salvestada hankest määratud raadiuses olevad kutsutavad organisatsioonid.</w:t>
      </w:r>
    </w:p>
    <w:p>
      <w:pPr>
        <w:pStyle w:val="ListBullet"/>
      </w:pPr>
      <w:r>
        <w:t>☐ Teenusepakkuja saab avaldada vähemalt ühe lävendiga pakkumise.</w:t>
      </w:r>
    </w:p>
    <w:p>
      <w:pPr>
        <w:pStyle w:val="ListBullet"/>
      </w:pPr>
      <w:r>
        <w:t>☐ Osaleja saab pakkumise aktsepteerida ning ettemakse seotakse commitment’iga.</w:t>
      </w:r>
    </w:p>
    <w:p>
      <w:pPr>
        <w:pStyle w:val="ListBullet"/>
      </w:pPr>
      <w:r>
        <w:t>☐ Ainult maksega kinnitatud ACTIVE commitment’id suurendavad lävendi loendurit.</w:t>
      </w:r>
    </w:p>
    <w:p>
      <w:pPr>
        <w:pStyle w:val="ListBullet"/>
      </w:pPr>
      <w:r>
        <w:t>☐ Lävendi täitumine fikseerib õnnestumise täpselt ühe korra ka paralleelsete maksete korral.</w:t>
      </w:r>
    </w:p>
    <w:p>
      <w:pPr>
        <w:pStyle w:val="ListBullet"/>
      </w:pPr>
      <w:r>
        <w:t>☐ Ebaõnnestunud hanke korral tekivad tagasimakse kanded ilma topeltrefund’i riskita.</w:t>
      </w:r>
    </w:p>
    <w:p>
      <w:pPr>
        <w:pStyle w:val="ListBullet"/>
      </w:pPr>
      <w:r>
        <w:t>☐ Loobumine jätab alles commitment’i ja finantsajaloo; raha jaotus on ledger’is taastatav.</w:t>
      </w:r>
    </w:p>
    <w:p>
      <w:pPr>
        <w:pStyle w:val="ListBullet"/>
      </w:pPr>
      <w:r>
        <w:t>☐ Iga kriitiline olekumuutus on audit_event kirjena jälgitav.</w:t>
      </w:r>
    </w:p>
    <w:p>
      <w:pPr>
        <w:pStyle w:val="ListBullet"/>
      </w:pPr>
      <w:r>
        <w:t>☐ Pakkumise ja commitment’i ajaloolisi tingimusi saab hiljem tõendada snapshot’ide põhjal.</w:t>
      </w:r>
    </w:p>
    <w:p>
      <w:pPr>
        <w:pStyle w:val="Heading1"/>
      </w:pPr>
      <w:r>
        <w:t>16. Enne arenduse alustamist lukustatavad otsused</w:t>
      </w:r>
    </w:p>
    <w:p>
      <w:pPr>
        <w:spacing w:after="40"/>
        <w:ind w:left="259" w:hanging="259"/>
      </w:pPr>
      <w:r>
        <w:t>1.</w:t>
        <w:tab/>
      </w:r>
      <w:r>
        <w:t>Kas ühel hankel saab lõplikult õnnestuda ainult üks teenusepakkuja pakkumine või võivad paralleelselt õnnestuda mitu gruppi/pakkumist?</w:t>
      </w:r>
    </w:p>
    <w:p>
      <w:pPr>
        <w:spacing w:after="40"/>
        <w:ind w:left="259" w:hanging="259"/>
      </w:pPr>
      <w:r>
        <w:t>2.</w:t>
        <w:tab/>
      </w:r>
      <w:r>
        <w:t>Kas osaleja valib pakkumise kohe või on esmalt “liitun hankega” staatus ning pakkumine valitakse hiljem?</w:t>
      </w:r>
    </w:p>
    <w:p>
      <w:pPr>
        <w:spacing w:after="40"/>
        <w:ind w:left="259" w:hanging="259"/>
      </w:pPr>
      <w:r>
        <w:t>3.</w:t>
        <w:tab/>
      </w:r>
      <w:r>
        <w:t>Mis juhtub ettemaksega, kui osaleja loobub enne hanke õnnestumist ja hange hiljem ebaõnnestub?</w:t>
      </w:r>
    </w:p>
    <w:p>
      <w:pPr>
        <w:spacing w:after="40"/>
        <w:ind w:left="259" w:hanging="259"/>
      </w:pPr>
      <w:r>
        <w:t>4.</w:t>
        <w:tab/>
      </w:r>
      <w:r>
        <w:t>Kas ettemakse suurus on fikseeritud, protsent hinnast või teenusepakkuja määratav?</w:t>
      </w:r>
    </w:p>
    <w:p>
      <w:pPr>
        <w:spacing w:after="40"/>
        <w:ind w:left="259" w:hanging="259"/>
      </w:pPr>
      <w:r>
        <w:t>5.</w:t>
        <w:tab/>
      </w:r>
      <w:r>
        <w:t>Millal loetakse teenusepakkujale kuuluv osa väljamakstavaks: kohe õnnestumisel, lepingu sõlmimisel või teenuse alguses?</w:t>
      </w:r>
    </w:p>
    <w:p>
      <w:pPr>
        <w:spacing w:after="40"/>
        <w:ind w:left="259" w:hanging="259"/>
      </w:pPr>
      <w:r>
        <w:t>6.</w:t>
        <w:tab/>
      </w:r>
      <w:r>
        <w:t>Kas platvorm teenib teenustasu ainult loobunud ettemaksetelt või ka edukalt täidetud tellimustelt?</w:t>
      </w:r>
    </w:p>
    <w:p>
      <w:pPr>
        <w:spacing w:after="40"/>
        <w:ind w:left="259" w:hanging="259"/>
      </w:pPr>
      <w:r>
        <w:t>7.</w:t>
        <w:tab/>
      </w:r>
      <w:r>
        <w:t>Kas registrist leitud organisatsioonidele võib saata otsekutseid ning milline kontaktandmete allikas ja nõusolekuloogika kasutatakse?</w:t>
      </w:r>
    </w:p>
    <w:p>
      <w:pPr>
        <w:spacing w:after="40"/>
        <w:ind w:left="259" w:hanging="259"/>
      </w:pPr>
      <w:r>
        <w:t>8.</w:t>
        <w:tab/>
      </w:r>
      <w:r>
        <w:t>Milline makseteenuse pakkuja valitakse ja millist reserve/capture/refund/payout mudelit see tehniliselt toetab?</w:t>
      </w:r>
    </w:p>
    <w:p>
      <w:pPr>
        <w:pStyle w:val="Heading1"/>
      </w:pPr>
      <w:r>
        <w:t>17. Kokkuvõte</w:t>
      </w:r>
    </w:p>
    <w:p>
      <w:r>
        <w:t>Ühishanke andmemudeli keskne konstruktsioon ei ole ainult “hange”, vaid kolmik PROCUREMENT → SUPPLIER_OFFER → COMMITMENT. See eristus võimaldab kirjeldada sama hanke sees konkureerivaid teenusepakkuja pakkumisi, iga pakkumise lävendeid ning konkreetse ühistu siduvat aktsepteerimist. Raha liikumine seotakse commitment’iga, kuid säilitatakse eraldi makse- ja ledger-kihis. Selline mudel on MVP jaoks piisavalt lihtne, kuid kaitseb kõige olulisemaid ärireegleid: lävendi täitumine, õnnestumise fikseerimine, ettemakse tagastamine, loobumise mõju ja platvormi teenustasu tõendatav arvestus.</w:t>
      </w:r>
    </w:p>
    <w:p>
      <w:pPr>
        <w:pStyle w:val="Heading1"/>
      </w:pPr>
      <w:r>
        <w:t>18. Soovituslik rakendusjärjekord</w:t>
      </w:r>
    </w:p>
    <w:p>
      <w:pPr>
        <w:spacing w:after="40"/>
        <w:ind w:left="259" w:hanging="259"/>
      </w:pPr>
      <w:r>
        <w:t>1.</w:t>
        <w:tab/>
      </w:r>
      <w:r>
        <w:t>Loo ORGANIZATION, USER_ACCOUNT, ORGANIZATION_USER ja ADDRESS koos PostGIS geoväljaga ning lahenda registriandmete import/geokodeerimine.</w:t>
      </w:r>
    </w:p>
    <w:p>
      <w:pPr>
        <w:spacing w:after="40"/>
        <w:ind w:left="259" w:hanging="259"/>
      </w:pPr>
      <w:r>
        <w:t>2.</w:t>
        <w:tab/>
      </w:r>
      <w:r>
        <w:t>Loo PROCUREMENT, INVITATION ja SERVICE_CATEGORY; realiseeri piirkondlik otsing ning kutsete genereerimine radius_m alusel.</w:t>
      </w:r>
    </w:p>
    <w:p>
      <w:pPr>
        <w:spacing w:after="40"/>
        <w:ind w:left="259" w:hanging="259"/>
      </w:pPr>
      <w:r>
        <w:t>3.</w:t>
        <w:tab/>
      </w:r>
      <w:r>
        <w:t>Loo SUPPLIER_OFFER, OFFER_TIER ja COMMITMENT koos tingimuste snapshot’i ning topeltaktsepteerimise piirangutega.</w:t>
      </w:r>
    </w:p>
    <w:p>
      <w:pPr>
        <w:spacing w:after="40"/>
        <w:ind w:left="259" w:hanging="259"/>
      </w:pPr>
      <w:r>
        <w:t>4.</w:t>
        <w:tab/>
      </w:r>
      <w:r>
        <w:t>Integreeri maksepartner: PAYMENT + webhook’i idempotentsus. Alles seejärel lülita sisse lävendi automaatne arvestus ja SUCCEEDED oleku lukustamine.</w:t>
      </w:r>
    </w:p>
    <w:p>
      <w:pPr>
        <w:spacing w:after="40"/>
        <w:ind w:left="259" w:hanging="259"/>
      </w:pPr>
      <w:r>
        <w:t>5.</w:t>
        <w:tab/>
      </w:r>
      <w:r>
        <w:t>Lisa LEDGER_ENTRY, refund/payout töövood, CONTRACT ja AUDIT_EVENT; testi eraldi paralleelseid makseid, loobumist ning ebaõnnestunud hanke tagasimakseid.</w:t>
      </w:r>
    </w:p>
    <w:tbl>
      <w:tblPr>
        <w:tblW w:type="auto" w:w="0"/>
        <w:jc w:val="center"/>
        <w:tblLook w:firstColumn="1" w:firstRow="1" w:lastColumn="0" w:lastRow="0" w:noHBand="0" w:noVBand="1" w:val="04A0"/>
      </w:tblPr>
      <w:tblGrid>
        <w:gridCol w:w="10224"/>
      </w:tblGrid>
      <w:tr>
        <w:tc>
          <w:tcPr>
            <w:tcW w:type="dxa" w:w="10224"/>
            <w:shd w:fill="F3F3F3"/>
            <w:tcMar>
              <w:top w:w="120" w:type="dxa"/>
              <w:start w:w="160" w:type="dxa"/>
              <w:bottom w:w="120" w:type="dxa"/>
              <w:end w:w="160" w:type="dxa"/>
            </w:tcMar>
          </w:tcPr>
          <w:p>
            <w:r>
              <w:rPr>
                <w:b/>
              </w:rPr>
              <w:t xml:space="preserve">Arenduse kontrollpunkt: </w:t>
            </w:r>
            <w:r>
              <w:t>enne päris raha kasutamist teha automaattestid vähemalt kolmele võidusõiduolukorrale: kaks paralleelset lävendi täitvat makset, korduv webhook ja sama organisatsiooni topeltaktsepteerimine.</w:t>
            </w:r>
          </w:p>
        </w:tc>
      </w:tr>
    </w:tbl>
    <w:p>
      <w:pPr>
        <w:spacing w:after="20"/>
      </w:pP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Ühishange — andmedisaini plaan · versioon 0.1 · 10.10.2026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26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26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626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