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s-分析工作站从第一次打开到解释结果"/>
    <w:p>
      <w:pPr>
        <w:pStyle w:val="Heading1"/>
      </w:pPr>
      <w:r>
        <w:t xml:space="preserve">16S 分析工作站：从第一次打开到解释结果</w:t>
      </w:r>
    </w:p>
    <w:p>
      <w:pPr>
        <w:pStyle w:val="FirstParagraph"/>
      </w:pPr>
      <w:r>
        <w:t xml:space="preserve">这是一份可随时查阅的新手指南。建议第一次按第 1—10 节操作，遇到具体问题再全文搜索关键词。文中的“假设示例”仅解释格式或统计含义，不能当作你的实验结果。软件功能、默认值与保存位置以本次任务的参数和报告为准。</w:t>
      </w:r>
    </w:p>
    <w:p>
      <w:pPr>
        <w:pStyle w:val="BodyText"/>
      </w:pPr>
      <w:r>
        <w:t xml:space="preserve">本指南把三类信息分开：</w:t>
      </w:r>
      <w:r>
        <w:rPr>
          <w:b/>
          <w:bCs/>
        </w:rPr>
        <w:t xml:space="preserve">方法定义</w:t>
      </w:r>
      <w:r>
        <w:t xml:space="preserve">来自原始论文或官方文档；</w:t>
      </w:r>
      <w:r>
        <w:rPr>
          <w:b/>
          <w:bCs/>
        </w:rPr>
        <w:t xml:space="preserve">工作站设置</w:t>
      </w:r>
      <w:r>
        <w:t xml:space="preserve">描述当前实现；</w:t>
      </w:r>
      <w:r>
        <w:rPr>
          <w:b/>
          <w:bCs/>
        </w:rPr>
        <w:t xml:space="preserve">启发式建议</w:t>
      </w:r>
      <w:r>
        <w:t xml:space="preserve">帮助选择参数，可以人工复核，不能当作所有样本通用的金标准。参考文献编号见末尾。</w: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hyperlink w:anchor="guide-01">
        <w:r>
          <w:rPr>
            <w:rStyle w:val="Hyperlink"/>
          </w:rPr>
          <w:t xml:space="preserve">1. 先明确你要回答的问题</w:t>
        </w:r>
      </w:hyperlink>
    </w:p>
    <w:p>
      <w:pPr>
        <w:pStyle w:val="Compact"/>
        <w:numPr>
          <w:ilvl w:val="0"/>
          <w:numId w:val="1001"/>
        </w:numPr>
      </w:pPr>
      <w:hyperlink w:anchor="guide-02">
        <w:r>
          <w:rPr>
            <w:rStyle w:val="Hyperlink"/>
          </w:rPr>
          <w:t xml:space="preserve">2. 16S 测到了什么：基本原理和完整流程</w:t>
        </w:r>
      </w:hyperlink>
    </w:p>
    <w:p>
      <w:pPr>
        <w:pStyle w:val="Compact"/>
        <w:numPr>
          <w:ilvl w:val="0"/>
          <w:numId w:val="1001"/>
        </w:numPr>
      </w:pPr>
      <w:hyperlink w:anchor="guide-03">
        <w:r>
          <w:rPr>
            <w:rStyle w:val="Hyperlink"/>
          </w:rPr>
          <w:t xml:space="preserve">3. Windows 首次部署、日常启动和更新</w:t>
        </w:r>
      </w:hyperlink>
    </w:p>
    <w:p>
      <w:pPr>
        <w:pStyle w:val="Compact"/>
        <w:numPr>
          <w:ilvl w:val="0"/>
          <w:numId w:val="1001"/>
        </w:numPr>
      </w:pPr>
      <w:hyperlink w:anchor="guide-04">
        <w:r>
          <w:rPr>
            <w:rStyle w:val="Hyperlink"/>
          </w:rPr>
          <w:t xml:space="preserve">4. 准备 FASTQ、四列分组表和文件夹</w:t>
        </w:r>
      </w:hyperlink>
    </w:p>
    <w:p>
      <w:pPr>
        <w:pStyle w:val="Compact"/>
        <w:numPr>
          <w:ilvl w:val="0"/>
          <w:numId w:val="1001"/>
        </w:numPr>
      </w:pPr>
      <w:hyperlink w:anchor="guide-05">
        <w:r>
          <w:rPr>
            <w:rStyle w:val="Hyperlink"/>
          </w:rPr>
          <w:t xml:space="preserve">5. raw、clean、unknown 与引物、条码</w:t>
        </w:r>
      </w:hyperlink>
    </w:p>
    <w:p>
      <w:pPr>
        <w:pStyle w:val="Compact"/>
        <w:numPr>
          <w:ilvl w:val="0"/>
          <w:numId w:val="1001"/>
        </w:numPr>
      </w:pPr>
      <w:hyperlink w:anchor="guide-06">
        <w:r>
          <w:rPr>
            <w:rStyle w:val="Hyperlink"/>
          </w:rPr>
          <w:t xml:space="preserve">6. 看质量图、选择截断、理解 DADA2</w:t>
        </w:r>
      </w:hyperlink>
    </w:p>
    <w:p>
      <w:pPr>
        <w:pStyle w:val="Compact"/>
        <w:numPr>
          <w:ilvl w:val="0"/>
          <w:numId w:val="1001"/>
        </w:numPr>
      </w:pPr>
      <w:hyperlink w:anchor="guide-07">
        <w:r>
          <w:rPr>
            <w:rStyle w:val="Hyperlink"/>
          </w:rPr>
          <w:t xml:space="preserve">7. 分类、特征过滤与系统发育树</w:t>
        </w:r>
      </w:hyperlink>
    </w:p>
    <w:p>
      <w:pPr>
        <w:pStyle w:val="Compact"/>
        <w:numPr>
          <w:ilvl w:val="0"/>
          <w:numId w:val="1001"/>
        </w:numPr>
      </w:pPr>
      <w:hyperlink w:anchor="guide-08">
        <w:r>
          <w:rPr>
            <w:rStyle w:val="Hyperlink"/>
          </w:rPr>
          <w:t xml:space="preserve">8. 抽平曲线和正式抽平深度</w:t>
        </w:r>
      </w:hyperlink>
    </w:p>
    <w:p>
      <w:pPr>
        <w:pStyle w:val="Compact"/>
        <w:numPr>
          <w:ilvl w:val="0"/>
          <w:numId w:val="1001"/>
        </w:numPr>
      </w:pPr>
      <w:hyperlink w:anchor="guide-09">
        <w:r>
          <w:rPr>
            <w:rStyle w:val="Hyperlink"/>
          </w:rPr>
          <w:t xml:space="preserve">9. 七项 α 多样性怎么读</w:t>
        </w:r>
      </w:hyperlink>
    </w:p>
    <w:p>
      <w:pPr>
        <w:pStyle w:val="Compact"/>
        <w:numPr>
          <w:ilvl w:val="0"/>
          <w:numId w:val="1001"/>
        </w:numPr>
      </w:pPr>
      <w:hyperlink w:anchor="guide-10">
        <w:r>
          <w:rPr>
            <w:rStyle w:val="Hyperlink"/>
          </w:rPr>
          <w:t xml:space="preserve">10. β 多样性、PCoA 与统计检验</w:t>
        </w:r>
      </w:hyperlink>
    </w:p>
    <w:p>
      <w:pPr>
        <w:pStyle w:val="Compact"/>
        <w:numPr>
          <w:ilvl w:val="0"/>
          <w:numId w:val="1001"/>
        </w:numPr>
      </w:pPr>
      <w:hyperlink w:anchor="guide-11">
        <w:r>
          <w:rPr>
            <w:rStyle w:val="Hyperlink"/>
          </w:rPr>
          <w:t xml:space="preserve">11. 组成图、相对丰度与绝对菌量</w:t>
        </w:r>
      </w:hyperlink>
    </w:p>
    <w:p>
      <w:pPr>
        <w:pStyle w:val="Compact"/>
        <w:numPr>
          <w:ilvl w:val="0"/>
          <w:numId w:val="1001"/>
        </w:numPr>
      </w:pPr>
      <w:hyperlink w:anchor="guide-12">
        <w:r>
          <w:rPr>
            <w:rStyle w:val="Hyperlink"/>
          </w:rPr>
          <w:t xml:space="preserve">12. ANCOM-BC2、ANCOM 和 LEfSe</w:t>
        </w:r>
      </w:hyperlink>
    </w:p>
    <w:p>
      <w:pPr>
        <w:pStyle w:val="Compact"/>
        <w:numPr>
          <w:ilvl w:val="0"/>
          <w:numId w:val="1001"/>
        </w:numPr>
      </w:pPr>
      <w:hyperlink w:anchor="guide-13">
        <w:r>
          <w:rPr>
            <w:rStyle w:val="Hyperlink"/>
          </w:rPr>
          <w:t xml:space="preserve">13. PICRUSt2、NSTI 与功能注释</w:t>
        </w:r>
      </w:hyperlink>
    </w:p>
    <w:p>
      <w:pPr>
        <w:pStyle w:val="Compact"/>
        <w:numPr>
          <w:ilvl w:val="0"/>
          <w:numId w:val="1001"/>
        </w:numPr>
      </w:pPr>
      <w:hyperlink w:anchor="guide-14">
        <w:r>
          <w:rPr>
            <w:rStyle w:val="Hyperlink"/>
          </w:rPr>
          <w:t xml:space="preserve">14. 高级分析：核心菌群、排序与表型关联</w:t>
        </w:r>
      </w:hyperlink>
    </w:p>
    <w:p>
      <w:pPr>
        <w:pStyle w:val="Compact"/>
        <w:numPr>
          <w:ilvl w:val="0"/>
          <w:numId w:val="1001"/>
        </w:numPr>
      </w:pPr>
      <w:hyperlink w:anchor="guide-15">
        <w:r>
          <w:rPr>
            <w:rStyle w:val="Hyperlink"/>
          </w:rPr>
          <w:t xml:space="preserve">15. 图片预览、单图修改与下载</w:t>
        </w:r>
      </w:hyperlink>
    </w:p>
    <w:p>
      <w:pPr>
        <w:pStyle w:val="Compact"/>
        <w:numPr>
          <w:ilvl w:val="0"/>
          <w:numId w:val="1001"/>
        </w:numPr>
      </w:pPr>
      <w:hyperlink w:anchor="guide-16">
        <w:r>
          <w:rPr>
            <w:rStyle w:val="Hyperlink"/>
          </w:rPr>
          <w:t xml:space="preserve">16. 结果文件、历史批次与可复现记录</w:t>
        </w:r>
      </w:hyperlink>
    </w:p>
    <w:p>
      <w:pPr>
        <w:pStyle w:val="Compact"/>
        <w:numPr>
          <w:ilvl w:val="0"/>
          <w:numId w:val="1001"/>
        </w:numPr>
      </w:pPr>
      <w:hyperlink w:anchor="guide-17">
        <w:r>
          <w:rPr>
            <w:rStyle w:val="Hyperlink"/>
          </w:rPr>
          <w:t xml:space="preserve">17. 常见问题与故障排查</w:t>
        </w:r>
      </w:hyperlink>
    </w:p>
    <w:p>
      <w:pPr>
        <w:pStyle w:val="Compact"/>
        <w:numPr>
          <w:ilvl w:val="0"/>
          <w:numId w:val="1001"/>
        </w:numPr>
      </w:pPr>
      <w:hyperlink w:anchor="guide-18">
        <w:r>
          <w:rPr>
            <w:rStyle w:val="Hyperlink"/>
          </w:rPr>
          <w:t xml:space="preserve">18. 常用术语速查</w:t>
        </w:r>
      </w:hyperlink>
    </w:p>
    <w:p>
      <w:pPr>
        <w:pStyle w:val="Compact"/>
        <w:numPr>
          <w:ilvl w:val="0"/>
          <w:numId w:val="1001"/>
        </w:numPr>
      </w:pPr>
      <w:hyperlink w:anchor="guide-19">
        <w:r>
          <w:rPr>
            <w:rStyle w:val="Hyperlink"/>
          </w:rPr>
          <w:t xml:space="preserve">19. 方法与官方资料</w:t>
        </w:r>
      </w:hyperlink>
    </w:p>
    <w:bookmarkEnd w:id="20"/>
    <w:bookmarkStart w:id="21" w:name="guide-01"/>
    <w:p>
      <w:pPr>
        <w:pStyle w:val="Heading2"/>
      </w:pPr>
      <w:r>
        <w:t xml:space="preserve">1. 先明确你要回答的问题</w:t>
      </w:r>
    </w:p>
    <w:p>
      <w:pPr>
        <w:pStyle w:val="FirstParagraph"/>
      </w:pPr>
      <w:r>
        <w:t xml:space="preserve">先写下一句研究问题，例如“假设示例：处理组与对照组的细菌群落结构是否不同”。随后记录独立实验单位、分组、样本数、采样时间、提取批次、测序批次及已知干扰因素。不同问题需要不同证据：α 多样性回答单个样本的丰富度或均匀程度；β 多样性回答样本间群落差异；差异菌分析寻找与分组有关的分类单元；功能预测形成待验证的功能假设。</w:t>
      </w:r>
    </w:p>
    <w:p>
      <w:pPr>
        <w:pStyle w:val="BodyText"/>
      </w:pPr>
      <w:r>
        <w:rPr>
          <w:b/>
          <w:bCs/>
        </w:rPr>
        <w:t xml:space="preserve">独立样本数决定信息量，测序条数不能代替生物学重复。</w:t>
      </w:r>
      <w:r>
        <w:t xml:space="preserve"> </w:t>
      </w:r>
      <w:r>
        <w:t xml:space="preserve">同一只动物多次采样不是多只动物；同一笼动物可能共享环境与菌群。若所有对照来自笼 A、所有处理来自笼 B，处理与笼位完全混杂，事后统计无法把两者分开。提取批次、性别、年龄、饮食和采样部位也可能混杂。当前基础分组检验与差异模型不能自动解决配对、重复采样、笼位或复杂协变量问题；复杂设计需另行建立模型并限制置换范围。</w:t>
      </w:r>
    </w:p>
    <w:p>
      <w:pPr>
        <w:pStyle w:val="BodyText"/>
      </w:pPr>
      <w:r>
        <w:t xml:space="preserve">实验前应规划提取空白、PCR 阴性和必要的阳性对照。低丰度特征可能是真实成员，也可能来自试剂或交叉污染。仅凭丰度低、名字陌生或属于某个门，不能可靠判为污染；decontam 等方法需要阴性对照或 DNA 浓度等信息[15]。当前过滤流程不等同于正式污染识别。</w:t>
      </w:r>
    </w:p>
    <w:bookmarkEnd w:id="21"/>
    <w:bookmarkStart w:id="22" w:name="guide-02"/>
    <w:p>
      <w:pPr>
        <w:pStyle w:val="Heading2"/>
      </w:pPr>
      <w:r>
        <w:t xml:space="preserve">2. 16S 测到了什么：基本原理和完整流程</w:t>
      </w:r>
    </w:p>
    <w:p>
      <w:pPr>
        <w:pStyle w:val="FirstParagraph"/>
      </w:pPr>
      <w:r>
        <w:t xml:space="preserve">16S rRNA 基因含保守区和可变区。引物结合保守区域，扩增所夹的片段，再由测序仪读取。短片段包含分类线索，但不同微生物可能具有相同片段，同一基因组也可能具有多个不同的 16S 拷贝。因此，16S 结果通常适合群落组成和属等层级的分析，不能保证每条序列都准确鉴定到种或菌株，更不能直接测出活菌数量、致病性或基因表达。</w:t>
      </w:r>
    </w:p>
    <w:p>
      <w:pPr>
        <w:pStyle w:val="BodyText"/>
      </w:pPr>
      <w:r>
        <w:t xml:space="preserve">一条 FASTQ 记录含名称、碱基序列和逐碱基质量值。双端测序从同一个 DNA 片段的两端读取，得到 R1、R2。read 长度、扩增子长度、测序深度是三个量：前两者的单位是 bp，深度是每样本的序列数。假设示例：两端各 250 bp，不代表去引物后的目标片段长 250 bp，也不代表每样本有 250 条序列。</w:t>
      </w:r>
    </w:p>
    <w:p>
      <w:pPr>
        <w:pStyle w:val="BodyText"/>
      </w:pPr>
      <w:r>
        <w:t xml:space="preserve">工作站的主要流程为：</w:t>
      </w:r>
    </w:p>
    <w:p>
      <w:pPr>
        <w:pStyle w:val="Compact"/>
        <w:numPr>
          <w:ilvl w:val="0"/>
          <w:numId w:val="1002"/>
        </w:numPr>
      </w:pPr>
      <w:r>
        <w:t xml:space="preserve">按 CSV 把已拆样 FASTQ 对应到样本，检查配对、序列结构与软件环境。</w:t>
      </w:r>
    </w:p>
    <w:p>
      <w:pPr>
        <w:pStyle w:val="Compact"/>
        <w:numPr>
          <w:ilvl w:val="0"/>
          <w:numId w:val="1002"/>
        </w:numPr>
      </w:pPr>
      <w:r>
        <w:t xml:space="preserve">根据数据来源确认引物处理，生成实际进入降噪的质量图。</w:t>
      </w:r>
    </w:p>
    <w:p>
      <w:pPr>
        <w:pStyle w:val="Compact"/>
        <w:numPr>
          <w:ilvl w:val="0"/>
          <w:numId w:val="1002"/>
        </w:numPr>
      </w:pPr>
      <w:r>
        <w:t xml:space="preserve">DADA2 过滤、学习测序错误、推断 ASV；双端再拼接，去除嵌合体。</w:t>
      </w:r>
    </w:p>
    <w:p>
      <w:pPr>
        <w:pStyle w:val="Compact"/>
        <w:numPr>
          <w:ilvl w:val="0"/>
          <w:numId w:val="1002"/>
        </w:numPr>
      </w:pPr>
      <w:r>
        <w:t xml:space="preserve">分类、排除指定非目标特征，保存未抽平计数表与代表序列。</w:t>
      </w:r>
    </w:p>
    <w:p>
      <w:pPr>
        <w:pStyle w:val="Compact"/>
        <w:numPr>
          <w:ilvl w:val="0"/>
          <w:numId w:val="1002"/>
        </w:numPr>
      </w:pPr>
      <w:r>
        <w:t xml:space="preserve">建树，生成多深度抽平曲线，选择正式深度后计算 α、β 和分组统计。</w:t>
      </w:r>
    </w:p>
    <w:p>
      <w:pPr>
        <w:pStyle w:val="Compact"/>
        <w:numPr>
          <w:ilvl w:val="0"/>
          <w:numId w:val="1002"/>
        </w:numPr>
      </w:pPr>
      <w:r>
        <w:t xml:space="preserve">从保存结果绘图；按研究问题补做丰度导出、差异菌或功能预测。</w:t>
      </w:r>
    </w:p>
    <w:p>
      <w:pPr>
        <w:pStyle w:val="FirstParagraph"/>
      </w:pPr>
      <w:r>
        <w:t xml:space="preserve">ASV 是扩增子序列变体，即模型分辨出的具体序列；OTU 通常是按相似度聚类的序列集合。二者不是同义词。ASV 有利于精确追踪序列，但“一个 ASV = 一个物种”不成立[2,3]。不同区域、长度、截断和引物的数据，即使编号相似，也不能直接合并。跨批比较应核对完整代表序列、相同区域和处理流程，不能只拼接 ASV 名称或属表。</w:t>
      </w:r>
    </w:p>
    <w:p>
      <w:pPr>
        <w:pStyle w:val="BodyText"/>
      </w:pPr>
      <w:r>
        <w:t xml:space="preserve">QIIME 2 的</w:t>
      </w:r>
      <w:r>
        <w:t xml:space="preserve"> </w:t>
      </w:r>
      <w:r>
        <w:rPr>
          <w:rStyle w:val="VerbatimChar"/>
        </w:rPr>
        <w:t xml:space="preserve">.qza</w:t>
      </w:r>
      <w:r>
        <w:t xml:space="preserve"> </w:t>
      </w:r>
      <w:r>
        <w:t xml:space="preserve">保存有类型的数据，</w:t>
      </w:r>
      <w:r>
        <w:rPr>
          <w:rStyle w:val="VerbatimChar"/>
        </w:rPr>
        <w:t xml:space="preserve">.qzv</w:t>
      </w:r>
      <w:r>
        <w:t xml:space="preserve"> </w:t>
      </w:r>
      <w:r>
        <w:t xml:space="preserve">保存可视化，两者还包含来源记录。它们不是普通图片，也不意味着已经通过生物学审查[1]。</w:t>
      </w:r>
    </w:p>
    <w:bookmarkEnd w:id="22"/>
    <w:bookmarkStart w:id="24" w:name="guide-03"/>
    <w:p>
      <w:pPr>
        <w:pStyle w:val="Heading2"/>
      </w:pPr>
      <w:r>
        <w:t xml:space="preserve">3. Windows 首次部署、日常启动和更新</w:t>
      </w:r>
    </w:p>
    <w:p>
      <w:pPr>
        <w:pStyle w:val="FirstParagraph"/>
      </w:pPr>
      <w:r>
        <w:t xml:space="preserve">推荐使用</w:t>
      </w:r>
      <w:hyperlink r:id="rId23">
        <w:r>
          <w:rPr>
            <w:rStyle w:val="Hyperlink"/>
          </w:rPr>
          <w:t xml:space="preserve">Windows 自选目录部署（方案 A）</w:t>
        </w:r>
      </w:hyperlink>
      <w:r>
        <w:t xml:space="preserve">。它让 Windows 管理目录、快捷方式和下载更新，分析仍在现有 WSL Ubuntu 的 Conda 环境中运行。</w:t>
      </w:r>
    </w:p>
    <w:p>
      <w:pPr>
        <w:pStyle w:val="Compact"/>
        <w:numPr>
          <w:ilvl w:val="0"/>
          <w:numId w:val="1003"/>
        </w:numPr>
      </w:pPr>
      <w:r>
        <w:t xml:space="preserve">让旧分析完成或取消任务，再在旧服务窗口按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下载 GitHub 完整源码 ZIP，全部解压，双击</w:t>
      </w:r>
      <w:r>
        <w:t xml:space="preserve"> </w:t>
      </w:r>
      <w:r>
        <w:rPr>
          <w:rStyle w:val="VerbatimChar"/>
        </w:rPr>
        <w:t xml:space="preserve">部署工作站.bat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选择安装目录，默认</w:t>
      </w:r>
      <w:r>
        <w:t xml:space="preserve"> </w:t>
      </w:r>
      <w:r>
        <w:rPr>
          <w:rStyle w:val="VerbatimChar"/>
        </w:rPr>
        <w:t xml:space="preserve">D:\16S分析工作站</w:t>
      </w:r>
      <w:r>
        <w:t xml:space="preserve">，也可选 E 盘。不要只从压缩包里拖出单个脚本运行。</w:t>
      </w:r>
    </w:p>
    <w:p>
      <w:pPr>
        <w:pStyle w:val="Compact"/>
        <w:numPr>
          <w:ilvl w:val="0"/>
          <w:numId w:val="1003"/>
        </w:numPr>
      </w:pPr>
      <w:r>
        <w:t xml:space="preserve">部署检测现有 Ubuntu、用户和 Conda。它不迁移 WSL、不重装 QIIME/R、不搬走原数据。</w:t>
      </w:r>
    </w:p>
    <w:p>
      <w:pPr>
        <w:pStyle w:val="Compact"/>
        <w:numPr>
          <w:ilvl w:val="0"/>
          <w:numId w:val="1003"/>
        </w:numPr>
      </w:pPr>
      <w:r>
        <w:t xml:space="preserve">成功后从桌面快捷方式或</w:t>
      </w:r>
      <w:r>
        <w:t xml:space="preserve"> </w:t>
      </w:r>
      <w:r>
        <w:rPr>
          <w:rStyle w:val="VerbatimChar"/>
        </w:rPr>
        <w:t xml:space="preserve">启动工作站.bat</w:t>
      </w:r>
      <w:r>
        <w:t xml:space="preserve"> </w:t>
      </w:r>
      <w:r>
        <w:t xml:space="preserve">打开，默认地址为</w:t>
      </w:r>
      <w:r>
        <w:t xml:space="preserve"> </w:t>
      </w:r>
      <w:r>
        <w:rPr>
          <w:rStyle w:val="VerbatimChar"/>
        </w:rPr>
        <w:t xml:space="preserve">http://localhost:8766</w:t>
      </w:r>
      <w:r>
        <w:t xml:space="preserve">，保持服务窗口运行。</w:t>
      </w:r>
    </w:p>
    <w:p>
      <w:pPr>
        <w:pStyle w:val="FirstParagraph"/>
      </w:pPr>
      <w:r>
        <w:t xml:space="preserve">日常启动使用本机版本，不联网更新。需要更新时双击</w:t>
      </w:r>
      <w:r>
        <w:t xml:space="preserve"> </w:t>
      </w:r>
      <w:r>
        <w:rPr>
          <w:rStyle w:val="VerbatimChar"/>
        </w:rPr>
        <w:t xml:space="preserve">更新工作站.bat</w:t>
      </w:r>
      <w:r>
        <w:t xml:space="preserve">；它通过 Windows 下载、核验并准备独立候选目录，任务运行中拒绝更新，失败保留原版。</w:t>
      </w:r>
      <w:r>
        <w:rPr>
          <w:rStyle w:val="VerbatimChar"/>
        </w:rPr>
        <w:t xml:space="preserve">检查环境.bat</w:t>
      </w:r>
      <w:r>
        <w:t xml:space="preserve"> </w:t>
      </w:r>
      <w:r>
        <w:t xml:space="preserve">只检查，</w:t>
      </w:r>
      <w:r>
        <w:rPr>
          <w:rStyle w:val="VerbatimChar"/>
        </w:rPr>
        <w:t xml:space="preserve">停止工作站.bat</w:t>
      </w:r>
      <w:r>
        <w:t xml:space="preserve"> </w:t>
      </w:r>
      <w:r>
        <w:t xml:space="preserve">只停止本安装所属的空闲服务。不要依赖关闭浏览器来停止后台分析。</w:t>
      </w:r>
    </w:p>
    <w:p>
      <w:pPr>
        <w:pStyle w:val="BodyText"/>
      </w:pPr>
      <w:r>
        <w:t xml:space="preserve">新部署默认结果在安装目录的</w:t>
      </w:r>
      <w:r>
        <w:t xml:space="preserve"> </w:t>
      </w:r>
      <w:r>
        <w:rPr>
          <w:rStyle w:val="VerbatimChar"/>
        </w:rPr>
        <w:t xml:space="preserve">分析结果</w:t>
      </w:r>
      <w:r>
        <w:t xml:space="preserve"> </w:t>
      </w:r>
      <w:r>
        <w:t xml:space="preserve">中。浏览器可能记得旧路径，可点击“使用部署默认目录”；这不会搬迁旧结果。历史数据通过“打开历史批次”选择原 run。默认环境分别为</w:t>
      </w:r>
      <w:r>
        <w:t xml:space="preserve"> </w:t>
      </w:r>
      <w:r>
        <w:rPr>
          <w:rStyle w:val="VerbatimChar"/>
        </w:rPr>
        <w:t xml:space="preserve">qiime2-amplicon-2025.7</w:t>
      </w:r>
      <w:r>
        <w:t xml:space="preserve">、</w:t>
      </w:r>
      <w:r>
        <w:rPr>
          <w:rStyle w:val="VerbatimChar"/>
        </w:rPr>
        <w:t xml:space="preserve">16s-workstation-r</w:t>
      </w:r>
      <w:r>
        <w:t xml:space="preserve">、</w:t>
      </w:r>
      <w:r>
        <w:rPr>
          <w:rStyle w:val="VerbatimChar"/>
        </w:rPr>
        <w:t xml:space="preserve">16s-workstation-ancom</w:t>
      </w:r>
      <w:r>
        <w:t xml:space="preserve">、</w:t>
      </w:r>
      <w:r>
        <w:rPr>
          <w:rStyle w:val="VerbatimChar"/>
        </w:rPr>
        <w:t xml:space="preserve">lefse</w:t>
      </w:r>
      <w:r>
        <w:t xml:space="preserve">、</w:t>
      </w:r>
      <w:r>
        <w:rPr>
          <w:rStyle w:val="VerbatimChar"/>
        </w:rPr>
        <w:t xml:space="preserve">picrust2</w:t>
      </w:r>
      <w:r>
        <w:t xml:space="preserve">，可按本机实际名称修改。环境名存在不代表相应命令和依赖已安装。</w:t>
      </w:r>
    </w:p>
    <w:p>
      <w:pPr>
        <w:pStyle w:val="BodyText"/>
      </w:pPr>
      <w:r>
        <w:t xml:space="preserve">旧 Git 目录仍可在 Ubuntu 内用</w:t>
      </w:r>
      <w:r>
        <w:t xml:space="preserve"> </w:t>
      </w:r>
      <w:r>
        <w:rPr>
          <w:rStyle w:val="VerbatimChar"/>
        </w:rPr>
        <w:t xml:space="preserve">bash 启动.sh</w:t>
      </w:r>
      <w:r>
        <w:t xml:space="preserve">，默认端口可能是 8765；它的更新行为与方案 A 不同。识别当前页面时，应查看网页顶部的实际安装目录、版本目录和服务启动信息，避免连接旧后台。更完整的网络、日志和配置说明见部署文档。</w:t>
      </w:r>
    </w:p>
    <w:bookmarkEnd w:id="24"/>
    <w:bookmarkStart w:id="25" w:name="guide-04"/>
    <w:p>
      <w:pPr>
        <w:pStyle w:val="Heading2"/>
      </w:pPr>
      <w:r>
        <w:t xml:space="preserve">4. 准备 FASTQ、四列分组表和文件夹</w:t>
      </w:r>
    </w:p>
    <w:p>
      <w:pPr>
        <w:pStyle w:val="FirstParagraph"/>
      </w:pPr>
      <w:r>
        <w:t xml:space="preserve">输入应是</w:t>
      </w:r>
      <w:r>
        <w:rPr>
          <w:b/>
          <w:bCs/>
        </w:rPr>
        <w:t xml:space="preserve">已经拆分到每个样本</w:t>
      </w:r>
      <w:r>
        <w:t xml:space="preserve">的 Phred33 FASTQ，支持</w:t>
      </w:r>
      <w:r>
        <w:t xml:space="preserve"> </w:t>
      </w:r>
      <w:r>
        <w:rPr>
          <w:rStyle w:val="VerbatimChar"/>
        </w:rPr>
        <w:t xml:space="preserve">.fastq</w:t>
      </w:r>
      <w:r>
        <w:t xml:space="preserve">、</w:t>
      </w:r>
      <w:r>
        <w:rPr>
          <w:rStyle w:val="VerbatimChar"/>
        </w:rPr>
        <w:t xml:space="preserve">.fq</w:t>
      </w:r>
      <w:r>
        <w:t xml:space="preserve"> </w:t>
      </w:r>
      <w:r>
        <w:t xml:space="preserve">及 gzip 格式。双端须保留未提前拼接的 R1/R2；真正的单端有自己的输入选项。已拼接 FASTQ 不能自动还原双端，本版阻止把它当普通单端送进 DADA2；FASTA 缺少逐碱基质量值，也不能进入本版 DADA2。可以向测序方索取未拼接 clean R1/R2，并确认清洗内容。</w:t>
      </w:r>
    </w:p>
    <w:p>
      <w:pPr>
        <w:pStyle w:val="BodyText"/>
      </w:pPr>
      <w:r>
        <w:t xml:space="preserve">建议把原始数据、参考文件和结果分开保存。假设示例：</w:t>
      </w:r>
      <w:r>
        <w:rPr>
          <w:rStyle w:val="VerbatimChar"/>
        </w:rPr>
        <w:t xml:space="preserve">D:\16S项目\raw</w:t>
      </w:r>
      <w:r>
        <w:t xml:space="preserve"> </w:t>
      </w:r>
      <w:r>
        <w:t xml:space="preserve">放 FASTQ，</w:t>
      </w:r>
      <w:r>
        <w:rPr>
          <w:rStyle w:val="VerbatimChar"/>
        </w:rPr>
        <w:t xml:space="preserve">reference</w:t>
      </w:r>
      <w:r>
        <w:t xml:space="preserve"> </w:t>
      </w:r>
      <w:r>
        <w:t xml:space="preserve">放分类器和映射表，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放工作站输出。原始 FASTQ 只读保留；输出根目录不能等于原始目录或其父目录，可以是其下新建的 results 子目录。</w:t>
      </w:r>
    </w:p>
    <w:p>
      <w:pPr>
        <w:pStyle w:val="BodyText"/>
      </w:pPr>
      <w:r>
        <w:t xml:space="preserve">推荐四列 CSV，下面仅为格式示例：</w:t>
      </w:r>
    </w:p>
    <w:p>
      <w:pPr>
        <w:pStyle w:val="SourceCode"/>
      </w:pPr>
      <w:r>
        <w:rPr>
          <w:rStyle w:val="VerbatimChar"/>
        </w:rPr>
        <w:t xml:space="preserve">SampleID,Group,forward,reverse</w:t>
      </w:r>
      <w:r>
        <w:br/>
      </w:r>
      <w:r>
        <w:rPr>
          <w:rStyle w:val="VerbatimChar"/>
        </w:rPr>
        <w:t xml:space="preserve">001,CON,batch1/001_R1.fastq.gz,batch1/001_R2.fastq.gz</w:t>
      </w:r>
      <w:r>
        <w:br/>
      </w:r>
      <w:r>
        <w:rPr>
          <w:rStyle w:val="VerbatimChar"/>
        </w:rPr>
        <w:t xml:space="preserve">002,TREAT,batch1/002_R1.fastq.gz,batch1/002_R2.fastq.gz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列名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含义与检查重点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本次样本标识，唯一且不空；不必与文件名相同，前导零应保留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分组名称，不能空；CON、con、CON 后有空格等应先核对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该样本的 R1；单端时是唯一输入文件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双端 R2；真正单端留空，但保留表头</w:t>
            </w:r>
          </w:p>
        </w:tc>
      </w:tr>
    </w:tbl>
    <w:p>
      <w:pPr>
        <w:pStyle w:val="BodyText"/>
      </w:pPr>
      <w:r>
        <w:t xml:space="preserve">路径以</w:t>
      </w:r>
      <w:r>
        <w:rPr>
          <w:b/>
          <w:bCs/>
        </w:rPr>
        <w:t xml:space="preserve">所选原始目录</w:t>
      </w:r>
      <w:r>
        <w:t xml:space="preserve">为基准，不以 CSV 所在目录为基准。可以填相对路径或原始目录内的 Windows/WSL 绝对路径；目录外路径会被拒绝。含逗号的单元格用双引号包围。四列模式只读取表中列出的文件，同一文件不能重复指给不同样本。每方向每样本一个文件，不自动合并多 lane。</w:t>
      </w:r>
    </w:p>
    <w:p>
      <w:pPr>
        <w:pStyle w:val="BodyText"/>
      </w:pPr>
      <w:r>
        <w:t xml:space="preserve">Excel 中先将 SampleID 列设为文本，再另存为 CSV UTF-8；已丢失的前导零无法由工作站恢复。两列</w:t>
      </w:r>
      <w:r>
        <w:t xml:space="preserve"> </w:t>
      </w:r>
      <w:r>
        <w:rPr>
          <w:rStyle w:val="VerbatimChar"/>
        </w:rPr>
        <w:t xml:space="preserve">SampleID,Group</w:t>
      </w:r>
      <w:r>
        <w:t xml:space="preserve"> </w:t>
      </w:r>
      <w:r>
        <w:t xml:space="preserve">兼容旧文件名匹配，但遇到歧义、多 lane 或特殊命名时改用四列。运行前点击配对与序列结构检查，逐样本核对“样本—组—R1—R2”，不要只看总样本数。</w:t>
      </w:r>
    </w:p>
    <w:bookmarkEnd w:id="25"/>
    <w:bookmarkStart w:id="26" w:name="guide-05"/>
    <w:p>
      <w:pPr>
        <w:pStyle w:val="Heading2"/>
      </w:pPr>
      <w:r>
        <w:t xml:space="preserve">5. raw、clean、unknown 与引物、条码</w:t>
      </w:r>
    </w:p>
    <w:p>
      <w:pPr>
        <w:pStyle w:val="FirstParagraph"/>
      </w:pPr>
      <w:r>
        <w:t xml:space="preserve">raw 表示尚需确认或处理原始结构；clean 表示有来源依据确认已经完成所需清洗；unknown 表示不知道处理状态。</w:t>
      </w:r>
      <w:r>
        <w:rPr>
          <w:b/>
          <w:bCs/>
        </w:rPr>
        <w:t xml:space="preserve">文件名含 clean 不是证据，未检出预设引物也不证明已经 clean。</w:t>
      </w:r>
      <w:r>
        <w:t xml:space="preserve"> </w:t>
      </w:r>
      <w:r>
        <w:t xml:space="preserve">最有用的信息是测序公司提供的真实引物序列、方向、barcode/spacer 位置和已执行步骤。</w:t>
      </w:r>
    </w:p>
    <w:p>
      <w:pPr>
        <w:pStyle w:val="BodyText"/>
      </w:pPr>
      <w:r>
        <w:t xml:space="preserve">引物用于扩增目标片段；barcode/index 用于识别样本；接头用于测序文库。它们可能位于不同位置。CSV 只是文件与样本的对应表，不执行 barcode 拆样。输入若仍是未拆样混合文库，应先用正确索引信息完成拆样。</w:t>
      </w:r>
    </w:p>
    <w:p>
      <w:pPr>
        <w:pStyle w:val="BodyText"/>
      </w:pPr>
      <w:r>
        <w:t xml:space="preserve">工作站每文件抽查前 1000 条 reads，在起点 0—60 bp 搜索完整候选引物及反向互补，检测最多容许一个替换，不据局部短匹配推定引物。至少抽到 20 条、匹配比例达 90%、方向与切除边界一致才推荐自动清洗。这些都是</w:t>
      </w:r>
      <w:r>
        <w:rPr>
          <w:b/>
          <w:bCs/>
        </w:rPr>
        <w:t xml:space="preserve">工作站启发式阈值</w:t>
      </w:r>
      <w:r>
        <w:t xml:space="preserve">，不是官方统一标准；前 1000 条检查也不是全文件完整性或逐条配对一致性的证明。</w:t>
      </w:r>
    </w:p>
    <w:p>
      <w:pPr>
        <w:pStyle w:val="BodyText"/>
      </w:pPr>
      <w:r>
        <w:t xml:space="preserve">预设覆盖部分 341F、338F、806R 候选；同一个名称可能有不同实验序列。自定义可逐行填多条序列，每方向最多 8 条，每条 12—80 bp、至少 12 个非 N 位点。支持 IUPAC 简并字符，例如 R=A/G、Y=C/T、W=A/T、N=任意碱基；这描述可接受的碱基集合，不是测序质量分数。</w:t>
      </w:r>
    </w:p>
    <w:p>
      <w:pPr>
        <w:pStyle w:val="BodyText"/>
      </w:pPr>
      <w:r>
        <w:t xml:space="preserve">确认需要清洗后，Cutadapt 按完整候选长度匹配、错误率 0.1，切除匹配引物及其前方附加序列[5]。抽样检测规则与实际清洗匹配规则不同。程序不会根据上游附加序列猜 barcode 身份，也不会猜测切除引物后未知 spacer 的长度。短扩增子可能被测穿，3′ 端出现对侧引物或接头，当前 5′ 端处理不能证明这些结构已清除。已确认 clean 不应再机械裁掉一遍。</w:t>
      </w:r>
    </w:p>
    <w:p>
      <w:pPr>
        <w:pStyle w:val="BodyText"/>
      </w:pPr>
      <w:r>
        <w:t xml:space="preserve">检查</w:t>
      </w:r>
      <w:r>
        <w:t xml:space="preserve"> </w:t>
      </w:r>
      <w:r>
        <w:rPr>
          <w:rStyle w:val="VerbatimChar"/>
        </w:rPr>
        <w:t xml:space="preserve">sequence_structure.json/tsv</w:t>
      </w:r>
      <w:r>
        <w:t xml:space="preserve">、处理前后计数、clean FASTQ 映射及残留检查。本版残留抽样匹配超过 5% 会停止后续 DADA2；5% 同样是工作站保护阈值。遇到未确认、反向异常或切点冲突，先核对真实序列和供应商说明，不能通过随意增加 trim 绕过结构问题。</w:t>
      </w:r>
    </w:p>
    <w:bookmarkEnd w:id="26"/>
    <w:bookmarkStart w:id="27" w:name="guide-06"/>
    <w:p>
      <w:pPr>
        <w:pStyle w:val="Heading2"/>
      </w:pPr>
      <w:r>
        <w:t xml:space="preserve">6. 看质量图、选择截断、理解 DADA2</w:t>
      </w:r>
    </w:p>
    <w:p>
      <w:pPr>
        <w:pStyle w:val="FirstParagraph"/>
      </w:pPr>
      <w:r>
        <w:t xml:space="preserve">Phred 质量值满足</w:t>
      </w:r>
      <w:r>
        <w:t xml:space="preserve"> </w:t>
      </w:r>
      <w:r>
        <w:rPr>
          <w:rStyle w:val="VerbatimChar"/>
        </w:rPr>
        <w:t xml:space="preserve">Q = -10 log10(P错误)</w:t>
      </w:r>
      <w:r>
        <w:t xml:space="preserve">，Q20、Q30 分别对应约 1%、0.1% 的单碱基错误概率。质量图横轴通常是 read 内位置，纵轴是该位置的质量分布。它不是每条 read 的完整轨迹，也不直接报告整个样本可保留多少序列。反向端质量下降常更早，不能因为两端测序长度相同就强制截断长度相同。</w:t>
      </w:r>
    </w:p>
    <w:p>
      <w:pPr>
        <w:pStyle w:val="BodyText"/>
      </w:pPr>
      <w:r>
        <w:rPr>
          <w:rStyle w:val="VerbatimChar"/>
        </w:rPr>
        <w:t xml:space="preserve">trim-left</w:t>
      </w:r>
      <w:r>
        <w:t xml:space="preserve"> </w:t>
      </w:r>
      <w:r>
        <w:t xml:space="preserve">从左端切除指定碱基；</w:t>
      </w:r>
      <w:r>
        <w:rPr>
          <w:rStyle w:val="VerbatimChar"/>
        </w:rPr>
        <w:t xml:space="preserve">trunc-len</w:t>
      </w:r>
      <w:r>
        <w:t xml:space="preserve"> </w:t>
      </w:r>
      <w:r>
        <w:t xml:space="preserve">控制右端截断位置。引物处理确认后，额外左端 trim 默认 0。截断应兼顾质量和双端重叠，且必须看</w:t>
      </w:r>
      <w:r>
        <w:rPr>
          <w:b/>
          <w:bCs/>
        </w:rPr>
        <w:t xml:space="preserve">进入 DADA2 的处理后质量图</w:t>
      </w:r>
      <w:r>
        <w:t xml:space="preserve">。假设去引物后目标片段 420 bp、两端保留 240 和 210 bp，则预计重叠约 30 bp；若只保留 200 和 200 bp，预计无重叠。长度有天然变异时，单一估计不能保证所有序列都可拼接。</w:t>
      </w:r>
    </w:p>
    <w:p>
      <w:pPr>
        <w:pStyle w:val="BodyText"/>
      </w:pPr>
      <w:r>
        <w:t xml:space="preserve">工作站自动建议先选至少 99% 抽样 reads 覆盖的最长位置，再在首个连续 10 个位置的 Q25 中位数低于 Q30 的窗口前截断。q2-demux 质量汇总默认全批随机抽样 10000 条，99% 仅指该抽样的长度覆盖，不能解释为每样本 99% 实际质控保留率。这里 Q25 是质量分布的第 25 百分位，</w:t>
      </w:r>
      <w:r>
        <w:rPr>
          <w:b/>
          <w:bCs/>
        </w:rPr>
        <w:t xml:space="preserve">不是固定 Q=25</w:t>
      </w:r>
      <w:r>
        <w:t xml:space="preserve">。连续窗口只评价汇总图，不对每条 read 执行滑窗修剪。建议不足 50 bp 时转人工判断；50 bp 仅界定该建议的适用范围。线程建议最多 4 个；最低全表丰度默认 1。以上均为可复核建议，不保证最优。</w:t>
      </w:r>
    </w:p>
    <w:p>
      <w:pPr>
        <w:pStyle w:val="BodyText"/>
      </w:pPr>
      <w:r>
        <w:t xml:space="preserve">DADA2 用质量信息学习测序错误率，区分可能的真实变体与错误序列；它不是简单按 97% 相似度聚类[2]。当前参数依照接入的 QIIME 2 2025.7 实现固定记录[4]：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当前设置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max-ee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每端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预期错误数为逐碱基错误概率之和；不是最多允许 2 个已知错字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trunc-q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遇到质量值不高于阈值的位置截短，仍受其他长度与过滤条件影响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min-overlap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双端至少有这么多重叠，按实际序列检验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max-merge-mismatch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本次拼接不允许重叠区域错配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chimera-method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按样本识别嵌合体，再综合各样本证据去除</w:t>
            </w:r>
          </w:p>
        </w:tc>
      </w:tr>
    </w:tbl>
    <w:p>
      <w:pPr>
        <w:pStyle w:val="BodyText"/>
      </w:pPr>
      <w:r>
        <w:t xml:space="preserve">嵌合体主要指 PCR 中由不同模板拼成的序列。此流程已去嵌合体，不需再叠加 USEARCH/gold 来声称完成同一步。实际顺序是过滤、降噪、双端拼接、去嵌合体。</w:t>
      </w:r>
    </w:p>
    <w:p>
      <w:pPr>
        <w:pStyle w:val="BodyText"/>
      </w:pPr>
      <w:r>
        <w:t xml:space="preserve">查看逐样本</w:t>
      </w:r>
      <w:r>
        <w:t xml:space="preserve"> </w:t>
      </w:r>
      <w:r>
        <w:rPr>
          <w:rStyle w:val="VerbatimChar"/>
        </w:rPr>
        <w:t xml:space="preserve">input → filtered → denoised → merged → non-chimeric</w:t>
      </w:r>
      <w:r>
        <w:t xml:space="preserve">：filtered 突降先查质量、长度与 maxEE；merged 突降先查重叠、方向、配对与残留结构；non-chimeric 突降再查 PCR 和嵌合体。双端以读对/合并序列理解计数。</w:t>
      </w:r>
      <w:r>
        <w:rPr>
          <w:rStyle w:val="VerbatimChar"/>
        </w:rPr>
        <w:t xml:space="preserve">dada2_retention.csv/json</w:t>
      </w:r>
      <w:r>
        <w:t xml:space="preserve"> </w:t>
      </w:r>
      <w:r>
        <w:t xml:space="preserve">保存阶段保留率，分母为零时留空；低于 50% 仅触发启发式提醒，不自动删样。不要只看全批平均，不同组系统性丢失会影响比较。不存在适用于全部样本的“必须保留某百分比”金标准。</w:t>
      </w:r>
    </w:p>
    <w:bookmarkEnd w:id="27"/>
    <w:bookmarkStart w:id="28" w:name="guide-07"/>
    <w:p>
      <w:pPr>
        <w:pStyle w:val="Heading2"/>
      </w:pPr>
      <w:r>
        <w:t xml:space="preserve">7. 分类、特征过滤与系统发育树</w:t>
      </w:r>
    </w:p>
    <w:p>
      <w:pPr>
        <w:pStyle w:val="FirstParagraph"/>
      </w:pPr>
      <w:r>
        <w:t xml:space="preserve">分类器根据代表序列与训练数据给出分类标签。选择与目标区域、方向、参考库和软件版本相容的</w:t>
      </w:r>
      <w:r>
        <w:t xml:space="preserve"> </w:t>
      </w:r>
      <w:r>
        <w:rPr>
          <w:rStyle w:val="VerbatimChar"/>
        </w:rPr>
        <w:t xml:space="preserve">.qza</w:t>
      </w:r>
      <w:r>
        <w:t xml:space="preserve">；仅能读取文件类型不代表模型兼容。L2—L7 通常对应门、纲、目、科、属、种，标签受参考数据库和分类体系影响。未分类到属不等于不存在该微生物，可能只是片段信息或参考覆盖不足。</w:t>
      </w:r>
    </w:p>
    <w:p>
      <w:pPr>
        <w:pStyle w:val="BodyText"/>
      </w:pPr>
      <w:r>
        <w:t xml:space="preserve">分类表的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是分类模型输出的浮点置信信息，不是序列计数，也不是某分类绝对正确的概率保证。当前流程没有另设用户可调的 Confidence 后过滤；不要擅自把它转整数或把 0.7、0.8 等当作本项目已执行的额外标准。</w:t>
      </w:r>
    </w:p>
    <w:p>
      <w:pPr>
        <w:pStyle w:val="BodyText"/>
      </w:pPr>
      <w:r>
        <w:t xml:space="preserve">当前工作站以细菌分析为目标，固定排除分类字符串含</w:t>
      </w:r>
      <w:r>
        <w:t xml:space="preserve"> </w:t>
      </w:r>
      <w:r>
        <w:rPr>
          <w:rStyle w:val="VerbatimChar"/>
        </w:rPr>
        <w:t xml:space="preserve">Archaea</w:t>
      </w:r>
      <w:r>
        <w:t xml:space="preserve">、</w:t>
      </w:r>
      <w:r>
        <w:rPr>
          <w:rStyle w:val="VerbatimChar"/>
        </w:rPr>
        <w:t xml:space="preserve">mitochondria</w:t>
      </w:r>
      <w:r>
        <w:t xml:space="preserve">、</w:t>
      </w:r>
      <w:r>
        <w:rPr>
          <w:rStyle w:val="VerbatimChar"/>
        </w:rPr>
        <w:t xml:space="preserve">chloroplast</w:t>
      </w:r>
      <w:r>
        <w:t xml:space="preserve"> </w:t>
      </w:r>
      <w:r>
        <w:t xml:space="preserve">的特征，再执行全表最低总丰度过滤。这不保证仅剩细菌，未分类或其他真核信号仍可能保留。</w:t>
      </w:r>
      <w:r>
        <w:rPr>
          <w:b/>
          <w:bCs/>
        </w:rPr>
        <w:t xml:space="preserve">古菌是真实微生物，并非普遍意义的污染。</w:t>
      </w:r>
      <w:r>
        <w:t xml:space="preserve"> </w:t>
      </w:r>
      <w:r>
        <w:t xml:space="preserve">如果研究包含古菌、植物相关细胞器或目标本来就是这些信号，应先改变分析方案；选择古菌参考库不会恢复已经删掉的 ASV。每次都应比较过滤前后样本总量及分类组成。</w:t>
      </w:r>
    </w:p>
    <w:p>
      <w:pPr>
        <w:pStyle w:val="BodyText"/>
      </w:pPr>
      <w:r>
        <w:t xml:space="preserve">最低丰度指一个 ASV 在全表样本中的计数总和，不是每个样本都必须达到该值。默认 1 避免额外删除低丰度 ASV；提高它可能减少噪声，也会改变丰富度、Chao1、检出率和核心菌群定义。不能先看显著性再反复调到理想结果。</w:t>
      </w:r>
    </w:p>
    <w:p>
      <w:pPr>
        <w:pStyle w:val="BodyText"/>
      </w:pPr>
      <w:r>
        <w:t xml:space="preserve">工作站对过滤后的代表序列做 MAFFT 比对、掩蔽部分不可靠位置、FastTree 建树并生成有根树，供 Faith PD 与 UniFrac 使用[6]。树反映短扩增子所支持的近似关系；它不是全基因组进化史，也不等同于分类谱系图。树、特征表与代表序列必须对应同一批特征。</w:t>
      </w:r>
    </w:p>
    <w:bookmarkEnd w:id="28"/>
    <w:bookmarkStart w:id="29" w:name="guide-08"/>
    <w:p>
      <w:pPr>
        <w:pStyle w:val="Heading2"/>
      </w:pPr>
      <w:r>
        <w:t xml:space="preserve">8. 抽平曲线和正式抽平深度</w:t>
      </w:r>
    </w:p>
    <w:p>
      <w:pPr>
        <w:pStyle w:val="FirstParagraph"/>
      </w:pPr>
      <w:r>
        <w:t xml:space="preserve">稀释/抽平是从每个样本无放回随机取相同数量序列。它可在当前距离与多样性流程中统一计数深度，但会丢弃序列，低于深度的样本会被排除。它并非所有微生物统计都必须使用的预处理；方法间有不同估计目标与适用条件[8]。</w:t>
      </w:r>
    </w:p>
    <w:p>
      <w:pPr>
        <w:pStyle w:val="BodyText"/>
      </w:pPr>
      <w:r>
        <w:rPr>
          <w:b/>
          <w:bCs/>
        </w:rPr>
        <w:t xml:space="preserve">抽平曲线</w:t>
      </w:r>
      <w:r>
        <w:t xml:space="preserve">在多个深度重复抽样，诊断指标随测序量的变化；本版通常从 1 到最大深度取约 10 个点，每点 10 次。</w:t>
      </w:r>
      <w:r>
        <w:rPr>
          <w:rStyle w:val="VerbatimChar"/>
        </w:rPr>
        <w:t xml:space="preserve">max-depth</w:t>
      </w:r>
      <w:r>
        <w:t xml:space="preserve"> </w:t>
      </w:r>
      <w:r>
        <w:t xml:space="preserve">是曲线终点，留空取过滤后最大样本计数；填值超过实际最大计数时按实际最大运行并记录提示。深度超过某样本计数时，该样本不再贡献该点，曲线右端可能只剩高深度样本，不能忽视样本数变化。</w:t>
      </w:r>
    </w:p>
    <w:p>
      <w:pPr>
        <w:pStyle w:val="BodyText"/>
      </w:pPr>
      <w:r>
        <w:rPr>
          <w:b/>
          <w:bCs/>
        </w:rPr>
        <w:t xml:space="preserve">正式抽平深度</w:t>
      </w:r>
      <w:r>
        <w:t xml:space="preserve">是本次核心分析统一取多少条序列，独立于曲线终点。当前推荐取严格低于所有样本最低过滤后计数的最大正整百数：</w:t>
      </w:r>
      <w:r>
        <w:rPr>
          <w:rStyle w:val="VerbatimChar"/>
        </w:rPr>
        <w:t xml:space="preserve">((最低计数 - 1) // 100) × 100</w:t>
      </w:r>
      <w:r>
        <w:t xml:space="preserve">。假设示例：最低 17105 推荐 17100；恰好 17100 则推荐 17000。这个规则旨在保留全部样本，是工作站选择，不是公认最佳深度，也不保证曲线已平稳。最低不超过 100、存在零计数或分组不足时，程序要求检查，不自动扔掉低深度样本。</w:t>
      </w:r>
    </w:p>
    <w:p>
      <w:pPr>
        <w:pStyle w:val="BodyText"/>
      </w:pPr>
      <w:r>
        <w:t xml:space="preserve">另有独立曲线诊断：寻找三个深度点、末点至少为首点 1.2 倍，observed features 与 Faith PD 变化不超过 5%、Shannon 不超过 2%，每组至少 90% 原样本支持。它也是启发式，诊断候选不改变上述正式推荐，更不证明正式推荐点已经验证。缺数据或未找到平台时应人工查看。</w:t>
      </w:r>
    </w:p>
    <w:p>
      <w:pPr>
        <w:pStyle w:val="BodyText"/>
      </w:pPr>
      <w:r>
        <w:t xml:space="preserve">选择深度时依次看：每样本计数、各组保留名单、曲线是否仍陡升、丢样是否破坏设计。每组至少保留 2 个样本只是程序可运行的下限，不代表统计功效充分。确定后核心分析只抽平一次，后续 α、β、统计和 R 图读取同一保存表；换深度是一次新的分析，需保留并解释理由。</w:t>
      </w:r>
    </w:p>
    <w:bookmarkEnd w:id="29"/>
    <w:bookmarkStart w:id="30" w:name="guide-09"/>
    <w:p>
      <w:pPr>
        <w:pStyle w:val="Heading2"/>
      </w:pPr>
      <w:r>
        <w:t xml:space="preserve">9. 七项 α 多样性怎么读</w:t>
      </w:r>
    </w:p>
    <w:p>
      <w:pPr>
        <w:pStyle w:val="FirstParagraph"/>
      </w:pPr>
      <w:r>
        <w:t xml:space="preserve">α 多样性描述单个样本内部的群落特征，不能简单归结为“越高越健康”。下表中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为检出特征数、</w:t>
      </w:r>
      <w:r>
        <w:rPr>
          <w:rStyle w:val="VerbatimChar"/>
        </w:rPr>
        <w:t xml:space="preserve">pᵢ</w:t>
      </w:r>
      <w:r>
        <w:t xml:space="preserve"> </w:t>
      </w:r>
      <w:r>
        <w:t xml:space="preserve">为样本内第 i 个特征比例；具体实现见 scikit-bio 与 QIIME 文档[7]。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主要衡量什么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解读与限制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Observed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实际检出的 ASV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直观丰富度，受深度、区域、过滤影响，不等于真实物种数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用低计数特征估计未观测丰富度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 singleton/doubleton；降噪和低丰度过滤改变它们，不能当作无偏真实物种总数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丰富度与均匀度，</w:t>
            </w:r>
            <w:r>
              <w:rPr>
                <w:rStyle w:val="VerbatimChar"/>
              </w:rPr>
              <w:t xml:space="preserve">-Σpᵢln(pᵢ)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多个因素可导致同样分值，须结合组成与其他指标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本版为</w:t>
            </w:r>
            <w:r>
              <w:t xml:space="preserve"> </w:t>
            </w:r>
            <w:r>
              <w:rPr>
                <w:rStyle w:val="VerbatimChar"/>
              </w:rPr>
              <w:t xml:space="preserve">1-Σpᵢ²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更受优势特征影响；勿与 Simpson 集中度或倒数混用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Pielou evenness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Shannon/ln(S)</w:t>
            </w:r>
            <w:r>
              <w:t xml:space="preserve"> </w:t>
            </w:r>
            <w:r>
              <w:t xml:space="preserve">的均匀度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不直接衡量丰富度；仅一个特征等情况可能无定义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Faith 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检出特征在树上的分支长度总和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反映系统发育广度，依赖树质量与分支长度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Good’s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常用形式</w:t>
            </w:r>
            <w:r>
              <w:t xml:space="preserve"> </w:t>
            </w:r>
            <w:r>
              <w:rPr>
                <w:rStyle w:val="VerbatimChar"/>
              </w:rPr>
              <w:t xml:space="preserve">1-singletons/总计数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反映当前抽样中低计数尾部信息；接近 1 不证明测全物种、无污染或功能完整</w:t>
            </w:r>
          </w:p>
        </w:tc>
      </w:tr>
    </w:tbl>
    <w:p>
      <w:pPr>
        <w:pStyle w:val="BodyText"/>
      </w:pPr>
      <w:r>
        <w:t xml:space="preserve">本版每项保存独立图。曲线中 Pielou 名为</w:t>
      </w:r>
      <w:r>
        <w:t xml:space="preserve"> </w:t>
      </w:r>
      <w:r>
        <w:rPr>
          <w:rStyle w:val="VerbatimChar"/>
        </w:rPr>
        <w:t xml:space="preserve">pielou_e</w:t>
      </w:r>
      <w:r>
        <w:t xml:space="preserve">，核心向量名为</w:t>
      </w:r>
      <w:r>
        <w:t xml:space="preserve"> </w:t>
      </w:r>
      <w:r>
        <w:rPr>
          <w:rStyle w:val="VerbatimChar"/>
        </w:rPr>
        <w:t xml:space="preserve">evenness</w:t>
      </w:r>
      <w:r>
        <w:t xml:space="preserve">，表示同类指标。DADA2 与后续过滤会减少极低计数特征，因此 Chao1、Good’s coverage 要特别谨慎；跨不同过滤流程直接比较可产生误解。</w:t>
      </w:r>
    </w:p>
    <w:p>
      <w:pPr>
        <w:pStyle w:val="BodyText"/>
      </w:pPr>
      <w:r>
        <w:t xml:space="preserve">读箱线图时先看样本点、离群值、组内分散及样本数，再看组间检验。显著性字母是保存的两两比较结果摘要：共享字母通常表示未拒绝该对“无差异”的零假设，并不证明两组完全相同。若全部值相同或数据不适合检验，程序可能明确跳过；不应补造 P 值或字母。</w:t>
      </w:r>
    </w:p>
    <w:bookmarkEnd w:id="30"/>
    <w:bookmarkStart w:id="31" w:name="guide-10"/>
    <w:p>
      <w:pPr>
        <w:pStyle w:val="Heading2"/>
      </w:pPr>
      <w:r>
        <w:t xml:space="preserve">10. β 多样性、PCoA 与统计检验</w:t>
      </w:r>
    </w:p>
    <w:p>
      <w:pPr>
        <w:pStyle w:val="FirstParagraph"/>
      </w:pPr>
      <w:r>
        <w:t xml:space="preserve">β 多样性描述样本之间的差异。工作站当前四套距离回答的侧重点不同[9]：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是否关注丰度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是否使用树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适合怎样理解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Bray–Curtis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分类单元的组成和丰度差异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主要看检出/未检出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成员集合的差异，对检出阈值敏感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UniFrac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带丰度权重的进化分支差异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Unweighted UniFrac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主要看检出/未检出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检出成员所覆盖分支的差异</w:t>
            </w:r>
          </w:p>
        </w:tc>
      </w:tr>
    </w:tbl>
    <w:p>
      <w:pPr>
        <w:pStyle w:val="BodyText"/>
      </w:pPr>
      <w:r>
        <w:t xml:space="preserve">PCoA 把距离矩阵投影到少数坐标轴。图上较近通常代表在该距离下较相似；轴百分比是排序表示的信息比例，不是处理解释率。二维图只展示一部分结构；当前椭圆为 t 数据椭圆，不是组中心置信区间或显著性证据。图上 PERMANOVA P 值来自完整距离矩阵，不是仅检验前两轴。部分距离有负特征值，保存的坐标不能充分恢复原始负值信息；注意原工具警告，不凭图独自判断。</w:t>
      </w:r>
    </w:p>
    <w:p>
      <w:pPr>
        <w:pStyle w:val="BodyText"/>
      </w:pPr>
      <w:r>
        <w:t xml:space="preserve">PERMANOVA 用置换检验组别与整体距离结构的关系，常报告 pseudo-F、R² 与 P 值[10]。R² 是该模型/距离下解释的变异比例，不能理解为“处理造成了 R² 百分比细菌变化”。PERMDISP 检查各组到中心的离散程度[11]；若显著，组内分散差异也可能影响 PERMANOVA 解读。任组仅 2 个样本时本版跳过 PERMDISP 并记录原因，以避免退化结果。应同时报告可用检验、组大小及排序图，不能用一个结果自动抵消另一个。</w:t>
      </w:r>
    </w:p>
    <w:p>
      <w:pPr>
        <w:pStyle w:val="BodyText"/>
      </w:pPr>
      <w:r>
        <w:t xml:space="preserve">P 值是在零假设与模型条件下得到当前或更极端结果的概率，不是“结果由偶然造成的概率”，也不是效应大小。一次筛查很多菌会增加假阳性机会；BH 等校正控制指定检验集合中的错误发现率 FDR[12]。q 值不等于该菌有 q 的概率为假。报告需说明校正范围，不能把各层级、各终点、各次试参中最小 P 值拼成一个结论。</w:t>
      </w:r>
    </w:p>
    <w:p>
      <w:pPr>
        <w:pStyle w:val="BodyText"/>
      </w:pPr>
      <w:r>
        <w:t xml:space="preserve">基础 α 检验为总体/两两 Kruskal–Wallis，β 保存总体/两两 PERMANOVA 和 PERMDISP。BH 的范围分别为每个 α 指标内的两两检验、每个 β 距离与方法内的两两检验；七项 α 总体 P 和四项 β 总体 P 仍是原始 P，不能声称全流程已统一控制 FDR。KW 用近似分布，小样本尤其每组少于常用的 5 个时须谨慎，2 个只是运行下限。它们依赖独立性与适当置换；重复采样、配对或笼位设计不能直接当独立样本。</w:t>
      </w:r>
    </w:p>
    <w:bookmarkEnd w:id="31"/>
    <w:bookmarkStart w:id="32" w:name="guide-11"/>
    <w:p>
      <w:pPr>
        <w:pStyle w:val="Heading2"/>
      </w:pPr>
      <w:r>
        <w:t xml:space="preserve">11. 组成图、相对丰度与绝对菌量</w:t>
      </w:r>
    </w:p>
    <w:p>
      <w:pPr>
        <w:pStyle w:val="FirstParagraph"/>
      </w:pPr>
      <w:r>
        <w:t xml:space="preserve">计数表记录测到的序列，不是细胞数。相对丰度为每样本某特征计数除以该样本总计数，各项和为 1。假设示例：A 的细胞量不变而 B 大量增加，A 的比例仍可能下降。因此“相对丰度下降”不能直接写成“菌量减少”[13]。绝对量需额外的 qPCR、流式、加标或其他经验证的定量设计，并考虑 16S 拷贝数和提取效率。</w:t>
      </w:r>
    </w:p>
    <w:p>
      <w:pPr>
        <w:pStyle w:val="BodyText"/>
      </w:pPr>
      <w:r>
        <w:t xml:space="preserve">当前分类组成使用过滤后的</w:t>
      </w:r>
      <w:r>
        <w:rPr>
          <w:b/>
          <w:bCs/>
        </w:rPr>
        <w:t xml:space="preserve">未抽平表</w:t>
      </w:r>
      <w:r>
        <w:t xml:space="preserve">，先逐样本转比例，再组内等权求均值，不把高测序量样本赋更大权重。表格通常保存 0—1 比例，图显示百分比；0.1 表示 10%，不是 0.1%。</w:t>
      </w:r>
    </w:p>
    <w:p>
      <w:pPr>
        <w:pStyle w:val="BodyText"/>
      </w:pPr>
      <w:r>
        <w:t xml:space="preserve">分类绘图把目标层级为空及 norank、uncultured、unclassified、Incertae_Sedis 等归入</w:t>
      </w:r>
      <w:r>
        <w:t xml:space="preserve"> </w:t>
      </w:r>
      <w:r>
        <w:rPr>
          <w:rStyle w:val="VerbatimChar"/>
        </w:rPr>
        <w:t xml:space="preserve">Others</w:t>
      </w:r>
      <w:r>
        <w:t xml:space="preserve">，同名标签求和。目/科/属默认展示 Top20，其余已知分类也并入绘图 Others；门/纲/种默认全量，可调整。Others 是展示合并项，不是一个物种；它变大可能源于未分类增多，也可能是 Top N 外分类增多。原始谱系、清洗映射及完整表仍保存，差异模型继续使用完整谱系计数。</w:t>
      </w:r>
    </w:p>
    <w:p>
      <w:pPr>
        <w:pStyle w:val="BodyText"/>
      </w:pPr>
      <w:r>
        <w:t xml:space="preserve">组成图用于描述。某个色块大、组均值不同，或 Top N 排名变化，都不能单独当作统计差异或生物标志物证据。</w:t>
      </w:r>
    </w:p>
    <w:bookmarkEnd w:id="32"/>
    <w:bookmarkStart w:id="33" w:name="guide-12"/>
    <w:p>
      <w:pPr>
        <w:pStyle w:val="Heading2"/>
      </w:pPr>
      <w:r>
        <w:t xml:space="preserve">12. ANCOM-BC2、ANCOM 和 LEfSe</w:t>
      </w:r>
    </w:p>
    <w:p>
      <w:pPr>
        <w:pStyle w:val="FirstParagraph"/>
      </w:pPr>
      <w:r>
        <w:t xml:space="preserve">差异菌分析要兼顾组成性、测序深度和多重比较。当前方法入口明确区分 ANCOM-BC2、QIIME ANCOM 与 LEfSe，不能混称“ANCOM-II”，它们的统计量也不能互相替换。</w:t>
      </w:r>
    </w:p>
    <w:p>
      <w:pPr>
        <w:pStyle w:val="BodyText"/>
      </w:pPr>
      <w:r>
        <w:rPr>
          <w:b/>
          <w:bCs/>
        </w:rPr>
        <w:t xml:space="preserve">ANCOM-BC2</w:t>
      </w:r>
      <w:r>
        <w:t xml:space="preserve">读取过滤后、未抽平的整数计数，在所选 L2—L6 层级独立建模，当前公式是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，没有自动加入笼位、批次或个体随机效应[14]。默认全输入样本中非零检出比例门槛 0.1、样本计数下限</w:t>
      </w:r>
      <w:r>
        <w:t xml:space="preserve"> </w:t>
      </w:r>
      <w:r>
        <w:rPr>
          <w:rStyle w:val="VerbatimChar"/>
        </w:rPr>
        <w:t xml:space="preserve">lib_cut=0</w:t>
      </w:r>
      <w:r>
        <w:t xml:space="preserve">、显著性水平 0.05，启用结构零及伪计数敏感性检查。这些是当前设置，不是普适最佳选择。门/纲分类单元太少时偏差估计可能不稳，不能以各层级显著菌数量多少评判效应强弱。修改 lib_cut 时查看</w:t>
      </w:r>
      <w:r>
        <w:t xml:space="preserve"> </w:t>
      </w:r>
      <w:r>
        <w:rPr>
          <w:rStyle w:val="VerbatimChar"/>
        </w:rPr>
        <w:t xml:space="preserve">sample_inclusion.tsv</w:t>
      </w:r>
      <w:r>
        <w:t xml:space="preserve"> </w:t>
      </w:r>
      <w:r>
        <w:t xml:space="preserve">与实际入模样本，各组不足 2 个会停止该层级。</w:t>
      </w:r>
    </w:p>
    <w:p>
      <w:pPr>
        <w:pStyle w:val="BodyText"/>
      </w:pPr>
      <w:r>
        <w:t xml:space="preserve">参考组决定主效应方向，留空优先 CON，否则第一组。假设参考为 CON，</w:t>
      </w:r>
      <w:r>
        <w:t xml:space="preserve">“</w:t>
      </w:r>
      <w:r>
        <w:t xml:space="preserve">TREAT versus CON</w:t>
      </w:r>
      <w:r>
        <w:t xml:space="preserve">”</w:t>
      </w:r>
      <w:r>
        <w:t xml:space="preserve">的正 LFC 表示模型估计的 TREAT 更高；改变显示颜色/顺序不改变参考。LFC 是对数尺度效应，不是 LDA，也不应未经核对底数就当倍数。图中误差线若标</w:t>
      </w:r>
      <w:r>
        <w:t xml:space="preserve"> </w:t>
      </w:r>
      <w:r>
        <w:rPr>
          <w:rStyle w:val="VerbatimChar"/>
        </w:rPr>
        <w:t xml:space="preserve">±SE</w:t>
      </w:r>
      <w:r>
        <w:t xml:space="preserve">，表示标准误而非 95% 置信区间。</w:t>
      </w:r>
    </w:p>
    <w:p>
      <w:pPr>
        <w:pStyle w:val="BodyText"/>
      </w:pPr>
      <w:r>
        <w:t xml:space="preserve">三组及以上同时有几类问题：</w:t>
      </w:r>
      <w:r>
        <w:rPr>
          <w:rStyle w:val="VerbatimChar"/>
        </w:rPr>
        <w:t xml:space="preserve">res.tsv</w:t>
      </w:r>
      <w:r>
        <w:t xml:space="preserve"> </w:t>
      </w:r>
      <w:r>
        <w:t xml:space="preserve">是相对参考组的主效应；</w:t>
      </w:r>
      <w:r>
        <w:rPr>
          <w:rStyle w:val="VerbatimChar"/>
        </w:rPr>
        <w:t xml:space="preserve">res_global.tsv</w:t>
      </w:r>
      <w:r>
        <w:t xml:space="preserve"> </w:t>
      </w:r>
      <w:r>
        <w:t xml:space="preserve">问是否至少存在组别差异；</w:t>
      </w:r>
      <w:r>
        <w:rPr>
          <w:rStyle w:val="VerbatimChar"/>
        </w:rPr>
        <w:t xml:space="preserve">res_pair.tsv</w:t>
      </w:r>
      <w:r>
        <w:t xml:space="preserve"> </w:t>
      </w:r>
      <w:r>
        <w:t xml:space="preserve">是具体组对比较。总体显著不表示每对都显著；两两效应应读对应输出，不能用两个主效应相减后沿用原 q 值。主效应按每个系数分别 BH，两两采用官方混合方向 FDR 控制，不同层级无共同 FDR，也不能把控制参数 B=100 说成两两做了 100 次 bootstrap 验证。结构零</w:t>
      </w:r>
      <w:r>
        <w:t xml:space="preserve"> </w:t>
      </w:r>
      <w:r>
        <w:rPr>
          <w:rStyle w:val="VerbatimChar"/>
        </w:rPr>
        <w:t xml:space="preserve">[SZ]</w:t>
      </w:r>
      <w:r>
        <w:t xml:space="preserve"> </w:t>
      </w:r>
      <w:r>
        <w:t xml:space="preserve">在常规过滤前判断，相关特征不进入后续 LFC 模型；其 NA 不是无差异，也不能解释成生物学绝对缺失或伪造“无限倍”。</w:t>
      </w:r>
    </w:p>
    <w:p>
      <w:pPr>
        <w:pStyle w:val="BodyText"/>
      </w:pPr>
      <w:r>
        <w:t xml:space="preserve">QIIME ANCOM 是基于对数比的另一方法，保存 W 和总体拒绝判定[21]；它不等同于 ANCOM-BC2，当前入口也不产生 ANCOM-BC2 式两两效应。解释以相应阶段报告为准。</w:t>
      </w:r>
    </w:p>
    <w:p>
      <w:pPr>
        <w:pStyle w:val="BodyText"/>
      </w:pPr>
      <w:r>
        <w:rPr>
          <w:b/>
          <w:bCs/>
        </w:rPr>
        <w:t xml:space="preserve">LEfSe</w:t>
      </w:r>
      <w:r>
        <w:t xml:space="preserve">结合非参数筛选与 LDA 效应量，当前使用未抽平计数转换的 CPM，即比例乘 10⁶[16]。只有 SampleID 与 Group，不推定配对或 subclass。默认 KW 阈值与官方一致性参数均为 0.05、one-against-all，多组可选更严格策略。没有独立 subclass 时官方按类别构造它，任一类别少于 10 个样本的一致性步骤采用中位数规则，不能声称每一步都完成 Wilcoxon P&lt;0.05。LDA 分数是鉴别效应评分，</w:t>
      </w:r>
      <w:r>
        <w:rPr>
          <w:b/>
          <w:bCs/>
        </w:rPr>
        <w:t xml:space="preserve">LDA=3 不是增加 3 倍或 1000 倍</w:t>
      </w:r>
      <w:r>
        <w:t xml:space="preserve">，当前 LEfSe 结果也没有 BH FDR 校正。</w:t>
      </w:r>
    </w:p>
    <w:p>
      <w:pPr>
        <w:pStyle w:val="BodyText"/>
      </w:pPr>
      <w:r>
        <w:t xml:space="preserve">本版先拟合保留得分，再默认展示 LDA&gt;2。调整阈值预览仅筛选缓存分数，不重做 KW/LDA；柱图 Top N 同样只影响显示。谱系分支图表示分类关系，不是菌群互作网络或独立证据。LEfSe 与 ANCOM-BC2 的一致命中可供参考，但同一数据上跑两种方法不等于独立验证；标志物仍需独立队列、靶向实验或预先定义的外部验证。</w:t>
      </w:r>
    </w:p>
    <w:p>
      <w:pPr>
        <w:pStyle w:val="BodyText"/>
      </w:pPr>
      <w:r>
        <w:t xml:space="preserve">差异热图和气泡图先按原结果筛选，再展示全部组的平均相对丰度。行 Z 分数突出同一菌在组间的相对高低，不能比较不同菌的绝对丰度；气泡大小、颜色深浅不表示显著性。查看完整候选表、q、效应、检出率和警告，不能只交付一张漂亮热图。</w:t>
      </w:r>
    </w:p>
    <w:bookmarkEnd w:id="33"/>
    <w:bookmarkStart w:id="34" w:name="guide-13"/>
    <w:p>
      <w:pPr>
        <w:pStyle w:val="Heading2"/>
      </w:pPr>
      <w:r>
        <w:t xml:space="preserve">13. PICRUSt2、NSTI 与功能注释</w:t>
      </w:r>
    </w:p>
    <w:p>
      <w:pPr>
        <w:pStyle w:val="FirstParagraph"/>
      </w:pPr>
      <w:r>
        <w:t xml:space="preserve">PICRUSt2 利用 ASV 在参考树中的位置和已测参考基因组的性状，推断基因家族组成；先按标记基因拷贝数校正丰度，再得到功能预测[17]。输入是过滤后未抽平表与完全对应的代表序列，输出允许小数，不能当实测 reads 或细胞数。它不是宏基因组测序，更没有测 RNA、蛋白或代谢通量。可以写“预测的功能潜力有差异”，不能直接写“该通路表达上调”或“代谢产物增多”。</w:t>
      </w:r>
    </w:p>
    <w:p>
      <w:pPr>
        <w:pStyle w:val="BodyText"/>
      </w:pPr>
      <w:r>
        <w:t xml:space="preserve">NSTI（nearest sequenced taxon index）反映与已测参考基因组的系统发育距离；通常距离更大意味着参考外推更远，但它不是准确率百分比，也没有普适合格线。官方样本加权 NSTI 对保留 ASV 使用标记拷贝数校正后的丰度权重，须结合被排除的 ASV 和 reads 一起看，低 NSTI 不证明功能正确。当前</w:t>
      </w:r>
      <w:r>
        <w:t xml:space="preserve"> </w:t>
      </w:r>
      <w:r>
        <w:rPr>
          <w:rStyle w:val="VerbatimChar"/>
        </w:rPr>
        <w:t xml:space="preserve">min_align=0.8</w:t>
      </w:r>
      <w:r>
        <w:t xml:space="preserve">、</w:t>
      </w:r>
      <w:r>
        <w:rPr>
          <w:rStyle w:val="VerbatimChar"/>
        </w:rPr>
        <w:t xml:space="preserve">max_nsti=2.0</w:t>
      </w:r>
      <w:r>
        <w:t xml:space="preserve"> </w:t>
      </w:r>
      <w:r>
        <w:t xml:space="preserve">是接入默认值，不能因丢失多自动放宽。缺失官方质控表会标 unavailable，不臆算排除原因[18]。</w:t>
      </w:r>
    </w:p>
    <w:p>
      <w:pPr>
        <w:pStyle w:val="BodyText"/>
      </w:pPr>
      <w:r>
        <w:t xml:space="preserve">三类输出应区分：KO 是 KEGG orthology 功能同源组；EC 是酶学编号；MetaCyc pathway 由 PICRUSt2 的相应通路步骤推断。工作站另接收八列映射表：</w:t>
      </w:r>
    </w:p>
    <w:p>
      <w:pPr>
        <w:pStyle w:val="SourceCode"/>
      </w:pPr>
      <w:r>
        <w:rPr>
          <w:rStyle w:val="VerbatimChar"/>
        </w:rPr>
        <w:t xml:space="preserve">KO,L1,L2,L3,pathway_id,gene,KO_name,EC</w:t>
      </w:r>
    </w:p>
    <w:p>
      <w:pPr>
        <w:pStyle w:val="FirstParagraph"/>
      </w:pPr>
      <w:r>
        <w:t xml:space="preserve">映射可为 UTF-8 CSV/TSV，KO 形如</w:t>
      </w:r>
      <w:r>
        <w:t xml:space="preserve"> </w:t>
      </w:r>
      <w:r>
        <w:rPr>
          <w:rStyle w:val="VerbatimChar"/>
        </w:rPr>
        <w:t xml:space="preserve">K00001</w:t>
      </w:r>
      <w:r>
        <w:t xml:space="preserve">，L2/L3 非空时须有父层级。这个文件只给</w:t>
      </w:r>
      <w:r>
        <w:rPr>
          <w:b/>
          <w:bCs/>
        </w:rPr>
        <w:t xml:space="preserve">已经预测出的 KO 加注释并按分类求和</w:t>
      </w:r>
      <w:r>
        <w:t xml:space="preserve">，不是 PICRUSt2 参考基因组库。相同 KO 可属于多个分类，分类总和可能超过原 KO 总量；分类相对丰度按该汇总表各样本总和重新归一，不能跨层级混用分母。</w:t>
      </w:r>
    </w:p>
    <w:p>
      <w:pPr>
        <w:pStyle w:val="BodyText"/>
      </w:pPr>
      <w:r>
        <w:t xml:space="preserve">KEGG L1/L2/L3 或 pathway_id 下的 KO 求和只是注释聚合，不是 MinPath 等方法正式推断的 KEGG 通路丰度、通路完整性或活性。官方 MetaCyc 推断与这些求和需分别命名。当前未请求 stratified/per-sequence 输出，不能从功能总表声称已经得到各菌功能贡献。保存映射来源、版本、原文件 SHA256 和未映射 KO；不因注释名称熟悉就忽视预测不确定性。</w:t>
      </w:r>
    </w:p>
    <w:bookmarkEnd w:id="34"/>
    <w:bookmarkStart w:id="35" w:name="guide-14"/>
    <w:p>
      <w:pPr>
        <w:pStyle w:val="Heading2"/>
      </w:pPr>
      <w:r>
        <w:t xml:space="preserve">14. 高级分析：核心菌群、排序与表型关联</w:t>
      </w:r>
    </w:p>
    <w:p>
      <w:pPr>
        <w:pStyle w:val="FirstParagraph"/>
      </w:pPr>
      <w:r>
        <w:t xml:space="preserve">高级模块使用可选独立 R 环境</w:t>
      </w:r>
      <w:r>
        <w:t xml:space="preserve"> </w:t>
      </w:r>
      <w:r>
        <w:rPr>
          <w:rStyle w:val="VerbatimChar"/>
        </w:rPr>
        <w:t xml:space="preserve">16s-workstation-advanced</w:t>
      </w:r>
      <w:r>
        <w:t xml:space="preserve">，不改 QIIME 或绘图 R 环境。仅首次使用这些新高级方法时，双击根目录的</w:t>
      </w:r>
      <w:r>
        <w:t xml:space="preserve"> </w:t>
      </w:r>
      <w:r>
        <w:rPr>
          <w:rStyle w:val="VerbatimChar"/>
        </w:rPr>
        <w:t xml:space="preserve">安装高级分析环境.bat</w:t>
      </w:r>
      <w:r>
        <w:t xml:space="preserve"> </w:t>
      </w:r>
      <w:r>
        <w:t xml:space="preserve">联网安装一次；常规分析无需重装。选择已完成预处理结果和 L2—L6 中一个层级，读取其未抽平原始计数；它与基础核心多样性的抽平输入不同。没有对应报告时，不能声称已经完成分析。</w:t>
      </w:r>
    </w:p>
    <w:p>
      <w:pPr>
        <w:pStyle w:val="BodyText"/>
      </w:pPr>
      <w:r>
        <w:t xml:space="preserve">附加 metadata CSV 用</w:t>
      </w:r>
      <w:r>
        <w:t xml:space="preserve"> </w:t>
      </w:r>
      <w:r>
        <w:rPr>
          <w:rStyle w:val="VerbatimChar"/>
        </w:rPr>
        <w:t xml:space="preserve">SampleID</w:t>
      </w:r>
      <w:r>
        <w:t xml:space="preserve"> </w:t>
      </w:r>
      <w:r>
        <w:t xml:space="preserve">字面匹配，不能省略本批样本。可含 Age、Sex、Batch、IL6 等列；Group 从原分组补入，若另提供必须一致，额外样本会记录为 ignored。先区分连续量与分类量，数字编码的处理组不是连续表型。缺失值按模型完整案例处理，查看实际样本数；秩亏、共线性和残差自由度不足会阻止推断。</w:t>
      </w:r>
    </w:p>
    <w:p>
      <w:pPr>
        <w:pStyle w:val="BodyText"/>
      </w:pPr>
      <w:r>
        <w:rPr>
          <w:b/>
          <w:bCs/>
        </w:rPr>
        <w:t xml:space="preserve">核心菌群与检出率</w:t>
      </w:r>
      <w:r>
        <w:t xml:space="preserve">：默认某样本中计数至少 1 且相对丰度至少 0.01% 才算检出，核心出现率默认 80%，均可调且属启发式。输出全体及分组检出率；检出率是符合条件的样本比例，相对丰度是样本内比例，两者不同。读深、假零、污染与分类层级都会改变结果，须保存阈值、分母及逐样本判定。核心不意味着有益或因果关键。</w:t>
      </w:r>
    </w:p>
    <w:p>
      <w:pPr>
        <w:pStyle w:val="BodyText"/>
      </w:pPr>
      <w:r>
        <w:rPr>
          <w:b/>
          <w:bCs/>
        </w:rPr>
        <w:t xml:space="preserve">CLR-PCA</w:t>
      </w:r>
      <w:r>
        <w:t xml:space="preserve">：特征筛选默认出现率 10%，CLR 伪计数默认 0.5；在筛选后计数子组成上加伪计数、相对几何均值取对数，再做中心化、不标准化的 PCA[13,19]。相对丰度的分母仍来自原全表，不因展示/筛选重定义。伪计数与保留特征会影响稀有菌，应做敏感性检查。PCA 是描述性探索，载荷方向不等于绝对量变化。</w:t>
      </w:r>
    </w:p>
    <w:p>
      <w:pPr>
        <w:pStyle w:val="BodyText"/>
      </w:pPr>
      <w:r>
        <w:rPr>
          <w:b/>
          <w:bCs/>
        </w:rPr>
        <w:t xml:space="preserve">PERMANOVA 与离散度</w:t>
      </w:r>
      <w:r>
        <w:t xml:space="preserve">：高级模块对筛选后的相对丰度计算 Bray–Curtis 距离，以 Group 加协变量的边际检验做 PERMANOVA，所检验的模型项构成一族 BH。另做未调整协变量的总体中位中心、偏差调整 PERMDISP，要求各组至少 3 个样本。说明公式、置换与实际样本；位置与离散须分别判断。它与基础抽平距离输入不同，数值无需一致，不能择显著者报告。</w:t>
      </w:r>
    </w:p>
    <w:p>
      <w:pPr>
        <w:pStyle w:val="BodyText"/>
      </w:pPr>
      <w:r>
        <w:rPr>
          <w:b/>
          <w:bCs/>
        </w:rPr>
        <w:t xml:space="preserve">约束排序</w:t>
      </w:r>
      <w:r>
        <w:t xml:space="preserve">：可选 Hellinger-RDA 或 Bray–Curtis dbRDA，解释变量默认 Group，可选控制列，控制项通过条件化处理。Hellinger 对原全表归一后筛选的相对丰度开平方再作线性约束排序，dbRDA 基于距离约束[20]。总体检验与边际项检验分别形成校正范围。报告变量、控制项、完整案例、解释率与置换检验；同批数据的受约束分离不能用作独立分类器验证，箭头也不证明因果。</w:t>
      </w:r>
    </w:p>
    <w:p>
      <w:pPr>
        <w:pStyle w:val="BodyText"/>
      </w:pPr>
      <w:r>
        <w:rPr>
          <w:b/>
          <w:bCs/>
        </w:rPr>
        <w:t xml:space="preserve">表型关联</w:t>
      </w:r>
      <w:r>
        <w:t xml:space="preserve">：关联输入默认采用 CLR：在与 PCA 相同的筛选后计数子组成上加伪计数（默认 0.5），每个菌的变量是相对该子组成几何均值的对数比；也可选择相对丰度作探索性关联。随后与数值表型做普通 Spearman，或默认采用控制 Group 的 ppcor 偏 Spearman[22]；普通 Spearman 不调整协变量。每个表型按完整案例分析，BH/FDR 范围仍为所选全部 taxa×traits 的一族，应查看方向、有效样本数和校正结果。CLR 不等于绝对菌量，控制 Group 也不能消除全部混杂；相关不是因果。报告筛选、零替换/伪计数设置及敏感性分析，不因换变换后显著性改变而择优报告。</w:t>
      </w:r>
    </w:p>
    <w:p>
      <w:pPr>
        <w:pStyle w:val="BodyText"/>
      </w:pPr>
      <w:r>
        <w:t xml:space="preserve">若附加表中</w:t>
      </w:r>
      <w:r>
        <w:t xml:space="preserve"> </w:t>
      </w:r>
      <w:r>
        <w:rPr>
          <w:rStyle w:val="VerbatimChar"/>
        </w:rPr>
        <w:t xml:space="preserve">AnimalID</w:t>
      </w:r>
      <w:r>
        <w:t xml:space="preserve">/</w:t>
      </w:r>
      <w:r>
        <w:rPr>
          <w:rStyle w:val="VerbatimChar"/>
        </w:rPr>
        <w:t xml:space="preserve">SubjectID</w:t>
      </w:r>
      <w:r>
        <w:t xml:space="preserve"> </w:t>
      </w:r>
      <w:r>
        <w:t xml:space="preserve">重复，模块跳过推断，只保留核心菌群与 PCA；它不支持重复测量模型。没有这些列也不证明样本独立。结果的</w:t>
      </w:r>
      <w:r>
        <w:t xml:space="preserve"> </w:t>
      </w:r>
      <w:r>
        <w:rPr>
          <w:rStyle w:val="VerbatimChar"/>
        </w:rPr>
        <w:t xml:space="preserve">02_statistics</w:t>
      </w:r>
      <w:r>
        <w:t xml:space="preserve"> </w:t>
      </w:r>
      <w:r>
        <w:t xml:space="preserve">保存 RDS 缓存、diagnostics 与表格，</w:t>
      </w:r>
      <w:r>
        <w:rPr>
          <w:rStyle w:val="VerbatimChar"/>
        </w:rPr>
        <w:t xml:space="preserve">03_figures</w:t>
      </w:r>
      <w:r>
        <w:t xml:space="preserve"> </w:t>
      </w:r>
      <w:r>
        <w:t xml:space="preserve">保存 PNG/SVG/PDF；图旁控件只读取缓存重绘，不重新拟合。复杂笼位、配对或纵向设计应使用相应外部模型。</w:t>
      </w:r>
    </w:p>
    <w:bookmarkEnd w:id="35"/>
    <w:bookmarkStart w:id="36" w:name="guide-15"/>
    <w:p>
      <w:pPr>
        <w:pStyle w:val="Heading2"/>
      </w:pPr>
      <w:r>
        <w:t xml:space="preserve">15. 图片预览、单图修改与下载</w:t>
      </w:r>
    </w:p>
    <w:p>
      <w:pPr>
        <w:pStyle w:val="FirstParagraph"/>
      </w:pPr>
      <w:r>
        <w:t xml:space="preserve">首次出图可直接采用默认样式。分析结束后在“图片与样式预览”读取当前或历史结果，选中某张图，在右侧修改该图的尺寸、标题、字体及适用选项，点击“应用并预览此图”。它只生成当前图的新预览版本；</w:t>
      </w:r>
      <w:r>
        <w:t xml:space="preserve">“</w:t>
      </w:r>
      <w:r>
        <w:t xml:space="preserve">查看修改前</w:t>
      </w:r>
      <w:r>
        <w:t xml:space="preserve">”</w:t>
      </w:r>
      <w:r>
        <w:t xml:space="preserve">可对照，下载与当前显示版本一致。</w:t>
      </w:r>
    </w:p>
    <w:p>
      <w:pPr>
        <w:pStyle w:val="BodyText"/>
      </w:pPr>
      <w:r>
        <w:t xml:space="preserve">尺寸通常以英寸计，PNG 的像素还受 DPI 影响；SVG/PDF 适合矢量编辑。合并 PCoA 的宽高表示整个画布。字号过大、文字很多或层级过多可能需要加大画布。Times New Roman 必须在实际绘图环境可用，缺失时明确选择已安装字体，例如 DejaVu Serif，而不是依赖 Windows 软件自动补字。</w:t>
      </w:r>
    </w:p>
    <w:p>
      <w:pPr>
        <w:pStyle w:val="BodyText"/>
      </w:pPr>
      <w:r>
        <w:t xml:space="preserve">组别配色/顺序影响显示，不改变样本分组、参考组或模型方向。分类堆积图填色代表分类单元，组标记代表实验组。热图、气泡图、效应图和 LEfSe 各有不同数值含义，修改标题时仍须保留清楚的单位与尺度。</w:t>
      </w:r>
    </w:p>
    <w:p>
      <w:pPr>
        <w:pStyle w:val="BodyText"/>
      </w:pPr>
      <w:r>
        <w:t xml:space="preserve">“</w:t>
      </w:r>
      <w:r>
        <w:t xml:space="preserve">仅重绘</w:t>
      </w:r>
      <w:r>
        <w:t xml:space="preserve">”</w:t>
      </w:r>
      <w:r>
        <w:t xml:space="preserve">和单图预览复用保存的抽平表、指标、PCoA 坐标、差异判定或 LDA 缓存，不重新降噪、抽平、拟合或置换。原结果及预览独立保留，</w:t>
      </w:r>
      <w:r>
        <w:rPr>
          <w:rStyle w:val="VerbatimChar"/>
        </w:rPr>
        <w:t xml:space="preserve">figure_request.json</w:t>
      </w:r>
      <w:r>
        <w:t xml:space="preserve"> </w:t>
      </w:r>
      <w:r>
        <w:t xml:space="preserve">与参数记录说明来源。改变统计方法、参考组、样本或正式深度属于新的分析，不能靠改图完成。QIIME 原生 QZV 可在 QIIME 2 View 打开，该查看器需联网加载，工作站没有内置完整 QZV 查看器。</w:t>
      </w:r>
    </w:p>
    <w:bookmarkEnd w:id="36"/>
    <w:bookmarkStart w:id="37" w:name="guide-16"/>
    <w:p>
      <w:pPr>
        <w:pStyle w:val="Heading2"/>
      </w:pPr>
      <w:r>
        <w:t xml:space="preserve">16. 结果文件、历史批次与可复现记录</w:t>
      </w:r>
    </w:p>
    <w:p>
      <w:pPr>
        <w:pStyle w:val="FirstParagraph"/>
      </w:pPr>
      <w:r>
        <w:t xml:space="preserve">每次任务创建独立 run，不覆盖原始 FASTQ 或旧分析。新建批次清除旧批次关联，保留常用软件和作图偏好；历史入口明确恢复相同来源下的完整结果。修改样本、分组或引物后，不能继续把旧质量结果当作新输入。失败的部分结果保留供诊断，但工作站不是任意步骤自动断点续跑工具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位置或文件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00_inputs</w:t>
            </w:r>
            <w:r>
              <w:t xml:space="preserve">、manifest、metadata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实际文件映射、分组与输入来源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01_import</w:t>
            </w:r>
            <w:r>
              <w:t xml:space="preserve">、</w:t>
            </w:r>
            <w:r>
              <w:rPr>
                <w:rStyle w:val="VerbatimChar"/>
              </w:rPr>
              <w:t xml:space="preserve">02_primers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导入、质量图、清洗后 FASTQ 与残留检查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03_dada2</w:t>
            </w:r>
            <w:r>
              <w:t xml:space="preserve">、</w:t>
            </w:r>
            <w:r>
              <w:rPr>
                <w:rStyle w:val="VerbatimChar"/>
              </w:rPr>
              <w:t xml:space="preserve">04_taxonomy_filter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 ASV 表、代表序列、降噪统计、分类和过滤表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05_phylogeny</w:t>
            </w:r>
            <w:r>
              <w:t xml:space="preserve">、</w:t>
            </w:r>
            <w:r>
              <w:rPr>
                <w:rStyle w:val="VerbatimChar"/>
              </w:rPr>
              <w:t xml:space="preserve">06_rarefaction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比对、树、七项曲线与原曲线数据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07_diversity/diversity_*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本次保留名单、正式抽平表、指标、距离、统计及 R 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10_abundance</w:t>
            </w:r>
            <w:r>
              <w:t xml:space="preserve">、</w:t>
            </w:r>
            <w:r>
              <w:rPr>
                <w:rStyle w:val="VerbatimChar"/>
              </w:rPr>
              <w:t xml:space="preserve">11_extensions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完整丰度导出与各次扩展分析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09_execution_code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实际运行代码、参数及命令说明文档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说明.md</w:t>
            </w:r>
            <w:r>
              <w:t xml:space="preserve">、</w:t>
            </w:r>
            <w:r>
              <w:rPr>
                <w:rStyle w:val="VerbatimChar"/>
              </w:rPr>
              <w:t xml:space="preserve">report.json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阶段输入、参数、计数、文件与完成/失败/跳过状态</w:t>
            </w:r>
          </w:p>
        </w:tc>
      </w:tr>
    </w:tbl>
    <w:p>
      <w:pPr>
        <w:pStyle w:val="BodyText"/>
      </w:pPr>
      <w:r>
        <w:t xml:space="preserve">复核至少保留：原始数据及校验值、CSV、真实引物、分类器及数据库版本、完整 run、</w:t>
      </w:r>
      <w:r>
        <w:rPr>
          <w:rStyle w:val="VerbatimChar"/>
        </w:rPr>
        <w:t xml:space="preserve">parameters.json</w:t>
      </w:r>
      <w:r>
        <w:t xml:space="preserve">、</w:t>
      </w:r>
      <w:r>
        <w:rPr>
          <w:rStyle w:val="VerbatimChar"/>
        </w:rPr>
        <w:t xml:space="preserve">commands.jsonl</w:t>
      </w:r>
      <w:r>
        <w:t xml:space="preserve">、</w:t>
      </w:r>
      <w:r>
        <w:rPr>
          <w:rStyle w:val="VerbatimChar"/>
        </w:rPr>
        <w:t xml:space="preserve">workflow.log</w:t>
      </w:r>
      <w:r>
        <w:t xml:space="preserve">、软件版本、推荐依据与手动修改理由。QZA/QZV provenance 记录工具来源，但不替代实验设计和实验室记录。</w:t>
      </w:r>
    </w:p>
    <w:p>
      <w:pPr>
        <w:pStyle w:val="BodyText"/>
      </w:pPr>
      <w:r>
        <w:t xml:space="preserve">随机抽平和置换重跑可能不同；不能仅凭源码相同声称逐数值完全复现。论文应报告具体软件版本、实际参数、过滤项、正式深度及丢样、检验与校正范围，而不只写“用工作站默认参数”。保存图片输入表比只保存 PNG 更有助于复核。</w:t>
      </w:r>
    </w:p>
    <w:bookmarkEnd w:id="37"/>
    <w:bookmarkStart w:id="38" w:name="guide-17"/>
    <w:p>
      <w:pPr>
        <w:pStyle w:val="Heading2"/>
      </w:pPr>
      <w:r>
        <w:t xml:space="preserve">17. 常见问题与故障排查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优先检查与处理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双击后网页打不开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用检查环境入口看 WSL/Conda；检查服务窗口及端口；方案 A 看</w:t>
            </w:r>
            <w:r>
              <w:t xml:space="preserve"> </w:t>
            </w:r>
            <w:r>
              <w:rPr>
                <w:rStyle w:val="VerbatimChar"/>
              </w:rPr>
              <w:t xml:space="preserve">日志/server.log</w:t>
            </w:r>
            <w:r>
              <w:t xml:space="preserve">、</w:t>
            </w:r>
            <w:r>
              <w:rPr>
                <w:rStyle w:val="VerbatimChar"/>
              </w:rPr>
              <w:t xml:space="preserve">wsl-launcher.log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更新后还是旧错误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核对网页服务版本、程序目录、启动时间；停止旧后台，重新启动正确入口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找不到 FASTQ 或配对错误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核对四列路径基准、文件扩展名、R1/R2 列；勿用改名掩盖真实多 lane 或重复文件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引物未检出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核对真实序列、方向、处理说明；补充自定义候选，不自动判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filtered 很少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查处理后质量、长度、额外 trim 和逐样本统计，不先放宽全部阈值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merged 很少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查配对、方向、预计重叠、引物/附加结构，确认输入未提前拼接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某组抽平后没样本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看过滤后计数与保留名单，检查低深度原因，重新选择有依据的方案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分类失败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核对分类器类型、训练区域、方向及 QIIME/sklearn 兼容性；保存完整错误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绘图失败但 QIIME 已完成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使用专用 R 环境，查依赖和字体；保留已完成结果，修复后仅重绘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ANCOM-BC2 失败或 NA 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查该层级 diagnostics、低检出、样本数、结构零和模型警告；NA 不填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LEfSe 没显著菌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查分组、样本量、筛选策略和缓存得分；无命中是合法结果，不改阈值追求命中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PICRUSt2 排除多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查比对、区域、NSTI 和参考覆盖；高保留不等于高准确，不自动放宽阈值</w:t>
            </w:r>
          </w:p>
        </w:tc>
      </w:tr>
    </w:tbl>
    <w:p>
      <w:pPr>
        <w:pStyle w:val="BodyText"/>
      </w:pPr>
      <w:r>
        <w:rPr>
          <w:b/>
          <w:bCs/>
        </w:rPr>
        <w:t xml:space="preserve">为什么同样数据换深度 P 值不同？</w:t>
      </w:r>
      <w:r>
        <w:t xml:space="preserve"> </w:t>
      </w:r>
      <w:r>
        <w:t xml:space="preserve">抽样改变输入，同时可能改变留样；置换也有随机性。预先定义主分析，保存其他选择作为敏感性分析。</w:t>
      </w:r>
    </w:p>
    <w:p>
      <w:pPr>
        <w:pStyle w:val="BodyText"/>
      </w:pPr>
      <w:r>
        <w:rPr>
          <w:b/>
          <w:bCs/>
        </w:rPr>
        <w:t xml:space="preserve">为什么 α 不显著但 β 显著？</w:t>
      </w:r>
      <w:r>
        <w:t xml:space="preserve"> </w:t>
      </w:r>
      <w:r>
        <w:t xml:space="preserve">两组可有相近丰富度和均匀度，却由不同成员组成；它们回答不同问题。</w:t>
      </w:r>
    </w:p>
    <w:p>
      <w:pPr>
        <w:pStyle w:val="BodyText"/>
      </w:pPr>
      <w:r>
        <w:rPr>
          <w:b/>
          <w:bCs/>
        </w:rPr>
        <w:t xml:space="preserve">为什么 Shannon 更高不等于更健康？</w:t>
      </w:r>
      <w:r>
        <w:t xml:space="preserve"> </w:t>
      </w:r>
      <w:r>
        <w:t xml:space="preserve">健康含义依赖宿主、部位、疾病与功能；某些正常生态位本就由少数成员占优势。</w:t>
      </w:r>
    </w:p>
    <w:p>
      <w:pPr>
        <w:pStyle w:val="BodyText"/>
      </w:pPr>
      <w:r>
        <w:rPr>
          <w:b/>
          <w:bCs/>
        </w:rPr>
        <w:t xml:space="preserve">可以删掉离群点让图更整齐吗？</w:t>
      </w:r>
      <w:r>
        <w:t xml:space="preserve"> </w:t>
      </w:r>
      <w:r>
        <w:t xml:space="preserve">先核对实验记录、污染和质量。排除须有独立理由并保留记录，不能仅因改变显著性而删样。</w:t>
      </w:r>
    </w:p>
    <w:p>
      <w:pPr>
        <w:pStyle w:val="BodyText"/>
      </w:pPr>
      <w:r>
        <w:rPr>
          <w:b/>
          <w:bCs/>
        </w:rPr>
        <w:t xml:space="preserve">为什么换分类器后菌名变了？</w:t>
      </w:r>
      <w:r>
        <w:t xml:space="preserve"> </w:t>
      </w:r>
      <w:r>
        <w:t xml:space="preserve">参考库、分类体系、训练区域和版本会改变标签；可用同一代表序列追踪，但不能把不同名称体系直接混合。</w:t>
      </w:r>
    </w:p>
    <w:p>
      <w:pPr>
        <w:pStyle w:val="BodyText"/>
      </w:pPr>
      <w:r>
        <w:rPr>
          <w:b/>
          <w:bCs/>
        </w:rPr>
        <w:t xml:space="preserve">需要重新安装所有环境吗？</w:t>
      </w:r>
      <w:r>
        <w:t xml:space="preserve"> </w:t>
      </w:r>
      <w:r>
        <w:t xml:space="preserve">先运行环境检查；仅补缺失依赖。绘图 R 与 QIIME 隔离，避免为修图破坏可用的 QIIME 环境。</w:t>
      </w:r>
    </w:p>
    <w:p>
      <w:pPr>
        <w:pStyle w:val="BodyText"/>
      </w:pPr>
      <w:r>
        <w:t xml:space="preserve">排错时先找到最早失败的具体命令和错误，保留日志、当前版本与任务目录，再处理相应步骤。不要删除原始数据、关闭 TLS 校验或伪造成功标记来绕过问题。</w:t>
      </w:r>
    </w:p>
    <w:bookmarkEnd w:id="38"/>
    <w:bookmarkStart w:id="39" w:name="guide-18"/>
    <w:p>
      <w:pPr>
        <w:pStyle w:val="Heading2"/>
      </w:pPr>
      <w:r>
        <w:t xml:space="preserve">18. 常用术语速查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ASV / OTU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推断的精确扩增子变体 / 按规则聚类的序列单元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/ read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单端读取序列 / 同一片段两端的一对读取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Demultiplex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用索引信息把混合文库拆分到样本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 /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输入文件映射 / 样本的分组和其他属性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Denoise / chimera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依据错误模型降噪 / 由多个模板形成的嵌合序列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 / phylogeny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分类标签体系 / 序列推断的进化关系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Richness / evenness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检出成员有多少 / 各成员丰度是否均匀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在指定样本集合中满足检出条件的样本比例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Rarefaction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在指定计数深度进行无放回随机子抽样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PCoA / 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对距离矩阵 / 对数值矩阵进行低维排序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size /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差异或关联幅度 / 估计值的标准误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 / q / 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原始检验信息 / 校正结果 / 错误发现率控制目标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zero / sampling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模型判定的结构性缺失 / 有限抽样未检出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CLR / Hellinger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相对几何均值的对数比 / 相对丰度平方根变换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NSTI / 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参考基因组的系统发育距离指标 / 功能同源组编号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数据由哪些输入、工具、参数产生的来源记录</w:t>
            </w:r>
          </w:p>
        </w:tc>
      </w:tr>
    </w:tbl>
    <w:bookmarkEnd w:id="39"/>
    <w:bookmarkStart w:id="80" w:name="guide-19"/>
    <w:p>
      <w:pPr>
        <w:pStyle w:val="Heading2"/>
      </w:pPr>
      <w:r>
        <w:t xml:space="preserve">19. 方法与官方资料</w:t>
      </w:r>
    </w:p>
    <w:p>
      <w:pPr>
        <w:pStyle w:val="FirstParagraph"/>
      </w:pPr>
      <w:r>
        <w:t xml:space="preserve">以下来源用于核对方法定义与软件行为。论文不意味着本工作站每个可编辑阈值都获得了论文背书；版本相关参数应同时查看本次运行日志与相应官方源码。网页访问和工具版本可能变化。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[1]</w:t>
      </w:r>
      <w:r>
        <w:t xml:space="preserve"> </w:t>
      </w:r>
      <w:r>
        <w:t xml:space="preserve">Bolyen E, et al. </w:t>
      </w:r>
      <w:r>
        <w:rPr>
          <w:i/>
          <w:iCs/>
        </w:rPr>
        <w:t xml:space="preserve">Reproducible, interactive, scalable and extensible microbiome data science using QIIME 2</w:t>
      </w:r>
      <w:r>
        <w:t xml:space="preserve">. Nature Biotechnology, 2019. DOI：</w:t>
      </w:r>
      <w:hyperlink r:id="rId40">
        <w:r>
          <w:rPr>
            <w:rStyle w:val="Hyperlink"/>
          </w:rPr>
          <w:t xml:space="preserve">10.1038/s41587-019-0209-9</w:t>
        </w:r>
      </w:hyperlink>
      <w:r>
        <w:t xml:space="preserve">。</w:t>
      </w:r>
      <w:hyperlink r:id="rId41">
        <w:r>
          <w:rPr>
            <w:rStyle w:val="Hyperlink"/>
          </w:rPr>
          <w:t xml:space="preserve">QIIME 2 官方文档</w:t>
        </w:r>
      </w:hyperlink>
      <w:r>
        <w:t xml:space="preserve">、</w:t>
      </w:r>
      <w:hyperlink r:id="rId42">
        <w:r>
          <w:rPr>
            <w:rStyle w:val="Hyperlink"/>
          </w:rPr>
          <w:t xml:space="preserve">QIIME 2 View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[2]</w:t>
      </w:r>
      <w:r>
        <w:t xml:space="preserve"> </w:t>
      </w:r>
      <w:r>
        <w:t xml:space="preserve">Callahan BJ, et al. </w:t>
      </w:r>
      <w:r>
        <w:rPr>
          <w:i/>
          <w:iCs/>
        </w:rPr>
        <w:t xml:space="preserve">DADA2: High-resolution sample inference from Illumina amplicon data</w:t>
      </w:r>
      <w:r>
        <w:t xml:space="preserve">. Nature Methods, 2016. DOI：</w:t>
      </w:r>
      <w:hyperlink r:id="rId43">
        <w:r>
          <w:rPr>
            <w:rStyle w:val="Hyperlink"/>
          </w:rPr>
          <w:t xml:space="preserve">10.1038/nmeth.3869</w:t>
        </w:r>
      </w:hyperlink>
      <w:r>
        <w:t xml:space="preserve">。</w:t>
      </w:r>
      <w:hyperlink r:id="rId44">
        <w:r>
          <w:rPr>
            <w:rStyle w:val="Hyperlink"/>
          </w:rPr>
          <w:t xml:space="preserve">作者官方教程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[3]</w:t>
      </w:r>
      <w:r>
        <w:t xml:space="preserve"> </w:t>
      </w:r>
      <w:r>
        <w:t xml:space="preserve">Callahan BJ, McMurdie PJ, Holmes SP.</w:t>
      </w:r>
      <w:r>
        <w:t xml:space="preserve"> </w:t>
      </w:r>
      <w:r>
        <w:rPr>
          <w:i/>
          <w:iCs/>
        </w:rPr>
        <w:t xml:space="preserve">Exact sequence variants should replace operational taxonomic units in marker-gene data analysis</w:t>
      </w:r>
      <w:r>
        <w:t xml:space="preserve">. The ISME Journal, 2017. DOI：</w:t>
      </w:r>
      <w:hyperlink r:id="rId45">
        <w:r>
          <w:rPr>
            <w:rStyle w:val="Hyperlink"/>
          </w:rPr>
          <w:t xml:space="preserve">10.1038/ismej.2017.119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[4]</w:t>
      </w:r>
      <w:r>
        <w:t xml:space="preserve"> </w:t>
      </w:r>
      <w:r>
        <w:t xml:space="preserve">QIIME 2 q2-dada2，2025.7.0 官方源码：</w:t>
      </w:r>
      <w:hyperlink r:id="rId46">
        <w:r>
          <w:rPr>
            <w:rStyle w:val="Hyperlink"/>
          </w:rPr>
          <w:t xml:space="preserve">实际降噪实现</w:t>
        </w:r>
      </w:hyperlink>
      <w:r>
        <w:t xml:space="preserve">、</w:t>
      </w:r>
      <w:hyperlink r:id="rId47">
        <w:r>
          <w:rPr>
            <w:rStyle w:val="Hyperlink"/>
          </w:rPr>
          <w:t xml:space="preserve">注册参数说明</w:t>
        </w:r>
      </w:hyperlink>
      <w:r>
        <w:t xml:space="preserve">。质量汇总见</w:t>
      </w:r>
      <w:r>
        <w:t xml:space="preserve"> </w:t>
      </w:r>
      <w:hyperlink r:id="rId48">
        <w:r>
          <w:rPr>
            <w:rStyle w:val="Hyperlink"/>
          </w:rPr>
          <w:t xml:space="preserve">q2-demux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[5]</w:t>
      </w:r>
      <w:r>
        <w:t xml:space="preserve"> </w:t>
      </w:r>
      <w:r>
        <w:t xml:space="preserve">Martin M.</w:t>
      </w:r>
      <w:r>
        <w:t xml:space="preserve"> </w:t>
      </w:r>
      <w:r>
        <w:rPr>
          <w:i/>
          <w:iCs/>
        </w:rPr>
        <w:t xml:space="preserve">Cutadapt removes adapter sequences from high-throughput sequencing reads</w:t>
      </w:r>
      <w:r>
        <w:t xml:space="preserve">. EMBnet.journal, 2011. DOI：</w:t>
      </w:r>
      <w:hyperlink r:id="rId49">
        <w:r>
          <w:rPr>
            <w:rStyle w:val="Hyperlink"/>
          </w:rPr>
          <w:t xml:space="preserve">10.14806/ej.17.1.200</w:t>
        </w:r>
      </w:hyperlink>
      <w:r>
        <w:t xml:space="preserve">。</w:t>
      </w:r>
      <w:hyperlink r:id="rId50">
        <w:r>
          <w:rPr>
            <w:rStyle w:val="Hyperlink"/>
          </w:rPr>
          <w:t xml:space="preserve">Cutadapt 用户指南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[6]</w:t>
      </w:r>
      <w:r>
        <w:t xml:space="preserve"> </w:t>
      </w:r>
      <w:r>
        <w:t xml:space="preserve">QIIME 2 q2-phylogeny：</w:t>
      </w:r>
      <w:hyperlink r:id="rId51">
        <w:r>
          <w:rPr>
            <w:rStyle w:val="Hyperlink"/>
          </w:rPr>
          <w:t xml:space="preserve">MAFFT/FastTree 管线官方仓库</w:t>
        </w:r>
      </w:hyperlink>
      <w:r>
        <w:t xml:space="preserve">，按实际安装版本核对</w:t>
      </w:r>
      <w:r>
        <w:t xml:space="preserve"> </w:t>
      </w:r>
      <w:r>
        <w:rPr>
          <w:rStyle w:val="VerbatimChar"/>
        </w:rPr>
        <w:t xml:space="preserve">align-to-tree-mafft-fasttree</w:t>
      </w:r>
      <w:r>
        <w:t xml:space="preserve"> </w:t>
      </w:r>
      <w:r>
        <w:t xml:space="preserve">动作。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[7]</w:t>
      </w:r>
      <w:r>
        <w:t xml:space="preserve"> </w:t>
      </w:r>
      <w:r>
        <w:t xml:space="preserve">scikit-bio：</w:t>
      </w:r>
      <w:hyperlink r:id="rId52">
        <w:r>
          <w:rPr>
            <w:rStyle w:val="Hyperlink"/>
          </w:rPr>
          <w:t xml:space="preserve">α 多样性指标官方定义</w:t>
        </w:r>
      </w:hyperlink>
      <w:r>
        <w:t xml:space="preserve">。QIIME 2：</w:t>
      </w:r>
      <w:hyperlink r:id="rId53">
        <w:r>
          <w:rPr>
            <w:rStyle w:val="Hyperlink"/>
          </w:rPr>
          <w:t xml:space="preserve">抽平曲线实现</w:t>
        </w:r>
      </w:hyperlink>
      <w:r>
        <w:t xml:space="preserve">、</w:t>
      </w:r>
      <w:hyperlink r:id="rId54">
        <w:r>
          <w:rPr>
            <w:rStyle w:val="Hyperlink"/>
          </w:rPr>
          <w:t xml:space="preserve">指标注册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[8]</w:t>
      </w:r>
      <w:r>
        <w:t xml:space="preserve"> </w:t>
      </w:r>
      <w:r>
        <w:t xml:space="preserve">Willis AD.</w:t>
      </w:r>
      <w:r>
        <w:t xml:space="preserve"> </w:t>
      </w:r>
      <w:r>
        <w:rPr>
          <w:i/>
          <w:iCs/>
        </w:rPr>
        <w:t xml:space="preserve">Rarefaction, Alpha Diversity, and Statistics</w:t>
      </w:r>
      <w:r>
        <w:t xml:space="preserve">. Frontiers in Microbiology, 2019. DOI：</w:t>
      </w:r>
      <w:hyperlink r:id="rId55">
        <w:r>
          <w:rPr>
            <w:rStyle w:val="Hyperlink"/>
          </w:rPr>
          <w:t xml:space="preserve">10.3389/fmicb.2019.02407</w:t>
        </w:r>
      </w:hyperlink>
      <w:r>
        <w:t xml:space="preserve">。讨论抽样、丰富度估计与统计不确定性。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[9]</w:t>
      </w:r>
      <w:r>
        <w:t xml:space="preserve"> </w:t>
      </w:r>
      <w:r>
        <w:t xml:space="preserve">Lozupone C, Knight R.</w:t>
      </w:r>
      <w:r>
        <w:t xml:space="preserve"> </w:t>
      </w:r>
      <w:r>
        <w:rPr>
          <w:i/>
          <w:iCs/>
        </w:rPr>
        <w:t xml:space="preserve">UniFrac: a new phylogenetic method for comparing microbial communities</w:t>
      </w:r>
      <w:r>
        <w:t xml:space="preserve">. Applied and Environmental Microbiology, 2005. DOI：</w:t>
      </w:r>
      <w:hyperlink r:id="rId56">
        <w:r>
          <w:rPr>
            <w:rStyle w:val="Hyperlink"/>
          </w:rPr>
          <w:t xml:space="preserve">10.1128/AEM.71.12.8228-8235.2005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[10]</w:t>
      </w:r>
      <w:r>
        <w:t xml:space="preserve"> </w:t>
      </w:r>
      <w:r>
        <w:t xml:space="preserve">vegan 官方文档：</w:t>
      </w:r>
      <w:hyperlink r:id="rId57">
        <w:r>
          <w:rPr>
            <w:rStyle w:val="Hyperlink"/>
          </w:rPr>
          <w:t xml:space="preserve">adonis2／PERMANOVA</w:t>
        </w:r>
      </w:hyperlink>
      <w:r>
        <w:t xml:space="preserve">。包含模型、置换和离散度混杂说明。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[11]</w:t>
      </w:r>
      <w:r>
        <w:t xml:space="preserve"> </w:t>
      </w:r>
      <w:r>
        <w:t xml:space="preserve">Anderson MJ.</w:t>
      </w:r>
      <w:r>
        <w:t xml:space="preserve"> </w:t>
      </w:r>
      <w:r>
        <w:rPr>
          <w:i/>
          <w:iCs/>
        </w:rPr>
        <w:t xml:space="preserve">Distance-based tests for homogeneity of multivariate dispersions</w:t>
      </w:r>
      <w:r>
        <w:t xml:space="preserve">. Biometrics, 2006. DOI：</w:t>
      </w:r>
      <w:hyperlink r:id="rId58">
        <w:r>
          <w:rPr>
            <w:rStyle w:val="Hyperlink"/>
          </w:rPr>
          <w:t xml:space="preserve">10.1111/j.1541-0420.2005.00440.x</w:t>
        </w:r>
      </w:hyperlink>
      <w:r>
        <w:t xml:space="preserve">。</w:t>
      </w:r>
      <w:hyperlink r:id="rId59">
        <w:r>
          <w:rPr>
            <w:rStyle w:val="Hyperlink"/>
          </w:rPr>
          <w:t xml:space="preserve">vegan betadisper 文档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[12]</w:t>
      </w:r>
      <w:r>
        <w:t xml:space="preserve"> </w:t>
      </w:r>
      <w:r>
        <w:t xml:space="preserve">Benjamini Y, Hochberg Y.</w:t>
      </w:r>
      <w:r>
        <w:t xml:space="preserve"> </w:t>
      </w:r>
      <w:r>
        <w:rPr>
          <w:i/>
          <w:iCs/>
        </w:rPr>
        <w:t xml:space="preserve">Controlling the False Discovery Rate: A Practical and Powerful Approach to Multiple Testing</w:t>
      </w:r>
      <w:r>
        <w:t xml:space="preserve">. Journal of the Royal Statistical Society: Series B, 1995. DOI：</w:t>
      </w:r>
      <w:hyperlink r:id="rId60">
        <w:r>
          <w:rPr>
            <w:rStyle w:val="Hyperlink"/>
          </w:rPr>
          <w:t xml:space="preserve">10.1111/j.2517-6161.1995.tb02031.x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[13]</w:t>
      </w:r>
      <w:r>
        <w:t xml:space="preserve"> </w:t>
      </w:r>
      <w:r>
        <w:t xml:space="preserve">Gloor GB, et al. </w:t>
      </w:r>
      <w:r>
        <w:rPr>
          <w:i/>
          <w:iCs/>
        </w:rPr>
        <w:t xml:space="preserve">Microbiome Datasets Are Compositional: And This Is Not Optional</w:t>
      </w:r>
      <w:r>
        <w:t xml:space="preserve">. Frontiers in Microbiology, 2017. DOI：</w:t>
      </w:r>
      <w:hyperlink r:id="rId61">
        <w:r>
          <w:rPr>
            <w:rStyle w:val="Hyperlink"/>
          </w:rPr>
          <w:t xml:space="preserve">10.3389/fmicb.2017.02224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[14]</w:t>
      </w:r>
      <w:r>
        <w:t xml:space="preserve"> </w:t>
      </w:r>
      <w:r>
        <w:t xml:space="preserve">Lin H, Peddada SD.</w:t>
      </w:r>
      <w:r>
        <w:t xml:space="preserve"> </w:t>
      </w:r>
      <w:r>
        <w:rPr>
          <w:i/>
          <w:iCs/>
        </w:rPr>
        <w:t xml:space="preserve">Multigroup analysis of compositions of microbiomes with covariate adjustments and repeated measures</w:t>
      </w:r>
      <w:r>
        <w:t xml:space="preserve">. Nature Methods, 2024. DOI：</w:t>
      </w:r>
      <w:hyperlink r:id="rId62">
        <w:r>
          <w:rPr>
            <w:rStyle w:val="Hyperlink"/>
          </w:rPr>
          <w:t xml:space="preserve">10.1038/s41592-023-02092-7</w:t>
        </w:r>
      </w:hyperlink>
      <w:r>
        <w:t xml:space="preserve">。</w:t>
      </w:r>
      <w:hyperlink r:id="rId63">
        <w:r>
          <w:rPr>
            <w:rStyle w:val="Hyperlink"/>
          </w:rPr>
          <w:t xml:space="preserve">ANCOM-BC2 官方教程</w:t>
        </w:r>
      </w:hyperlink>
      <w:r>
        <w:t xml:space="preserve">。论文支持复杂模型，不表示工作站当前 Group-only 入口已支持全部能力。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[15]</w:t>
      </w:r>
      <w:r>
        <w:t xml:space="preserve"> </w:t>
      </w:r>
      <w:r>
        <w:t xml:space="preserve">Davis NM, et al. </w:t>
      </w:r>
      <w:r>
        <w:rPr>
          <w:i/>
          <w:iCs/>
        </w:rPr>
        <w:t xml:space="preserve">Simple statistical identification and removal of contaminant sequences in marker-gene and metagenomics data</w:t>
      </w:r>
      <w:r>
        <w:t xml:space="preserve">. Microbiome, 2018. DOI：</w:t>
      </w:r>
      <w:hyperlink r:id="rId64">
        <w:r>
          <w:rPr>
            <w:rStyle w:val="Hyperlink"/>
          </w:rPr>
          <w:t xml:space="preserve">10.1186/s40168-018-0605-2</w:t>
        </w:r>
      </w:hyperlink>
      <w:r>
        <w:t xml:space="preserve">。</w:t>
      </w:r>
      <w:hyperlink r:id="rId65">
        <w:r>
          <w:rPr>
            <w:rStyle w:val="Hyperlink"/>
          </w:rPr>
          <w:t xml:space="preserve">decontam 官方说明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[16]</w:t>
      </w:r>
      <w:r>
        <w:t xml:space="preserve"> </w:t>
      </w:r>
      <w:r>
        <w:t xml:space="preserve">Segata N, et al. </w:t>
      </w:r>
      <w:r>
        <w:rPr>
          <w:i/>
          <w:iCs/>
        </w:rPr>
        <w:t xml:space="preserve">Metagenomic biomarker discovery and explanation</w:t>
      </w:r>
      <w:r>
        <w:t xml:space="preserve">. Genome Biology, 2011. DOI：</w:t>
      </w:r>
      <w:hyperlink r:id="rId66">
        <w:r>
          <w:rPr>
            <w:rStyle w:val="Hyperlink"/>
          </w:rPr>
          <w:t xml:space="preserve">10.1186/gb-2011-12-6-r60</w:t>
        </w:r>
      </w:hyperlink>
      <w:r>
        <w:t xml:space="preserve">。</w:t>
      </w:r>
      <w:hyperlink r:id="rId67">
        <w:r>
          <w:rPr>
            <w:rStyle w:val="Hyperlink"/>
          </w:rPr>
          <w:t xml:space="preserve">LEfSe 官方仓库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[17]</w:t>
      </w:r>
      <w:r>
        <w:t xml:space="preserve"> </w:t>
      </w:r>
      <w:r>
        <w:t xml:space="preserve">Douglas GM, et al. </w:t>
      </w:r>
      <w:r>
        <w:rPr>
          <w:i/>
          <w:iCs/>
        </w:rPr>
        <w:t xml:space="preserve">PICRUSt2 for prediction of metagenome functions</w:t>
      </w:r>
      <w:r>
        <w:t xml:space="preserve">. Nature Biotechnology, 2020. DOI：</w:t>
      </w:r>
      <w:hyperlink r:id="rId68">
        <w:r>
          <w:rPr>
            <w:rStyle w:val="Hyperlink"/>
          </w:rPr>
          <w:t xml:space="preserve">10.1038/s41587-020-0548-6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[18]</w:t>
      </w:r>
      <w:r>
        <w:t xml:space="preserve"> </w:t>
      </w:r>
      <w:r>
        <w:t xml:space="preserve">PICRUSt2 官方：</w:t>
      </w:r>
      <w:hyperlink r:id="rId69">
        <w:r>
          <w:rPr>
            <w:rStyle w:val="Hyperlink"/>
          </w:rPr>
          <w:t xml:space="preserve">完整流程</w:t>
        </w:r>
      </w:hyperlink>
      <w:r>
        <w:t xml:space="preserve">、</w:t>
      </w:r>
      <w:hyperlink r:id="rId70">
        <w:r>
          <w:rPr>
            <w:rStyle w:val="Hyperlink"/>
          </w:rPr>
          <w:t xml:space="preserve">常见问题与 NSTI</w:t>
        </w:r>
      </w:hyperlink>
      <w:r>
        <w:t xml:space="preserve">、</w:t>
      </w:r>
      <w:hyperlink r:id="rId71">
        <w:r>
          <w:rPr>
            <w:rStyle w:val="Hyperlink"/>
          </w:rPr>
          <w:t xml:space="preserve">通路预测</w:t>
        </w:r>
      </w:hyperlink>
      <w:r>
        <w:t xml:space="preserve">。当前接入参考</w:t>
      </w:r>
      <w:r>
        <w:t xml:space="preserve"> </w:t>
      </w:r>
      <w:hyperlink r:id="rId72">
        <w:r>
          <w:rPr>
            <w:rStyle w:val="Hyperlink"/>
          </w:rPr>
          <w:t xml:space="preserve">v2.6.2 管线源码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[19]</w:t>
      </w:r>
      <w:r>
        <w:t xml:space="preserve"> </w:t>
      </w:r>
      <w:r>
        <w:t xml:space="preserve">Aitchison J.</w:t>
      </w:r>
      <w:r>
        <w:t xml:space="preserve"> </w:t>
      </w:r>
      <w:r>
        <w:rPr>
          <w:i/>
          <w:iCs/>
        </w:rPr>
        <w:t xml:space="preserve">The Statistical Analysis of Compositional Data</w:t>
      </w:r>
      <w:r>
        <w:t xml:space="preserve">. Journal of the Royal Statistical Society: Series B, 1982. DOI：</w:t>
      </w:r>
      <w:hyperlink r:id="rId73">
        <w:r>
          <w:rPr>
            <w:rStyle w:val="Hyperlink"/>
          </w:rPr>
          <w:t xml:space="preserve">10.1111/j.2517-6161.1982.tb01195.x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[20]</w:t>
      </w:r>
      <w:r>
        <w:t xml:space="preserve"> </w:t>
      </w:r>
      <w:r>
        <w:t xml:space="preserve">Legendre P, Gallagher ED.</w:t>
      </w:r>
      <w:r>
        <w:t xml:space="preserve"> </w:t>
      </w:r>
      <w:r>
        <w:rPr>
          <w:i/>
          <w:iCs/>
        </w:rPr>
        <w:t xml:space="preserve">Ecologically meaningful transformations for ordination of species data</w:t>
      </w:r>
      <w:r>
        <w:t xml:space="preserve">. Oecologia, 2001. DOI：</w:t>
      </w:r>
      <w:hyperlink r:id="rId74">
        <w:r>
          <w:rPr>
            <w:rStyle w:val="Hyperlink"/>
          </w:rPr>
          <w:t xml:space="preserve">10.1007/s004420100716</w:t>
        </w:r>
      </w:hyperlink>
      <w:r>
        <w:t xml:space="preserve">。</w:t>
      </w:r>
      <w:hyperlink r:id="rId75">
        <w:r>
          <w:rPr>
            <w:rStyle w:val="Hyperlink"/>
          </w:rPr>
          <w:t xml:space="preserve">vegan rda/dbRDA 文档</w:t>
        </w:r>
      </w:hyperlink>
      <w:r>
        <w:t xml:space="preserve">、</w:t>
      </w:r>
      <w:hyperlink r:id="rId76">
        <w:r>
          <w:rPr>
            <w:rStyle w:val="Hyperlink"/>
          </w:rPr>
          <w:t xml:space="preserve">Hellinger 等变换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[21]</w:t>
      </w:r>
      <w:r>
        <w:t xml:space="preserve"> </w:t>
      </w:r>
      <w:r>
        <w:t xml:space="preserve">Mandal S, et al. </w:t>
      </w:r>
      <w:r>
        <w:rPr>
          <w:i/>
          <w:iCs/>
        </w:rPr>
        <w:t xml:space="preserve">Analysis of composition of microbiomes: a novel method for studying microbial composition</w:t>
      </w:r>
      <w:r>
        <w:t xml:space="preserve">. Microbial Ecology in Health and Disease, 2015. DOI：</w:t>
      </w:r>
      <w:hyperlink r:id="rId77">
        <w:r>
          <w:rPr>
            <w:rStyle w:val="Hyperlink"/>
          </w:rPr>
          <w:t xml:space="preserve">10.3402/mehd.v26.27663</w:t>
        </w:r>
      </w:hyperlink>
      <w:r>
        <w:t xml:space="preserve">。</w:t>
      </w:r>
      <w:hyperlink r:id="rId78">
        <w:r>
          <w:rPr>
            <w:rStyle w:val="Hyperlink"/>
          </w:rPr>
          <w:t xml:space="preserve">QIIME ANCOM 官方实现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[22]</w:t>
      </w:r>
      <w:r>
        <w:t xml:space="preserve"> </w:t>
      </w:r>
      <w:r>
        <w:t xml:space="preserve">ppcor：</w:t>
      </w:r>
      <w:hyperlink r:id="rId79">
        <w:r>
          <w:rPr>
            <w:rStyle w:val="Hyperlink"/>
          </w:rPr>
          <w:t xml:space="preserve">CRAN 官方包页面及参考手册</w:t>
        </w:r>
      </w:hyperlink>
      <w:r>
        <w:t xml:space="preserve">，核对偏相关方法、参数与条件。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文稿 SHA256：</w:t>
      </w:r>
      <w:r>
        <w:rPr>
          <w:rStyle w:val="VerbatimChar"/>
        </w:rPr>
        <w:t xml:space="preserve">54f3d85b5ac138f3699bbe9d0b80742882dc73d6bc1f2f0385783517f4d6d46b</w:t>
      </w:r>
      <w:r>
        <w:t xml:space="preserve">。网页与 Word 由同一 Markdown 生成。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https://benjjneb.github.io/dada2/tutorial.html" TargetMode="External" /><Relationship Type="http://schemas.openxmlformats.org/officeDocument/2006/relationships/hyperlink" Id="rId65" Target="https://benjjneb.github.io/decontam/vignettes/decontam_intro.html" TargetMode="External" /><Relationship Type="http://schemas.openxmlformats.org/officeDocument/2006/relationships/hyperlink" Id="rId63" Target="https://bioconductor.org/packages/release/bioc/vignettes/ANCOMBC/inst/doc/ANCOMBC2.html" TargetMode="External" /><Relationship Type="http://schemas.openxmlformats.org/officeDocument/2006/relationships/hyperlink" Id="rId79" Target="https://cran.r-project.org/package=ppcor" TargetMode="External" /><Relationship Type="http://schemas.openxmlformats.org/officeDocument/2006/relationships/hyperlink" Id="rId50" Target="https://cutadapt.readthedocs.io/en/stable/guide.html" TargetMode="External" /><Relationship Type="http://schemas.openxmlformats.org/officeDocument/2006/relationships/hyperlink" Id="rId41" Target="https://docs.qiime2.org/" TargetMode="External" /><Relationship Type="http://schemas.openxmlformats.org/officeDocument/2006/relationships/hyperlink" Id="rId74" Target="https://doi.org/10.1007/s004420100716" TargetMode="External" /><Relationship Type="http://schemas.openxmlformats.org/officeDocument/2006/relationships/hyperlink" Id="rId45" Target="https://doi.org/10.1038/ismej.2017.119" TargetMode="External" /><Relationship Type="http://schemas.openxmlformats.org/officeDocument/2006/relationships/hyperlink" Id="rId43" Target="https://doi.org/10.1038/nmeth.3869" TargetMode="External" /><Relationship Type="http://schemas.openxmlformats.org/officeDocument/2006/relationships/hyperlink" Id="rId40" Target="https://doi.org/10.1038/s41587-019-0209-9" TargetMode="External" /><Relationship Type="http://schemas.openxmlformats.org/officeDocument/2006/relationships/hyperlink" Id="rId68" Target="https://doi.org/10.1038/s41587-020-0548-6" TargetMode="External" /><Relationship Type="http://schemas.openxmlformats.org/officeDocument/2006/relationships/hyperlink" Id="rId62" Target="https://doi.org/10.1038/s41592-023-02092-7" TargetMode="External" /><Relationship Type="http://schemas.openxmlformats.org/officeDocument/2006/relationships/hyperlink" Id="rId58" Target="https://doi.org/10.1111/j.1541-0420.2005.00440.x" TargetMode="External" /><Relationship Type="http://schemas.openxmlformats.org/officeDocument/2006/relationships/hyperlink" Id="rId73" Target="https://doi.org/10.1111/j.2517-6161.1982.tb01195.x" TargetMode="External" /><Relationship Type="http://schemas.openxmlformats.org/officeDocument/2006/relationships/hyperlink" Id="rId60" Target="https://doi.org/10.1111/j.2517-6161.1995.tb02031.x" TargetMode="External" /><Relationship Type="http://schemas.openxmlformats.org/officeDocument/2006/relationships/hyperlink" Id="rId56" Target="https://doi.org/10.1128/AEM.71.12.8228-8235.2005" TargetMode="External" /><Relationship Type="http://schemas.openxmlformats.org/officeDocument/2006/relationships/hyperlink" Id="rId66" Target="https://doi.org/10.1186/gb-2011-12-6-r60" TargetMode="External" /><Relationship Type="http://schemas.openxmlformats.org/officeDocument/2006/relationships/hyperlink" Id="rId64" Target="https://doi.org/10.1186/s40168-018-0605-2" TargetMode="External" /><Relationship Type="http://schemas.openxmlformats.org/officeDocument/2006/relationships/hyperlink" Id="rId49" Target="https://doi.org/10.14806/ej.17.1.200" TargetMode="External" /><Relationship Type="http://schemas.openxmlformats.org/officeDocument/2006/relationships/hyperlink" Id="rId61" Target="https://doi.org/10.3389/fmicb.2017.02224" TargetMode="External" /><Relationship Type="http://schemas.openxmlformats.org/officeDocument/2006/relationships/hyperlink" Id="rId55" Target="https://doi.org/10.3389/fmicb.2019.02407" TargetMode="External" /><Relationship Type="http://schemas.openxmlformats.org/officeDocument/2006/relationships/hyperlink" Id="rId77" Target="https://doi.org/10.3402/mehd.v26.27663" TargetMode="External" /><Relationship Type="http://schemas.openxmlformats.org/officeDocument/2006/relationships/hyperlink" Id="rId67" Target="https://github.com/SegataLab/lefse" TargetMode="External" /><Relationship Type="http://schemas.openxmlformats.org/officeDocument/2006/relationships/hyperlink" Id="rId23" Target="https://github.com/kangweihou522-cmyk/16s-/blob/main/docs/WINDOWS_DEPLOYMENT.md" TargetMode="External" /><Relationship Type="http://schemas.openxmlformats.org/officeDocument/2006/relationships/hyperlink" Id="rId72" Target="https://github.com/picrust/picrust2/blob/v2.6.2/scripts/picrust2_pipeline.py" TargetMode="External" /><Relationship Type="http://schemas.openxmlformats.org/officeDocument/2006/relationships/hyperlink" Id="rId70" Target="https://github.com/picrust/picrust2/wiki/Frequently-Asked-Questions" TargetMode="External" /><Relationship Type="http://schemas.openxmlformats.org/officeDocument/2006/relationships/hyperlink" Id="rId69" Target="https://github.com/picrust/picrust2/wiki/Full-pipeline-script" TargetMode="External" /><Relationship Type="http://schemas.openxmlformats.org/officeDocument/2006/relationships/hyperlink" Id="rId71" Target="https://github.com/picrust/picrust2/wiki/Infer-pathway-abundances" TargetMode="External" /><Relationship Type="http://schemas.openxmlformats.org/officeDocument/2006/relationships/hyperlink" Id="rId78" Target="https://github.com/qiime2/q2-composition/blob/2025.7.0/q2_composition/_ancom.py" TargetMode="External" /><Relationship Type="http://schemas.openxmlformats.org/officeDocument/2006/relationships/hyperlink" Id="rId46" Target="https://github.com/qiime2/q2-dada2/blob/2025.7.0/q2_dada2/_denoise.py" TargetMode="External" /><Relationship Type="http://schemas.openxmlformats.org/officeDocument/2006/relationships/hyperlink" Id="rId47" Target="https://github.com/qiime2/q2-dada2/blob/2025.7.0/q2_dada2/plugin_setup.py" TargetMode="External" /><Relationship Type="http://schemas.openxmlformats.org/officeDocument/2006/relationships/hyperlink" Id="rId48" Target="https://github.com/qiime2/q2-demux/blob/2025.7.0/q2_demux/_summarize/_visualizer.py" TargetMode="External" /><Relationship Type="http://schemas.openxmlformats.org/officeDocument/2006/relationships/hyperlink" Id="rId53" Target="https://github.com/qiime2/q2-diversity/blob/2025.7.0/q2_diversity/_alpha/_visualizer.py" TargetMode="External" /><Relationship Type="http://schemas.openxmlformats.org/officeDocument/2006/relationships/hyperlink" Id="rId54" Target="https://github.com/qiime2/q2-diversity/blob/2025.7.0/q2_diversity/plugin_setup.py" TargetMode="External" /><Relationship Type="http://schemas.openxmlformats.org/officeDocument/2006/relationships/hyperlink" Id="rId51" Target="https://github.com/qiime2/q2-phylogeny" TargetMode="External" /><Relationship Type="http://schemas.openxmlformats.org/officeDocument/2006/relationships/hyperlink" Id="rId52" Target="https://scikit.bio/docs/latest/generated/skbio.diversity.alpha.html" TargetMode="External" /><Relationship Type="http://schemas.openxmlformats.org/officeDocument/2006/relationships/hyperlink" Id="rId57" Target="https://vegandevs.github.io/vegan/reference/adonis.html" TargetMode="External" /><Relationship Type="http://schemas.openxmlformats.org/officeDocument/2006/relationships/hyperlink" Id="rId59" Target="https://vegandevs.github.io/vegan/reference/betadisper.html" TargetMode="External" /><Relationship Type="http://schemas.openxmlformats.org/officeDocument/2006/relationships/hyperlink" Id="rId75" Target="https://vegandevs.github.io/vegan/reference/dbrda.html" TargetMode="External" /><Relationship Type="http://schemas.openxmlformats.org/officeDocument/2006/relationships/hyperlink" Id="rId76" Target="https://vegandevs.github.io/vegan/reference/decostand.html" TargetMode="External" /><Relationship Type="http://schemas.openxmlformats.org/officeDocument/2006/relationships/hyperlink" Id="rId42" Target="https://view.qiime2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benjjneb.github.io/dada2/tutorial.html" TargetMode="External" /><Relationship Type="http://schemas.openxmlformats.org/officeDocument/2006/relationships/hyperlink" Id="rId65" Target="https://benjjneb.github.io/decontam/vignettes/decontam_intro.html" TargetMode="External" /><Relationship Type="http://schemas.openxmlformats.org/officeDocument/2006/relationships/hyperlink" Id="rId63" Target="https://bioconductor.org/packages/release/bioc/vignettes/ANCOMBC/inst/doc/ANCOMBC2.html" TargetMode="External" /><Relationship Type="http://schemas.openxmlformats.org/officeDocument/2006/relationships/hyperlink" Id="rId79" Target="https://cran.r-project.org/package=ppcor" TargetMode="External" /><Relationship Type="http://schemas.openxmlformats.org/officeDocument/2006/relationships/hyperlink" Id="rId50" Target="https://cutadapt.readthedocs.io/en/stable/guide.html" TargetMode="External" /><Relationship Type="http://schemas.openxmlformats.org/officeDocument/2006/relationships/hyperlink" Id="rId41" Target="https://docs.qiime2.org/" TargetMode="External" /><Relationship Type="http://schemas.openxmlformats.org/officeDocument/2006/relationships/hyperlink" Id="rId74" Target="https://doi.org/10.1007/s004420100716" TargetMode="External" /><Relationship Type="http://schemas.openxmlformats.org/officeDocument/2006/relationships/hyperlink" Id="rId45" Target="https://doi.org/10.1038/ismej.2017.119" TargetMode="External" /><Relationship Type="http://schemas.openxmlformats.org/officeDocument/2006/relationships/hyperlink" Id="rId43" Target="https://doi.org/10.1038/nmeth.3869" TargetMode="External" /><Relationship Type="http://schemas.openxmlformats.org/officeDocument/2006/relationships/hyperlink" Id="rId40" Target="https://doi.org/10.1038/s41587-019-0209-9" TargetMode="External" /><Relationship Type="http://schemas.openxmlformats.org/officeDocument/2006/relationships/hyperlink" Id="rId68" Target="https://doi.org/10.1038/s41587-020-0548-6" TargetMode="External" /><Relationship Type="http://schemas.openxmlformats.org/officeDocument/2006/relationships/hyperlink" Id="rId62" Target="https://doi.org/10.1038/s41592-023-02092-7" TargetMode="External" /><Relationship Type="http://schemas.openxmlformats.org/officeDocument/2006/relationships/hyperlink" Id="rId58" Target="https://doi.org/10.1111/j.1541-0420.2005.00440.x" TargetMode="External" /><Relationship Type="http://schemas.openxmlformats.org/officeDocument/2006/relationships/hyperlink" Id="rId73" Target="https://doi.org/10.1111/j.2517-6161.1982.tb01195.x" TargetMode="External" /><Relationship Type="http://schemas.openxmlformats.org/officeDocument/2006/relationships/hyperlink" Id="rId60" Target="https://doi.org/10.1111/j.2517-6161.1995.tb02031.x" TargetMode="External" /><Relationship Type="http://schemas.openxmlformats.org/officeDocument/2006/relationships/hyperlink" Id="rId56" Target="https://doi.org/10.1128/AEM.71.12.8228-8235.2005" TargetMode="External" /><Relationship Type="http://schemas.openxmlformats.org/officeDocument/2006/relationships/hyperlink" Id="rId66" Target="https://doi.org/10.1186/gb-2011-12-6-r60" TargetMode="External" /><Relationship Type="http://schemas.openxmlformats.org/officeDocument/2006/relationships/hyperlink" Id="rId64" Target="https://doi.org/10.1186/s40168-018-0605-2" TargetMode="External" /><Relationship Type="http://schemas.openxmlformats.org/officeDocument/2006/relationships/hyperlink" Id="rId49" Target="https://doi.org/10.14806/ej.17.1.200" TargetMode="External" /><Relationship Type="http://schemas.openxmlformats.org/officeDocument/2006/relationships/hyperlink" Id="rId61" Target="https://doi.org/10.3389/fmicb.2017.02224" TargetMode="External" /><Relationship Type="http://schemas.openxmlformats.org/officeDocument/2006/relationships/hyperlink" Id="rId55" Target="https://doi.org/10.3389/fmicb.2019.02407" TargetMode="External" /><Relationship Type="http://schemas.openxmlformats.org/officeDocument/2006/relationships/hyperlink" Id="rId77" Target="https://doi.org/10.3402/mehd.v26.27663" TargetMode="External" /><Relationship Type="http://schemas.openxmlformats.org/officeDocument/2006/relationships/hyperlink" Id="rId67" Target="https://github.com/SegataLab/lefse" TargetMode="External" /><Relationship Type="http://schemas.openxmlformats.org/officeDocument/2006/relationships/hyperlink" Id="rId23" Target="https://github.com/kangweihou522-cmyk/16s-/blob/main/docs/WINDOWS_DEPLOYMENT.md" TargetMode="External" /><Relationship Type="http://schemas.openxmlformats.org/officeDocument/2006/relationships/hyperlink" Id="rId72" Target="https://github.com/picrust/picrust2/blob/v2.6.2/scripts/picrust2_pipeline.py" TargetMode="External" /><Relationship Type="http://schemas.openxmlformats.org/officeDocument/2006/relationships/hyperlink" Id="rId70" Target="https://github.com/picrust/picrust2/wiki/Frequently-Asked-Questions" TargetMode="External" /><Relationship Type="http://schemas.openxmlformats.org/officeDocument/2006/relationships/hyperlink" Id="rId69" Target="https://github.com/picrust/picrust2/wiki/Full-pipeline-script" TargetMode="External" /><Relationship Type="http://schemas.openxmlformats.org/officeDocument/2006/relationships/hyperlink" Id="rId71" Target="https://github.com/picrust/picrust2/wiki/Infer-pathway-abundances" TargetMode="External" /><Relationship Type="http://schemas.openxmlformats.org/officeDocument/2006/relationships/hyperlink" Id="rId78" Target="https://github.com/qiime2/q2-composition/blob/2025.7.0/q2_composition/_ancom.py" TargetMode="External" /><Relationship Type="http://schemas.openxmlformats.org/officeDocument/2006/relationships/hyperlink" Id="rId46" Target="https://github.com/qiime2/q2-dada2/blob/2025.7.0/q2_dada2/_denoise.py" TargetMode="External" /><Relationship Type="http://schemas.openxmlformats.org/officeDocument/2006/relationships/hyperlink" Id="rId47" Target="https://github.com/qiime2/q2-dada2/blob/2025.7.0/q2_dada2/plugin_setup.py" TargetMode="External" /><Relationship Type="http://schemas.openxmlformats.org/officeDocument/2006/relationships/hyperlink" Id="rId48" Target="https://github.com/qiime2/q2-demux/blob/2025.7.0/q2_demux/_summarize/_visualizer.py" TargetMode="External" /><Relationship Type="http://schemas.openxmlformats.org/officeDocument/2006/relationships/hyperlink" Id="rId53" Target="https://github.com/qiime2/q2-diversity/blob/2025.7.0/q2_diversity/_alpha/_visualizer.py" TargetMode="External" /><Relationship Type="http://schemas.openxmlformats.org/officeDocument/2006/relationships/hyperlink" Id="rId54" Target="https://github.com/qiime2/q2-diversity/blob/2025.7.0/q2_diversity/plugin_setup.py" TargetMode="External" /><Relationship Type="http://schemas.openxmlformats.org/officeDocument/2006/relationships/hyperlink" Id="rId51" Target="https://github.com/qiime2/q2-phylogeny" TargetMode="External" /><Relationship Type="http://schemas.openxmlformats.org/officeDocument/2006/relationships/hyperlink" Id="rId52" Target="https://scikit.bio/docs/latest/generated/skbio.diversity.alpha.html" TargetMode="External" /><Relationship Type="http://schemas.openxmlformats.org/officeDocument/2006/relationships/hyperlink" Id="rId57" Target="https://vegandevs.github.io/vegan/reference/adonis.html" TargetMode="External" /><Relationship Type="http://schemas.openxmlformats.org/officeDocument/2006/relationships/hyperlink" Id="rId59" Target="https://vegandevs.github.io/vegan/reference/betadisper.html" TargetMode="External" /><Relationship Type="http://schemas.openxmlformats.org/officeDocument/2006/relationships/hyperlink" Id="rId75" Target="https://vegandevs.github.io/vegan/reference/dbrda.html" TargetMode="External" /><Relationship Type="http://schemas.openxmlformats.org/officeDocument/2006/relationships/hyperlink" Id="rId76" Target="https://vegandevs.github.io/vegan/reference/decostand.html" TargetMode="External" /><Relationship Type="http://schemas.openxmlformats.org/officeDocument/2006/relationships/hyperlink" Id="rId42" Target="https://view.qiime2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