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pacing w:lineRule="auto" w:line="240" w:before="0" w:after="100"/>
        <w:ind w:left="0" w:right="0" w:firstLine="0"/>
        <w:rPr>
          <w:spacing w:val="0"/>
          <w:color w:val="auto"/>
          <w:position w:val="0"/>
          <w:sz w:val="18"/>
          <w:szCs w:val="18"/>
          <w:shd w:val="clear" w:color="auto" w:fill="auto"/>
          <w:rFonts w:ascii="바탕" w:eastAsia="바탕" w:hAnsi="바탕" w:cs="바탕"/>
        </w:rPr>
      </w:pPr>
    </w:p>
    <w:p>
      <w:pPr>
        <w:jc w:val="center"/>
        <w:spacing w:lineRule="auto" w:line="240" w:before="200" w:after="120"/>
        <w:ind w:left="0" w:right="0" w:firstLine="0"/>
        <w:rPr>
          <w:spacing w:val="0"/>
          <w:color w:val="auto"/>
          <w:position w:val="0"/>
          <w:sz w:val="18"/>
          <w:szCs w:val="18"/>
          <w:shd w:val="clear" w:color="auto" w:fill="auto"/>
          <w:rFonts w:ascii="바탕" w:eastAsia="바탕" w:hAnsi="바탕" w:cs="바탕"/>
        </w:rPr>
      </w:pPr>
      <w:r>
        <w:rPr>
          <w:spacing w:val="0"/>
          <w:b w:val="1"/>
          <w:color w:val="000000"/>
          <w:position w:val="0"/>
          <w:sz w:val="28"/>
          <w:szCs w:val="28"/>
          <w:shd w:val="clear" w:color="auto" w:fill="auto"/>
          <w:rFonts w:ascii="HY헤드라인M" w:eastAsia="HY헤드라인M" w:hAnsi="HY헤드라인M" w:cs="HY헤드라인M"/>
        </w:rPr>
        <w:t xml:space="preserve">법률 사건 Q&amp;A Self-RAG 챗봇 개발 및 RAGAS 성능 평가</w:t>
      </w:r>
    </w:p>
    <w:p>
      <w:pPr>
        <w:jc w:val="center"/>
        <w:spacing w:lineRule="auto" w:line="240" w:before="0" w:after="20"/>
        <w:ind w:left="0" w:right="0" w:firstLine="0"/>
        <w:rPr>
          <w:spacing w:val="0"/>
          <w:color w:val="auto"/>
          <w:position w:val="0"/>
          <w:sz w:val="18"/>
          <w:szCs w:val="18"/>
          <w:shd w:val="clear" w:color="auto" w:fill="auto"/>
          <w:rFonts w:ascii="바탕" w:eastAsia="바탕" w:hAnsi="바탕" w:cs="바탕"/>
        </w:rPr>
      </w:pPr>
      <w:r>
        <w:rPr>
          <w:spacing w:val="0"/>
          <w:i w:val="1"/>
          <w:color w:val="000000"/>
          <w:position w:val="0"/>
          <w:sz w:val="18"/>
          <w:szCs w:val="18"/>
          <w:shd w:val="clear" w:color="auto" w:fill="auto"/>
          <w:rFonts w:ascii="바탕" w:eastAsia="바탕" w:hAnsi="바탕" w:cs="바탕"/>
        </w:rPr>
        <w:t xml:space="preserve">Legal Case Q&amp;A Self-RAG Chatbot Development and RAGAS Evaluation</w:t>
      </w:r>
    </w:p>
    <w:p>
      <w:pPr>
        <w:jc w:val="center"/>
        <w:spacing w:lineRule="auto" w:line="240" w:before="60" w:after="40"/>
        <w:ind w:left="0" w:right="0" w:firstLine="0"/>
        <w:rPr>
          <w:spacing w:val="0"/>
          <w:color w:val="auto"/>
          <w:position w:val="0"/>
          <w:sz w:val="18"/>
          <w:szCs w:val="18"/>
          <w:shd w:val="clear" w:color="auto" w:fill="auto"/>
          <w:rFonts w:ascii="바탕" w:eastAsia="바탕" w:hAnsi="바탕" w:cs="바탕"/>
        </w:rPr>
      </w:pPr>
      <w:r>
        <w:rPr>
          <w:spacing w:val="0"/>
          <w:color w:val="000000"/>
          <w:position w:val="0"/>
          <w:sz w:val="18"/>
          <w:szCs w:val="18"/>
          <w:shd w:val="clear" w:color="auto" w:fill="auto"/>
          <w:rFonts w:ascii="바탕" w:eastAsia="바탕" w:hAnsi="바탕" w:cs="바탕"/>
        </w:rPr>
        <w:t xml:space="preserve">강우현, 김준우, 김정효</w:t>
      </w:r>
    </w:p>
    <w:p>
      <w:pPr>
        <w:jc w:val="center"/>
        <w:spacing w:lineRule="auto" w:line="240" w:before="60" w:after="40"/>
        <w:ind w:left="0" w:right="0" w:firstLine="0"/>
        <w:rPr>
          <w:spacing w:val="0"/>
          <w:color w:val="auto"/>
          <w:position w:val="0"/>
          <w:sz w:val="18"/>
          <w:szCs w:val="18"/>
          <w:shd w:val="clear" w:color="auto" w:fill="auto"/>
          <w:rFonts w:ascii="바탕" w:eastAsia="바탕" w:hAnsi="바탕" w:cs="바탕"/>
        </w:rPr>
      </w:pPr>
      <w:r>
        <w:rPr>
          <w:spacing w:val="0"/>
          <w:color w:val="000000"/>
          <w:position w:val="0"/>
          <w:sz w:val="16"/>
          <w:szCs w:val="16"/>
          <w:shd w:val="clear" w:color="auto" w:fill="auto"/>
          <w:rFonts w:ascii="바탕" w:eastAsia="바탕" w:hAnsi="바탕" w:cs="바탕"/>
        </w:rPr>
        <w:t>강남대학교</w:t>
      </w:r>
    </w:p>
    <w:p>
      <w:pPr>
        <w:jc w:val="left"/>
        <w:spacing w:lineRule="auto" w:line="240" w:before="100" w:after="100"/>
        <w:ind w:left="0" w:right="0" w:firstLine="0"/>
        <w:rPr>
          <w:spacing w:val="0"/>
          <w:color w:val="auto"/>
          <w:position w:val="0"/>
          <w:sz w:val="18"/>
          <w:szCs w:val="18"/>
          <w:shd w:val="clear" w:color="auto" w:fill="auto"/>
          <w:rFonts w:ascii="바탕" w:eastAsia="바탕" w:hAnsi="바탕" w:cs="바탕"/>
        </w:rPr>
      </w:pPr>
    </w:p>
    <w:tbl>
      <w:tblID w:val="0"/>
      <w:tblPr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4165"/>
        <w:gridCol w:w="4245"/>
      </w:tblGrid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200" w:after="80"/>
              <w:ind w:left="0" w:right="0" w:firstLine="0"/>
              <w:rPr>
                <w:spacing w:val="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spacing w:val="0"/>
                <w:b w:val="1"/>
                <w:color w:val="000000"/>
                <w:position w:val="0"/>
                <w:sz w:val="20"/>
                <w:szCs w:val="20"/>
                <w:shd w:val="clear" w:color="auto" w:fill="auto"/>
                <w:rFonts w:ascii="HY헤드라인M" w:eastAsia="HY헤드라인M" w:hAnsi="HY헤드라인M" w:cs="HY헤드라인M"/>
              </w:rPr>
              <w:t xml:space="preserve">1. 연구 배경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200" w:after="80"/>
              <w:ind w:left="0" w:right="0" w:firstLine="0"/>
              <w:rPr>
                <w:spacing w:val="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spacing w:val="0"/>
                <w:b w:val="1"/>
                <w:color w:val="000000"/>
                <w:position w:val="0"/>
                <w:sz w:val="20"/>
                <w:szCs w:val="20"/>
                <w:shd w:val="clear" w:color="auto" w:fill="auto"/>
                <w:rFonts w:ascii="HY헤드라인M" w:eastAsia="HY헤드라인M" w:hAnsi="HY헤드라인M" w:cs="HY헤드라인M"/>
              </w:rPr>
              <w:t xml:space="preserve">4. 기대효과 및 활용</w:t>
            </w: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연구의 필요성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기존 기술과 비교한 우월성 및 차별성</w:t>
            </w: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최근 인공지능 언어 모델(LLM)의 급속한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발전과 함께, 일반 시민이 법률 정보에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접근하는 방식도 크게 변화하고 있다. 그러나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순수 LLM은 최신 법령을 반영하지 못하거나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특정 법 조항에 대해 부정확한 정보를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생성하는 '환각(Hallucination)' 문제가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>존재한다.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순수 LLM 대비 Self-RAG는 문서 기반 답변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생성으로 할루시네이션을 억제하고 신뢰성을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향상시킨다. Faithfulness 0.872, Answer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Relevancy 0.903으로 우수 기준(0.8↑)을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달성하였으며, 기존 단순 RAG 대비 ISREL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관련성 필터로 검색 품질이 향상되었다.</w:t>
            </w: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기존 연구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일반적 기대효과와 활용방안</w:t>
            </w: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Self-RAG(Asai et al., 2023)는 기존 RAG에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네 가지 반성 토큰(Retrieve, ISREL, ISSUP,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ISUSE)을 추가하여 검색 여부 및 답변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품질을 LLM 스스로 판단하게 한다. RAGAS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프레임워크는 Faithfulness, Answer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Relevancy, Context Precision, Context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Recall 4가지 지표로 RAG 시스템을 정량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>평가한다.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일반 시민의 법률 접근성 향상, 24시간 즉시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법률 정보 제공, 법률 비용 절감 효과가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기대된다. 향후 쿼리 재작성(Query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Rewriting) 기법 추가 및 LangSmith 연동을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통한 프로덕션 모니터링을 계획한다.</w:t>
            </w: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연구 목표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200" w:after="80"/>
              <w:ind w:left="0" w:right="0" w:firstLine="0"/>
              <w:rPr>
                <w:spacing w:val="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spacing w:val="0"/>
                <w:b w:val="1"/>
                <w:color w:val="000000"/>
                <w:position w:val="0"/>
                <w:sz w:val="20"/>
                <w:szCs w:val="20"/>
                <w:shd w:val="clear" w:color="auto" w:fill="auto"/>
                <w:rFonts w:ascii="HY헤드라인M" w:eastAsia="HY헤드라인M" w:hAnsi="HY헤드라인M" w:cs="HY헤드라인M"/>
              </w:rPr>
              <w:t xml:space="preserve">5. 결론</w:t>
            </w: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본 연구는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①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법률 문서를 활용한 Self-RAG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시스템 구현,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②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RAGAS 지표 기반 성능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측정 및 시각화,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③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할루시네이션 억제 효과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검증을 목적으로 한다.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  <w:lang w:eastAsia="ko-KR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연구 성과의 핵심 내용</w:t>
            </w:r>
          </w:p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법률 사건 Self-RAG Q&amp;A 챗봇을 개발하고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RAGAS로 정량 평가하였다.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Faithfulness(0.872)와 Answer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Relevancy(0.903)는 우수 수준을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달성하였으며, Self-RAG의 ISREL 관련성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필터링이 할루시네이션 억제에 효과적으로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작동함을 확인하였다.</w:t>
            </w: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200" w:after="80"/>
              <w:ind w:left="0" w:right="0" w:firstLine="0"/>
              <w:rPr>
                <w:spacing w:val="0"/>
                <w:b w:val="1"/>
                <w:color w:val="000000"/>
                <w:position w:val="0"/>
                <w:sz w:val="20"/>
                <w:szCs w:val="20"/>
                <w:shd w:val="clear" w:color="auto" w:fill="auto"/>
                <w:rFonts w:ascii="HY헤드라인M" w:eastAsia="HY헤드라인M" w:hAnsi="HY헤드라인M" w:cs="HY헤드라인M"/>
              </w:rPr>
            </w:pPr>
            <w:r>
              <w:rPr>
                <w:spacing w:val="0"/>
                <w:b w:val="1"/>
                <w:color w:val="000000"/>
                <w:position w:val="0"/>
                <w:sz w:val="20"/>
                <w:szCs w:val="20"/>
                <w:shd w:val="clear" w:color="auto" w:fill="auto"/>
                <w:rFonts w:ascii="HY헤드라인M" w:eastAsia="HY헤드라인M" w:hAnsi="HY헤드라인M" w:cs="HY헤드라인M"/>
              </w:rPr>
              <w:t xml:space="preserve">2. 연구 내용</w:t>
            </w:r>
          </w:p>
          <w:p>
            <w:pPr>
              <w:jc w:val="left"/>
              <w:spacing w:lineRule="auto" w:line="240" w:before="200" w:after="80"/>
              <w:ind w:left="0" w:right="0" w:firstLine="0"/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시스템 설계 및 구현</w:t>
            </w:r>
          </w:p>
          <w:p>
            <w:pPr>
              <w:jc w:val="both"/>
              <w:spacing w:lineRule="auto" w:line="240" w:before="200" w:after="80"/>
              <w:ind w:left="200" w:right="0" w:hanging="20" w:leftChars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본 시스템은 GPT-4o-mini(LLM), text-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embedding-3-large(임베딩), FAISS(벡터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DB), LangChain(파이프라인), Streamlit(UI),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RAGAS v0.2(평가)로 구성된다.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right="0" w:firstLine="0"/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  <w:lang w:eastAsia="ko-KR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본 주제의 향후 연구(보완) 계획</w:t>
            </w:r>
          </w:p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①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실제 법률 PDF 업로드를 통한 도메인별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벡터 DB 구축,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②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Query Rewriting 기법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적용으로 Context Precision 개선,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③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LangSmith 연동을 통한 지속적 성능 추적을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>계획한다.</w:t>
            </w:r>
          </w:p>
          <w:p>
            <w:pPr>
              <w:jc w:val="both"/>
              <w:spacing w:lineRule="auto" w:line="275" w:before="40" w:after="40"/>
              <w:ind w:right="0" w:firstLine="0"/>
              <w:rPr>
                <w:spacing w:val="0"/>
                <w:position w:val="0"/>
                <w:shd w:val="clear" w:color="auto" w:fill="auto"/>
              </w:rPr>
            </w:pPr>
          </w:p>
        </w:tc>
      </w:tr>
      <w:tr>
        <w:trPr/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Self-RAG 파이프라인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  <w:lang w:eastAsia="ko-KR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6단계 파이프라인: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①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Retrieve 판단 →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②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FAISS 검색 →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③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ISREL 관련성 필터 →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④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답변 생성 →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⑤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ISSUP 지원도 평가 →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Segoe UI Symbol" w:eastAsia="Segoe UI Symbol" w:hAnsi="Segoe UI Symbol" w:cs="Segoe UI Symbol"/>
              </w:rPr>
              <w:t>⑥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ISUSE 유용성 평가. 각 단계는 LangChain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Pydantic 구조화 출력으로 처리된다.</w:t>
            </w:r>
          </w:p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right="0" w:firstLine="0"/>
              <w:rPr>
                <w:spacing w:val="0"/>
                <w:position w:val="0"/>
                <w:shd w:val="clear" w:color="auto" w:fill="auto"/>
              </w:rPr>
            </w:pP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Streamlit UI 구성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0" w:after="0"/>
              <w:ind w:left="0" w:right="0" w:firstLine="0"/>
              <w:rPr>
                <w:spacing w:val="0"/>
                <w:color w:val="auto"/>
                <w:position w:val="0"/>
                <w:sz w:val="20"/>
                <w:szCs w:val="20"/>
                <w:shd w:val="clear" w:color="auto" w:fill="auto"/>
                <w:rFonts w:ascii="맑은 고딕" w:eastAsia="맑은 고딕" w:hAnsi="맑은 고딕" w:cs="맑은 고딕"/>
              </w:rPr>
            </w:pP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사건 유형 빠른 선택 버튼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6종(교통사고·임차인 분쟁·부당해고·사기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피해·폭행·계약 분쟁), 자연어 채팅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인터페이스, PDF 업로드 및 FAISS 벡터 DB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구축 기능, 법률 자문 면책 고지로 구성된다.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40" w:before="100" w:after="40"/>
              <w:ind w:left="0" w:right="0" w:firstLine="0"/>
              <w:rPr>
                <w:spacing w:val="0"/>
                <w:color w:val="000000"/>
                <w:position w:val="0"/>
                <w:sz w:val="16"/>
                <w:szCs w:val="16"/>
                <w:shd w:val="clear" w:color="auto" w:fill="auto"/>
                <w:rFonts w:ascii="HY헤드라인M" w:eastAsia="HY헤드라인M" w:hAnsi="HY헤드라인M" w:cs="HY헤드라인M"/>
              </w:rPr>
            </w:pPr>
          </w:p>
          <w:p>
            <w:pPr>
              <w:jc w:val="center"/>
              <w:spacing w:lineRule="auto" w:line="240" w:before="100" w:after="40"/>
              <w:ind w:left="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6"/>
                <w:szCs w:val="16"/>
                <w:shd w:val="clear" w:color="auto" w:fill="auto"/>
                <w:rFonts w:ascii="HY헤드라인M" w:eastAsia="HY헤드라인M" w:hAnsi="HY헤드라인M" w:cs="HY헤드라인M"/>
              </w:rPr>
              <w:t xml:space="preserve">표 1. RAGAS 전체 평균 평가 결과</w:t>
            </w: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  <w:lang w:eastAsia="ko-KR"/>
              </w:rPr>
            </w:pPr>
          </w:p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RAGAS 성능 평가</w:t>
            </w:r>
          </w:p>
          <w:p>
            <w:pPr>
              <w:jc w:val="both"/>
              <w:spacing w:lineRule="auto" w:line="275" w:before="30" w:after="30"/>
              <w:ind w:left="280" w:right="0" w:firstLine="0" w:leftChars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교통사고·전세보증금·부당해고 등 12개 법률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사건 유형별 평가 샘플을 직접 작성하여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SingleTurnSample 형식으로 구성하였다.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LangchainLLMWrapper + evaluate()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구조로 4가지 지표를 측정하였다.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tbl>
            <w:tblID w:val="0"/>
            <w:tblPr>
              <w:tblCellMar>
                <w:left w:w="0" w:type="dxa"/>
                <w:top w:w="0" w:type="dxa"/>
                <w:right w:w="0" w:type="dxa"/>
                <w:bottom w:w="0" w:type="dxa"/>
              </w:tblCellMar>
              <w:tblW w:w="0" w:type="auto"/>
              <w:tblLook w:val="000000" w:firstRow="0" w:lastRow="0" w:firstColumn="0" w:lastColumn="0" w:noHBand="0" w:noVBand="0"/>
              <w:tblLayout w:type="auto"/>
            </w:tblPr>
            <w:tblGrid>
              <w:gridCol w:w="698"/>
              <w:gridCol w:w="57"/>
              <w:gridCol w:w="660"/>
              <w:gridCol w:w="915"/>
              <w:gridCol w:w="915"/>
              <w:gridCol w:w="900"/>
            </w:tblGrid>
            <w:tr>
              <w:trPr/>
              <w:tc>
                <w:tcPr>
                  <w:tcW w:type="dxa" w:w="755"/>
                  <w:tcMar>
                    <w:left w:w="100" w:type="dxa"/>
                    <w:right w:w="100" w:type="dxa"/>
                  </w:tcMar>
                  <w:vAlign w:val="center"/>
                  <w:gridSpan w:val="2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2F2F2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b w:val="1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지표</w:t>
                  </w:r>
                </w:p>
              </w:tc>
              <w:tc>
                <w:tcPr>
                  <w:tcW w:type="dxa" w:w="660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2F2F2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b w:val="1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Faith.</w:t>
                  </w:r>
                </w:p>
              </w:tc>
              <w:tc>
                <w:tcPr>
                  <w:tcW w:type="dxa" w:w="915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2F2F2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b w:val="1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Ans.Rel.</w:t>
                  </w:r>
                </w:p>
              </w:tc>
              <w:tc>
                <w:tcPr>
                  <w:tcW w:type="dxa" w:w="915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2F2F2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b w:val="1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Ctx.Pre.</w:t>
                  </w:r>
                </w:p>
              </w:tc>
              <w:tc>
                <w:tcPr>
                  <w:tcW w:type="dxa" w:w="900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2F2F2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b w:val="1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Ctx.Rec.</w:t>
                  </w:r>
                </w:p>
              </w:tc>
            </w:tr>
            <w:tr>
              <w:trPr>
                <w:trHeight w:hRule="atleast" w:val="1"/>
              </w:trPr>
              <w:tc>
                <w:tcPr>
                  <w:tcW w:type="dxa" w:w="698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평균(1</w:t>
                  </w: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2개)</w:t>
                  </w:r>
                </w:p>
              </w:tc>
              <w:tc>
                <w:tcPr>
                  <w:tcW w:type="dxa" w:w="717"/>
                  <w:tcMar>
                    <w:left w:w="100" w:type="dxa"/>
                    <w:right w:w="100" w:type="dxa"/>
                  </w:tcMar>
                  <w:vAlign w:val="center"/>
                  <w:gridSpan w:val="2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0.872</w:t>
                  </w:r>
                </w:p>
              </w:tc>
              <w:tc>
                <w:tcPr>
                  <w:tcW w:type="dxa" w:w="915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0.903</w:t>
                  </w:r>
                </w:p>
              </w:tc>
              <w:tc>
                <w:tcPr>
                  <w:tcW w:type="dxa" w:w="915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0.788</w:t>
                  </w:r>
                </w:p>
              </w:tc>
              <w:tc>
                <w:tcPr>
                  <w:tcW w:type="dxa" w:w="900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0.836</w:t>
                  </w:r>
                </w:p>
              </w:tc>
            </w:tr>
            <w:tr>
              <w:trPr/>
              <w:tc>
                <w:tcPr>
                  <w:tcW w:type="dxa" w:w="698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기준</w:t>
                  </w:r>
                </w:p>
              </w:tc>
              <w:tc>
                <w:tcPr>
                  <w:tcW w:type="dxa" w:w="717"/>
                  <w:tcMar>
                    <w:left w:w="100" w:type="dxa"/>
                    <w:right w:w="100" w:type="dxa"/>
                  </w:tcMar>
                  <w:vAlign w:val="center"/>
                  <w:gridSpan w:val="2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0.8↑</w:t>
                  </w:r>
                </w:p>
              </w:tc>
              <w:tc>
                <w:tcPr>
                  <w:tcW w:type="dxa" w:w="915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0.8↑</w:t>
                  </w:r>
                </w:p>
              </w:tc>
              <w:tc>
                <w:tcPr>
                  <w:tcW w:type="dxa" w:w="915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0.8↑</w:t>
                  </w:r>
                </w:p>
              </w:tc>
              <w:tc>
                <w:tcPr>
                  <w:tcW w:type="dxa" w:w="900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0.8↑</w:t>
                  </w:r>
                </w:p>
              </w:tc>
            </w:tr>
          </w:tbl>
          <w:p/>
        </w:tc>
      </w:tr>
      <w:tr>
        <w:trPr/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color w:val="auto"/>
                <w:position w:val="0"/>
                <w:sz w:val="20"/>
                <w:szCs w:val="20"/>
                <w:shd w:val="clear" w:color="auto" w:fill="auto"/>
                <w:rFonts w:ascii="맑은 고딕" w:eastAsia="맑은 고딕" w:hAnsi="맑은 고딕" w:cs="맑은 고딕"/>
              </w:rPr>
            </w:pP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0" w:after="0"/>
              <w:ind w:left="0" w:right="0" w:firstLine="0"/>
              <w:rPr>
                <w:spacing w:val="0"/>
                <w:color w:val="auto"/>
                <w:position w:val="0"/>
                <w:sz w:val="20"/>
                <w:szCs w:val="20"/>
                <w:shd w:val="clear" w:color="auto" w:fill="auto"/>
                <w:rFonts w:ascii="맑은 고딕" w:eastAsia="맑은 고딕" w:hAnsi="맑은 고딕" w:cs="맑은 고딕"/>
              </w:rPr>
            </w:pPr>
          </w:p>
        </w:tc>
      </w:tr>
      <w:tr>
        <w:trPr/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실험(동작 테스트) 내용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center"/>
              <w:spacing w:lineRule="auto" w:line="240" w:before="100" w:after="40"/>
              <w:ind w:left="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6"/>
                <w:szCs w:val="16"/>
                <w:shd w:val="clear" w:color="auto" w:fill="auto"/>
                <w:rFonts w:ascii="HY헤드라인M" w:eastAsia="HY헤드라인M" w:hAnsi="HY헤드라인M" w:cs="HY헤드라인M"/>
              </w:rPr>
              <w:t xml:space="preserve">표 2. 시스템 기술 스택</w:t>
            </w:r>
          </w:p>
        </w:tc>
      </w:tr>
      <w:tr>
        <w:trPr/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레이더 차트, 막대 그래프, 히트맵(RdYlGn),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추이 선 그래프의 4종 시각화를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구현하였으며, 세부 점수는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ragas_results.csv에 기록되고 결과물은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ragas_report.png로 저장된다.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tbl>
            <w:tblID w:val="0"/>
            <w:tblPr>
              <w:tblCellMar>
                <w:left w:w="0" w:type="dxa"/>
                <w:top w:w="0" w:type="dxa"/>
                <w:right w:w="0" w:type="dxa"/>
                <w:bottom w:w="0" w:type="dxa"/>
              </w:tblCellMar>
              <w:tblW w:w="0" w:type="auto"/>
              <w:tblLook w:val="000000" w:firstRow="0" w:lastRow="0" w:firstColumn="0" w:lastColumn="0" w:noHBand="0" w:noVBand="0"/>
              <w:tblLayout w:type="auto"/>
            </w:tblPr>
            <w:tblGrid>
              <w:gridCol w:w="1021"/>
              <w:gridCol w:w="1209"/>
              <w:gridCol w:w="1861"/>
            </w:tblGrid>
            <w:tr>
              <w:trPr>
                <w:trHeight w:hRule="atleast" w:val="388"/>
              </w:trPr>
              <w:tc>
                <w:tcPr>
                  <w:tcW w:type="dxa" w:w="102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2F2F2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b w:val="1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구성 요소</w:t>
                  </w:r>
                </w:p>
              </w:tc>
              <w:tc>
                <w:tcPr>
                  <w:tcW w:type="dxa" w:w="1209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2F2F2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b w:val="1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기술</w:t>
                  </w:r>
                </w:p>
              </w:tc>
              <w:tc>
                <w:tcPr>
                  <w:tcW w:type="dxa" w:w="186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2F2F2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b w:val="1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역할</w:t>
                  </w:r>
                </w:p>
              </w:tc>
            </w:tr>
            <w:tr>
              <w:trPr>
                <w:trHeight w:hRule="atleast" w:val="406"/>
              </w:trPr>
              <w:tc>
                <w:tcPr>
                  <w:tcW w:type="dxa" w:w="102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LLM</w:t>
                  </w:r>
                </w:p>
              </w:tc>
              <w:tc>
                <w:tcPr>
                  <w:tcW w:type="dxa" w:w="1209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GPT-4o-min</w:t>
                  </w: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i</w:t>
                  </w:r>
                </w:p>
              </w:tc>
              <w:tc>
                <w:tcPr>
                  <w:tcW w:type="dxa" w:w="186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left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검색 판단·답변 생성</w:t>
                  </w:r>
                </w:p>
              </w:tc>
            </w:tr>
            <w:tr>
              <w:trPr>
                <w:trHeight w:hRule="atleast" w:val="630"/>
              </w:trPr>
              <w:tc>
                <w:tcPr>
                  <w:tcW w:type="dxa" w:w="102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임베딩</w:t>
                  </w:r>
                </w:p>
              </w:tc>
              <w:tc>
                <w:tcPr>
                  <w:tcW w:type="dxa" w:w="1209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text-embedd</w:t>
                  </w: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ing-3-large</w:t>
                  </w:r>
                </w:p>
              </w:tc>
              <w:tc>
                <w:tcPr>
                  <w:tcW w:type="dxa" w:w="186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left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문서 벡터화</w:t>
                  </w:r>
                </w:p>
              </w:tc>
            </w:tr>
            <w:tr>
              <w:trPr>
                <w:trHeight w:hRule="atleast" w:val="369"/>
              </w:trPr>
              <w:tc>
                <w:tcPr>
                  <w:tcW w:type="dxa" w:w="102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벡터 DB</w:t>
                  </w:r>
                </w:p>
              </w:tc>
              <w:tc>
                <w:tcPr>
                  <w:tcW w:type="dxa" w:w="1209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FAISS</w:t>
                  </w:r>
                </w:p>
              </w:tc>
              <w:tc>
                <w:tcPr>
                  <w:tcW w:type="dxa" w:w="186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left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유사 문서 검색</w:t>
                  </w:r>
                </w:p>
              </w:tc>
            </w:tr>
            <w:tr>
              <w:trPr>
                <w:trHeight w:hRule="atleast" w:val="402"/>
              </w:trPr>
              <w:tc>
                <w:tcPr>
                  <w:tcW w:type="dxa" w:w="102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프레임워크</w:t>
                  </w:r>
                </w:p>
              </w:tc>
              <w:tc>
                <w:tcPr>
                  <w:tcW w:type="dxa" w:w="1209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LangChain</w:t>
                  </w:r>
                </w:p>
              </w:tc>
              <w:tc>
                <w:tcPr>
                  <w:tcW w:type="dxa" w:w="186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left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Self-RAG 파이프라인</w:t>
                  </w:r>
                </w:p>
              </w:tc>
            </w:tr>
            <w:tr>
              <w:trPr>
                <w:trHeight w:hRule="atleast" w:val="208"/>
              </w:trPr>
              <w:tc>
                <w:tcPr>
                  <w:tcW w:type="dxa" w:w="102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UI</w:t>
                  </w:r>
                </w:p>
              </w:tc>
              <w:tc>
                <w:tcPr>
                  <w:tcW w:type="dxa" w:w="1209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>Streamlit</w:t>
                  </w:r>
                </w:p>
              </w:tc>
              <w:tc>
                <w:tcPr>
                  <w:tcW w:type="dxa" w:w="186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left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웹 인터페이스</w:t>
                  </w:r>
                </w:p>
              </w:tc>
            </w:tr>
            <w:tr>
              <w:trPr>
                <w:trHeight w:hRule="atleast" w:val="402"/>
              </w:trPr>
              <w:tc>
                <w:tcPr>
                  <w:tcW w:type="dxa" w:w="102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성능 평가</w:t>
                  </w:r>
                </w:p>
              </w:tc>
              <w:tc>
                <w:tcPr>
                  <w:tcW w:type="dxa" w:w="1209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center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RAGAS v0.2</w:t>
                  </w:r>
                </w:p>
              </w:tc>
              <w:tc>
                <w:tcPr>
                  <w:tcW w:type="dxa" w:w="1861"/>
                  <w:tcMar>
                    <w:left w:w="100" w:type="dxa"/>
                    <w:right w:w="100" w:type="dxa"/>
                  </w:tcMar>
                  <w:vAlign w:val="center"/>
                  <w:tcBorders>
                    <w:bottom w:val="single" w:color="000000" w:sz="4"/>
                    <w:left w:val="single" w:color="000000" w:sz="4"/>
                    <w:right w:val="single" w:color="000000" w:sz="4"/>
                    <w:top w:val="single" w:color="000000" w:sz="4"/>
                  </w:tcBorders>
                  <w:shd w:val="clear" w:color="000000" w:fill="FFFFFF"/>
                </w:tcPr>
                <w:p>
                  <w:pPr>
                    <w:jc w:val="left"/>
                    <w:spacing w:lineRule="auto" w:line="240" w:before="0" w:after="0"/>
                    <w:ind w:left="0" w:right="0" w:firstLine="0"/>
                    <w:rPr>
                      <w:spacing w:val="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spacing w:val="0"/>
                      <w:color w:val="000000"/>
                      <w:position w:val="0"/>
                      <w:sz w:val="16"/>
                      <w:szCs w:val="16"/>
                      <w:shd w:val="clear" w:color="auto" w:fill="auto"/>
                      <w:rFonts w:ascii="바탕" w:eastAsia="바탕" w:hAnsi="바탕" w:cs="바탕"/>
                    </w:rPr>
                    <w:t xml:space="preserve">4가지 지표 자동 평가</w:t>
                  </w:r>
                </w:p>
              </w:tc>
            </w:tr>
          </w:tbl>
          <w:p/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spacing w:val="0"/>
                <w:b w:val="1"/>
                <w:color w:val="000000"/>
                <w:position w:val="0"/>
                <w:sz w:val="20"/>
                <w:szCs w:val="20"/>
                <w:shd w:val="clear" w:color="auto" w:fill="auto"/>
                <w:rFonts w:ascii="HY헤드라인M" w:eastAsia="HY헤드라인M" w:hAnsi="HY헤드라인M" w:cs="HY헤드라인M"/>
              </w:rPr>
              <w:t xml:space="preserve">3. 현적 제한 조건에 대한 검토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0" w:after="0"/>
              <w:ind w:left="0" w:right="0" w:firstLine="0"/>
              <w:rPr>
                <w:spacing w:val="0"/>
                <w:color w:val="auto"/>
                <w:position w:val="0"/>
                <w:sz w:val="20"/>
                <w:szCs w:val="20"/>
                <w:shd w:val="clear" w:color="auto" w:fill="auto"/>
                <w:rFonts w:ascii="맑은 고딕" w:eastAsia="맑은 고딕" w:hAnsi="맑은 고딕" w:cs="맑은 고딕"/>
              </w:rPr>
            </w:pP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검색 정밀도 한계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0" w:after="0"/>
              <w:ind w:left="0" w:right="0" w:firstLine="0"/>
              <w:rPr>
                <w:spacing w:val="0"/>
                <w:color w:val="auto"/>
                <w:position w:val="0"/>
                <w:sz w:val="20"/>
                <w:szCs w:val="20"/>
                <w:shd w:val="clear" w:color="auto" w:fill="auto"/>
                <w:rFonts w:ascii="맑은 고딕" w:eastAsia="맑은 고딕" w:hAnsi="맑은 고딕" w:cs="맑은 고딕"/>
              </w:rPr>
            </w:pP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200" w:after="80"/>
              <w:ind w:left="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Context Precision(0.788)이 0.8 미만으로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측정되어 ISREL 필터링의 한계가 존재한다.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Top-K 파라미터 조정 및 청크 크기 최적화를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통한 개선이 필요하다.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0" w:after="0"/>
              <w:ind w:left="0" w:right="0" w:firstLine="0"/>
              <w:rPr>
                <w:spacing w:val="0"/>
                <w:color w:val="auto"/>
                <w:position w:val="0"/>
                <w:sz w:val="20"/>
                <w:szCs w:val="20"/>
                <w:shd w:val="clear" w:color="auto" w:fill="auto"/>
                <w:rFonts w:ascii="맑은 고딕" w:eastAsia="맑은 고딕" w:hAnsi="맑은 고딕" w:cs="맑은 고딕"/>
              </w:rPr>
            </w:pPr>
          </w:p>
        </w:tc>
      </w:tr>
      <w:tr>
        <w:trPr>
          <w:trHeight w:hRule="atleast" w:val="1"/>
        </w:trPr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30" w:after="30"/>
              <w:ind w:left="280" w:right="0" w:hanging="28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－ 법률 전문성 한계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0" w:after="0"/>
              <w:ind w:left="0" w:right="0" w:firstLine="0"/>
              <w:rPr>
                <w:spacing w:val="0"/>
                <w:color w:val="auto"/>
                <w:position w:val="0"/>
                <w:sz w:val="20"/>
                <w:szCs w:val="20"/>
                <w:shd w:val="clear" w:color="auto" w:fill="auto"/>
                <w:rFonts w:ascii="맑은 고딕" w:eastAsia="맑은 고딕" w:hAnsi="맑은 고딕" w:cs="맑은 고딕"/>
              </w:rPr>
            </w:pPr>
          </w:p>
        </w:tc>
      </w:tr>
      <w:tr>
        <w:trPr/>
        <w:tc>
          <w:tcPr>
            <w:tcW w:type="dxa" w:w="416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both"/>
              <w:spacing w:lineRule="auto" w:line="275" w:before="40" w:after="40"/>
              <w:ind w:left="200" w:right="0" w:firstLine="0"/>
              <w:rPr>
                <w:spacing w:val="0"/>
                <w:position w:val="0"/>
                <w:shd w:val="clear" w:color="auto" w:fill="auto"/>
              </w:rPr>
            </w:pP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GPT-4o-mini 기반으로 실제 법률 해석에는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전문가 검토가 필요하며, 시스템 내 법률 </w:t>
            </w:r>
            <w:r>
              <w:rPr>
                <w:spacing w:val="0"/>
                <w:color w:val="000000"/>
                <w:position w:val="0"/>
                <w:sz w:val="18"/>
                <w:szCs w:val="18"/>
                <w:shd w:val="clear" w:color="auto" w:fill="auto"/>
                <w:rFonts w:ascii="바탕" w:eastAsia="바탕" w:hAnsi="바탕" w:cs="바탕"/>
              </w:rPr>
              <w:t xml:space="preserve">자문 면책 고지를 필수적으로 제공한다</w:t>
            </w:r>
          </w:p>
        </w:tc>
        <w:tc>
          <w:tcPr>
            <w:tcW w:type="dxa" w:w="4245"/>
            <w:tcMar>
              <w:left w:w="100" w:type="dxa"/>
              <w:right w:w="100" w:type="dxa"/>
            </w:tcMar>
            <w:vAlign w:val="top"/>
            <w:tcBorders>
              <w:bottom w:val="single" w:color="FFFFFF"/>
              <w:left w:val="single" w:color="FFFFFF"/>
              <w:right w:val="single" w:color="FFFFFF"/>
              <w:top w:val="single" w:color="FFFFFF"/>
            </w:tcBorders>
            <w:shd w:val="clear" w:color="000000" w:fill="FFFFFF"/>
          </w:tcPr>
          <w:p>
            <w:pPr>
              <w:jc w:val="left"/>
              <w:spacing w:lineRule="auto" w:line="240" w:before="0" w:after="0"/>
              <w:ind w:left="0" w:right="0" w:firstLine="0"/>
              <w:rPr>
                <w:spacing w:val="0"/>
                <w:color w:val="auto"/>
                <w:position w:val="0"/>
                <w:sz w:val="20"/>
                <w:szCs w:val="20"/>
                <w:shd w:val="clear" w:color="auto" w:fill="auto"/>
                <w:rFonts w:ascii="맑은 고딕" w:eastAsia="맑은 고딕" w:hAnsi="맑은 고딕" w:cs="맑은 고딕"/>
              </w:rPr>
            </w:pPr>
          </w:p>
        </w:tc>
      </w:tr>
    </w:tbl>
    <w:p>
      <w:pPr>
        <w:jc w:val="left"/>
        <w:spacing w:lineRule="auto" w:line="240" w:before="160" w:after="60"/>
        <w:ind w:left="0" w:right="0" w:firstLine="0"/>
        <w:rPr>
          <w:spacing w:val="0"/>
          <w:color w:val="auto"/>
          <w:position w:val="0"/>
          <w:sz w:val="18"/>
          <w:szCs w:val="18"/>
          <w:shd w:val="clear" w:color="auto" w:fill="auto"/>
          <w:rFonts w:ascii="바탕" w:eastAsia="바탕" w:hAnsi="바탕" w:cs="바탕"/>
        </w:rPr>
      </w:pPr>
    </w:p>
    <w:p>
      <w:pPr>
        <w:jc w:val="left"/>
        <w:spacing w:lineRule="auto" w:line="240" w:before="200" w:after="60"/>
        <w:ind w:left="0" w:right="0" w:firstLine="0"/>
        <w:rPr>
          <w:spacing w:val="0"/>
          <w:color w:val="auto"/>
          <w:position w:val="0"/>
          <w:sz w:val="18"/>
          <w:szCs w:val="18"/>
          <w:shd w:val="clear" w:color="auto" w:fill="auto"/>
          <w:rFonts w:ascii="바탕" w:eastAsia="바탕" w:hAnsi="바탕" w:cs="바탕"/>
        </w:rPr>
      </w:pPr>
      <w:r>
        <w:rPr>
          <w:spacing w:val="0"/>
          <w:b w:val="1"/>
          <w:color w:val="auto"/>
          <w:position w:val="0"/>
          <w:sz w:val="20"/>
          <w:szCs w:val="20"/>
          <w:shd w:val="clear" w:color="auto" w:fill="auto"/>
          <w:rFonts w:ascii="HY헤드라인M" w:eastAsia="HY헤드라인M" w:hAnsi="HY헤드라인M" w:cs="HY헤드라인M"/>
        </w:rPr>
        <w:t xml:space="preserve">참고 문헌</w:t>
      </w:r>
    </w:p>
    <w:p>
      <w:pPr>
        <w:jc w:val="both"/>
        <w:spacing w:lineRule="auto" w:line="240" w:before="30" w:after="30"/>
        <w:ind w:left="400" w:right="0" w:hanging="400"/>
        <w:rPr>
          <w:spacing w:val="0"/>
          <w:color w:val="auto"/>
          <w:position w:val="0"/>
          <w:sz w:val="16"/>
          <w:szCs w:val="16"/>
          <w:shd w:val="clear" w:color="auto" w:fill="auto"/>
          <w:rFonts w:ascii="바탕" w:eastAsia="바탕" w:hAnsi="바탕" w:cs="바탕"/>
        </w:rPr>
      </w:pPr>
      <w:r>
        <w:rPr>
          <w:spacing w:val="0"/>
          <w:color w:val="auto"/>
          <w:position w:val="0"/>
          <w:sz w:val="16"/>
          <w:szCs w:val="16"/>
          <w:shd w:val="clear" w:color="auto" w:fill="auto"/>
          <w:rFonts w:ascii="바탕" w:eastAsia="바탕" w:hAnsi="바탕" w:cs="바탕"/>
        </w:rPr>
        <w:t xml:space="preserve">[1] langchain-tutorial, </w:t>
      </w:r>
      <w:r>
        <w:fldChar w:fldCharType="begin"/>
      </w:r>
      <w:r>
        <w:instrText xml:space="preserve">HYPERLINK "https://github.com/langchain-kr/langchain-tutorial"</w:instrText>
      </w:r>
      <w:r>
        <w:fldChar w:fldCharType="separate"/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h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t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t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p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s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: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/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/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g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i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t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h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u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b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.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c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o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m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/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l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a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n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g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c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h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a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i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n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-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k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r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/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l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a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n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g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c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h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a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i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n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-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t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u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t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o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r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i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a</w:t>
      </w:r>
      <w:r>
        <w:rPr>
          <w:spacing w:val="0"/>
          <w:color w:val="0000FF"/>
          <w:position w:val="0"/>
          <w:sz w:val="16"/>
          <w:szCs w:val="16"/>
          <w:u w:val="single"/>
          <w:shd w:val="clear" w:color="auto" w:fill="auto"/>
          <w:rFonts w:ascii="바탕" w:eastAsia="바탕" w:hAnsi="바탕" w:cs="바탕"/>
        </w:rPr>
        <w:t>l</w:t>
      </w:r>
      <w:r>
        <w:rPr>
          <w:spacing w:val="0"/>
          <w:color w:val="auto"/>
          <w:position w:val="0"/>
          <w:sz w:val="16"/>
          <w:szCs w:val="16"/>
          <w:shd w:val="clear" w:color="auto" w:fill="auto"/>
          <w:rFonts w:ascii="바탕" w:eastAsia="바탕" w:hAnsi="바탕" w:cs="바탕"/>
        </w:rPr>
        <w:fldChar w:fldCharType="end"/>
      </w:r>
      <w:r>
        <w:rPr>
          <w:spacing w:val="0"/>
          <w:color w:val="auto"/>
          <w:position w:val="0"/>
          <w:sz w:val="16"/>
          <w:szCs w:val="16"/>
          <w:shd w:val="clear" w:color="auto" w:fill="auto"/>
          <w:rFonts w:ascii="바탕" w:eastAsia="바탕" w:hAnsi="바탕" w:cs="바탕"/>
        </w:rPr>
        <w:t xml:space="preserve">, 2025.</w:t>
      </w:r>
    </w:p>
    <w:sectPr>
      <w15:footnoteColumns w:val="1"/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ppssw0419</cp:lastModifiedBy>
  <cp:version>10.105.224.52366</cp:version>
</cp:coreProperties>
</file>