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A11EE">
      <w:pPr>
        <w:pStyle w:val="2"/>
        <w:spacing w:after="340" w:line="600" w:lineRule="auto"/>
        <w:rPr>
          <w:rFonts w:ascii="黑体" w:hAnsi="黑体" w:eastAsia="黑体" w:cs="Arial"/>
          <w:bCs w:val="0"/>
        </w:rPr>
      </w:pPr>
      <w:r>
        <w:rPr>
          <w:rFonts w:ascii="黑体" w:hAnsi="黑体" w:eastAsia="黑体" w:cs="Arial"/>
          <w:bCs w:val="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4775835</wp:posOffset>
            </wp:positionH>
            <wp:positionV relativeFrom="paragraph">
              <wp:posOffset>209550</wp:posOffset>
            </wp:positionV>
            <wp:extent cx="1333500" cy="1781175"/>
            <wp:effectExtent l="19050" t="0" r="0" b="0"/>
            <wp:wrapNone/>
            <wp:docPr id="130" name="图片 1" descr="\\Kxfs\Share\BD\GSP文档-20091201后\04宣传资料管理\09康信照片\康信人员照片-新\各部门人员照片\合伙人\吴琼\1V3A47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" descr="\\Kxfs\Share\BD\GSP文档-20091201后\04宣传资料管理\09康信照片\康信人员照片-新\各部门人员照片\合伙人\吴琼\1V3A478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9048" t="3439" r="25397" b="4709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Arial"/>
          <w:bCs w:val="0"/>
        </w:rPr>
        <w:t>吴 琼</w:t>
      </w:r>
      <w:r>
        <w:rPr>
          <w:rFonts w:ascii="黑体" w:hAnsi="黑体" w:eastAsia="黑体" w:cs="Arial"/>
        </w:rPr>
        <w:t xml:space="preserve">  </w:t>
      </w:r>
      <w:r>
        <w:rPr>
          <w:rFonts w:ascii="黑体" w:hAnsi="黑体" w:eastAsia="黑体" w:cs="Arial"/>
          <w:bCs w:val="0"/>
        </w:rPr>
        <w:t xml:space="preserve">                      </w:t>
      </w:r>
    </w:p>
    <w:p w14:paraId="002604AC">
      <w:pPr>
        <w:spacing w:line="360" w:lineRule="exact"/>
        <w:rPr>
          <w:rFonts w:ascii="黑体" w:hAnsi="黑体" w:eastAsia="黑体" w:cs="Arial"/>
          <w:b/>
          <w:color w:val="585858" w:themeColor="text1" w:themeTint="A6"/>
          <w:sz w:val="22"/>
          <w:szCs w:val="22"/>
        </w:rPr>
      </w:pPr>
      <w:r>
        <w:rPr>
          <w:rFonts w:ascii="黑体" w:hAnsi="黑体" w:eastAsia="黑体" w:cs="Arial"/>
          <w:b/>
          <w:color w:val="585858" w:themeColor="text1" w:themeTint="A6"/>
          <w:sz w:val="22"/>
          <w:szCs w:val="22"/>
        </w:rPr>
        <w:t>合伙人</w:t>
      </w:r>
    </w:p>
    <w:p w14:paraId="4EA06332">
      <w:pPr>
        <w:spacing w:line="360" w:lineRule="exact"/>
        <w:rPr>
          <w:rFonts w:ascii="黑体" w:hAnsi="黑体" w:eastAsia="黑体" w:cs="Arial"/>
          <w:b/>
          <w:color w:val="585858" w:themeColor="text1" w:themeTint="A6"/>
          <w:sz w:val="22"/>
          <w:szCs w:val="22"/>
        </w:rPr>
      </w:pPr>
      <w:r>
        <w:rPr>
          <w:rFonts w:ascii="黑体" w:hAnsi="黑体" w:eastAsia="黑体" w:cs="Arial"/>
          <w:b/>
          <w:color w:val="585858" w:themeColor="text1" w:themeTint="A6"/>
          <w:sz w:val="22"/>
          <w:szCs w:val="22"/>
        </w:rPr>
        <w:t>执业律师</w:t>
      </w:r>
    </w:p>
    <w:p w14:paraId="0DBE7EFB">
      <w:pPr>
        <w:spacing w:line="360" w:lineRule="exact"/>
        <w:rPr>
          <w:rFonts w:ascii="黑体" w:hAnsi="黑体" w:eastAsia="黑体" w:cs="Arial"/>
          <w:szCs w:val="21"/>
        </w:rPr>
      </w:pPr>
      <w:r>
        <w:rPr>
          <w:rFonts w:hint="eastAsia" w:ascii="黑体" w:hAnsi="黑体" w:eastAsia="黑体" w:cs="Arial"/>
          <w:b/>
          <w:color w:val="585858" w:themeColor="text1" w:themeTint="A6"/>
          <w:sz w:val="22"/>
          <w:szCs w:val="22"/>
        </w:rPr>
        <w:t>商标代理人</w:t>
      </w:r>
    </w:p>
    <w:p w14:paraId="3BB23B89">
      <w:pPr>
        <w:spacing w:before="180" w:line="440" w:lineRule="exact"/>
        <w:ind w:firstLine="482"/>
        <w:rPr>
          <w:rFonts w:ascii="黑体" w:hAnsi="黑体" w:eastAsia="黑体"/>
          <w:color w:val="113E97"/>
          <w:sz w:val="24"/>
        </w:rPr>
      </w:pPr>
      <w:r>
        <w:rPr>
          <w:rFonts w:ascii="黑体" w:hAnsi="黑体" w:eastAsia="黑体"/>
          <w:color w:val="113E97"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158115</wp:posOffset>
            </wp:positionV>
            <wp:extent cx="257175" cy="257175"/>
            <wp:effectExtent l="19050" t="0" r="9525" b="0"/>
            <wp:wrapNone/>
            <wp:docPr id="131" name="图片 13" descr="Macintosh HD:Users:divace:Desktop:图标(2):业务专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" descr="Macintosh HD:Users:divace:Desktop:图标(2):业务专长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color w:val="113E97"/>
          <w:sz w:val="24"/>
        </w:rPr>
        <w:t>业务专长</w:t>
      </w:r>
    </w:p>
    <w:p w14:paraId="0B90A735">
      <w:pPr>
        <w:spacing w:before="180" w:line="440" w:lineRule="exact"/>
        <w:rPr>
          <w:rFonts w:ascii="黑体" w:hAnsi="黑体" w:eastAsia="黑体" w:cs="Arial"/>
          <w:szCs w:val="21"/>
        </w:rPr>
      </w:pPr>
      <w:r>
        <w:rPr>
          <w:rFonts w:ascii="黑体" w:hAnsi="黑体" w:eastAsia="黑体" w:cs="Arial"/>
          <w:szCs w:val="21"/>
        </w:rPr>
        <w:t>知识产权争议解决、知识产权诉讼、知识产权转让/许可、国际技术转移</w:t>
      </w:r>
    </w:p>
    <w:p w14:paraId="59C388DB">
      <w:pPr>
        <w:spacing w:before="180" w:line="440" w:lineRule="exact"/>
        <w:ind w:firstLine="482"/>
        <w:rPr>
          <w:rFonts w:ascii="黑体" w:hAnsi="黑体" w:eastAsia="黑体" w:cs="Arial"/>
          <w:color w:val="A01924"/>
          <w:sz w:val="24"/>
        </w:rPr>
      </w:pPr>
      <w:r>
        <w:rPr>
          <w:rFonts w:ascii="黑体" w:hAnsi="黑体" w:eastAsia="黑体"/>
          <w:color w:val="113E97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161290</wp:posOffset>
            </wp:positionV>
            <wp:extent cx="257175" cy="257175"/>
            <wp:effectExtent l="19050" t="0" r="9525" b="0"/>
            <wp:wrapNone/>
            <wp:docPr id="132" name="图片 9" descr="Macintosh HD:Users:divace:Desktop:图标(2):个人简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9" descr="Macintosh HD:Users:divace:Desktop:图标(2):个人简介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color w:val="113E97"/>
          <w:sz w:val="24"/>
        </w:rPr>
        <w:t>个人简介</w:t>
      </w:r>
      <w:r>
        <w:rPr>
          <w:rFonts w:hint="eastAsia" w:ascii="黑体" w:hAnsi="黑体" w:eastAsia="黑体" w:cs="Arial"/>
          <w:color w:val="A01924"/>
          <w:sz w:val="24"/>
        </w:rPr>
        <w:t xml:space="preserve"> </w:t>
      </w:r>
    </w:p>
    <w:p w14:paraId="63A3D28C">
      <w:pPr>
        <w:spacing w:before="180" w:line="440" w:lineRule="exact"/>
        <w:rPr>
          <w:rFonts w:ascii="黑体" w:hAnsi="黑体" w:eastAsia="黑体" w:cs="Arial"/>
          <w:szCs w:val="21"/>
        </w:rPr>
      </w:pPr>
      <w:r>
        <w:rPr>
          <w:rFonts w:ascii="黑体" w:hAnsi="黑体" w:eastAsia="黑体" w:cs="Arial"/>
          <w:szCs w:val="21"/>
        </w:rPr>
        <w:t>吴琼</w:t>
      </w:r>
      <w:r>
        <w:rPr>
          <w:rFonts w:hint="eastAsia" w:ascii="黑体" w:hAnsi="黑体" w:eastAsia="黑体" w:cs="Arial"/>
          <w:szCs w:val="21"/>
          <w:lang w:val="en-US" w:eastAsia="zh-CN"/>
        </w:rPr>
        <w:t>律师</w:t>
      </w:r>
      <w:r>
        <w:rPr>
          <w:rFonts w:hint="eastAsia" w:ascii="黑体" w:hAnsi="黑体" w:eastAsia="黑体" w:cs="Arial"/>
          <w:szCs w:val="21"/>
        </w:rPr>
        <w:t>为合伙人、执业律师、商标代理人，</w:t>
      </w:r>
      <w:r>
        <w:rPr>
          <w:rFonts w:ascii="黑体" w:hAnsi="黑体" w:eastAsia="黑体" w:cs="Arial"/>
          <w:szCs w:val="21"/>
        </w:rPr>
        <w:t>先后获得北京外国语大学法学学士学位及西北大学-香港科技大学（Kellogg-HKUST）高级管理人员工商管理硕士（EMBA）学位。</w:t>
      </w:r>
    </w:p>
    <w:p w14:paraId="37EC0969">
      <w:pPr>
        <w:spacing w:before="180" w:line="440" w:lineRule="exact"/>
        <w:rPr>
          <w:rFonts w:ascii="黑体" w:hAnsi="黑体" w:eastAsia="黑体" w:cs="Arial"/>
          <w:szCs w:val="21"/>
        </w:rPr>
      </w:pPr>
      <w:r>
        <w:rPr>
          <w:rFonts w:ascii="黑体" w:hAnsi="黑体" w:eastAsia="黑体" w:cs="Arial"/>
          <w:szCs w:val="21"/>
        </w:rPr>
        <w:t>自2005年深耕知识产权领域至今，吴律师在确权争议、侵权诉讼、不正当竞争及跨国并购中的IP法律实务方面积累了深厚的实战经验。她不仅为</w:t>
      </w:r>
      <w:r>
        <w:rPr>
          <w:rFonts w:hint="eastAsia" w:ascii="黑体" w:hAnsi="黑体" w:eastAsia="黑体" w:cs="Arial"/>
          <w:szCs w:val="21"/>
          <w:lang w:val="en-US" w:eastAsia="zh-CN"/>
        </w:rPr>
        <w:t>各国</w:t>
      </w:r>
      <w:r>
        <w:rPr>
          <w:rFonts w:ascii="黑体" w:hAnsi="黑体" w:eastAsia="黑体" w:cs="Arial"/>
          <w:szCs w:val="21"/>
        </w:rPr>
        <w:t>企业、高校及科研机构提供国际技术转移的战略咨询，更在前瞻性地推动企业品牌战略及IP管理体系的数字化与智能化转型。</w:t>
      </w:r>
    </w:p>
    <w:p w14:paraId="49FAFE4B">
      <w:pPr>
        <w:spacing w:before="180" w:line="440" w:lineRule="exact"/>
        <w:rPr>
          <w:rFonts w:hint="eastAsia" w:ascii="黑体" w:hAnsi="黑体" w:eastAsia="黑体" w:cs="Arial"/>
          <w:color w:val="000000"/>
          <w:sz w:val="20"/>
          <w:szCs w:val="20"/>
        </w:rPr>
      </w:pPr>
      <w:r>
        <w:rPr>
          <w:rFonts w:ascii="黑体" w:hAnsi="黑体" w:eastAsia="黑体" w:cs="Arial"/>
          <w:szCs w:val="21"/>
        </w:rPr>
        <w:t>凭借卓越的国际声誉，吴律师多次受邀在INTA、FICPI等顶级国际会议发表主旨演讲。她连续多年蝉联Chambers、Asialaw、WTR、MIP及Global Law Experts等权威评级机构的“杰出律师”榜单。2023年，吴律师深度参与了中华商标协会《企业商标管理职业能力评价标准》及《培养大纲》的编制，为行业标准化建设贡献了核心专家意见。</w:t>
      </w:r>
      <w:bookmarkStart w:id="0" w:name="_GoBack"/>
      <w:bookmarkEnd w:id="0"/>
    </w:p>
    <w:p w14:paraId="4BF70442">
      <w:pPr>
        <w:spacing w:before="180" w:line="440" w:lineRule="exact"/>
        <w:ind w:firstLine="482"/>
        <w:rPr>
          <w:rFonts w:ascii="黑体" w:hAnsi="黑体" w:eastAsia="黑体"/>
          <w:color w:val="113E97"/>
          <w:sz w:val="24"/>
        </w:rPr>
      </w:pPr>
      <w:r>
        <w:rPr>
          <w:rFonts w:ascii="黑体" w:hAnsi="黑体" w:eastAsia="黑体"/>
          <w:color w:val="113E97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158115</wp:posOffset>
            </wp:positionV>
            <wp:extent cx="257175" cy="257175"/>
            <wp:effectExtent l="19050" t="0" r="9525" b="0"/>
            <wp:wrapNone/>
            <wp:docPr id="133" name="图片 12" descr="Macintosh HD:Users:divace:Desktop:图标(2):教育及从业经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2" descr="Macintosh HD:Users:divace:Desktop:图标(2):教育及从业经历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color w:val="113E97"/>
          <w:sz w:val="24"/>
        </w:rPr>
        <w:t>教育及从业经历</w:t>
      </w:r>
    </w:p>
    <w:p w14:paraId="6463D67A">
      <w:pPr>
        <w:spacing w:line="440" w:lineRule="exact"/>
        <w:rPr>
          <w:rFonts w:ascii="黑体" w:hAnsi="黑体" w:eastAsia="黑体" w:cs="Arial"/>
          <w:szCs w:val="21"/>
        </w:rPr>
      </w:pPr>
      <w:r>
        <w:rPr>
          <w:rFonts w:ascii="黑体" w:hAnsi="黑体" w:eastAsia="黑体" w:cs="Arial"/>
          <w:szCs w:val="21"/>
        </w:rPr>
        <w:t>2005年</w:t>
      </w:r>
      <w:r>
        <w:rPr>
          <w:rFonts w:ascii="黑体" w:hAnsi="黑体" w:eastAsia="黑体" w:cs="Arial"/>
          <w:szCs w:val="21"/>
        </w:rPr>
        <w:tab/>
      </w:r>
      <w:r>
        <w:rPr>
          <w:rFonts w:hint="eastAsia" w:ascii="黑体" w:hAnsi="黑体" w:eastAsia="黑体" w:cs="Arial"/>
          <w:szCs w:val="21"/>
        </w:rPr>
        <w:t xml:space="preserve">  </w:t>
      </w:r>
      <w:r>
        <w:rPr>
          <w:rFonts w:ascii="黑体" w:hAnsi="黑体" w:eastAsia="黑体" w:cs="Arial"/>
          <w:szCs w:val="21"/>
        </w:rPr>
        <w:t>毕业于北京外国语大学法学院，获得法学学士学位</w:t>
      </w:r>
    </w:p>
    <w:p w14:paraId="161E6A58">
      <w:pPr>
        <w:spacing w:line="440" w:lineRule="exact"/>
        <w:rPr>
          <w:rFonts w:ascii="黑体" w:hAnsi="黑体" w:eastAsia="黑体" w:cs="Arial"/>
          <w:szCs w:val="21"/>
        </w:rPr>
      </w:pPr>
      <w:r>
        <w:rPr>
          <w:rFonts w:ascii="黑体" w:hAnsi="黑体" w:eastAsia="黑体" w:cs="Arial"/>
          <w:szCs w:val="21"/>
        </w:rPr>
        <w:t>2005年</w:t>
      </w:r>
      <w:r>
        <w:rPr>
          <w:rFonts w:ascii="黑体" w:hAnsi="黑体" w:eastAsia="黑体" w:cs="Arial"/>
          <w:szCs w:val="21"/>
        </w:rPr>
        <w:tab/>
      </w:r>
      <w:r>
        <w:rPr>
          <w:rFonts w:hint="eastAsia" w:ascii="黑体" w:hAnsi="黑体" w:eastAsia="黑体" w:cs="Arial"/>
          <w:szCs w:val="21"/>
        </w:rPr>
        <w:t xml:space="preserve">  </w:t>
      </w:r>
      <w:r>
        <w:rPr>
          <w:rFonts w:ascii="黑体" w:hAnsi="黑体" w:eastAsia="黑体" w:cs="Arial"/>
          <w:szCs w:val="21"/>
        </w:rPr>
        <w:t>接受美国迪堡法学院国际金融法和知识产权法律方面的培训</w:t>
      </w:r>
    </w:p>
    <w:p w14:paraId="49181FE1">
      <w:pPr>
        <w:spacing w:line="440" w:lineRule="exact"/>
        <w:rPr>
          <w:rFonts w:ascii="黑体" w:hAnsi="黑体" w:eastAsia="黑体" w:cs="Arial"/>
          <w:szCs w:val="21"/>
        </w:rPr>
      </w:pPr>
      <w:r>
        <w:rPr>
          <w:rFonts w:ascii="黑体" w:hAnsi="黑体" w:eastAsia="黑体" w:cs="Arial"/>
          <w:szCs w:val="21"/>
        </w:rPr>
        <w:t>2005年</w:t>
      </w:r>
      <w:r>
        <w:rPr>
          <w:rFonts w:ascii="黑体" w:hAnsi="黑体" w:eastAsia="黑体" w:cs="Arial"/>
          <w:szCs w:val="21"/>
        </w:rPr>
        <w:tab/>
      </w:r>
      <w:r>
        <w:rPr>
          <w:rFonts w:hint="eastAsia" w:ascii="黑体" w:hAnsi="黑体" w:eastAsia="黑体" w:cs="Arial"/>
          <w:szCs w:val="21"/>
        </w:rPr>
        <w:t xml:space="preserve">  </w:t>
      </w:r>
      <w:r>
        <w:rPr>
          <w:rFonts w:ascii="黑体" w:hAnsi="黑体" w:eastAsia="黑体" w:cs="Arial"/>
          <w:szCs w:val="21"/>
        </w:rPr>
        <w:t>加入北京康信知识产权代理有限责任公司</w:t>
      </w:r>
    </w:p>
    <w:p w14:paraId="018D8D75">
      <w:pPr>
        <w:spacing w:line="440" w:lineRule="exact"/>
        <w:rPr>
          <w:rFonts w:ascii="黑体" w:hAnsi="黑体" w:eastAsia="黑体" w:cs="Arial"/>
          <w:szCs w:val="21"/>
        </w:rPr>
      </w:pPr>
      <w:r>
        <w:rPr>
          <w:rFonts w:ascii="黑体" w:hAnsi="黑体" w:eastAsia="黑体" w:cs="Arial"/>
          <w:szCs w:val="21"/>
        </w:rPr>
        <w:t>2014年</w:t>
      </w:r>
      <w:r>
        <w:rPr>
          <w:rFonts w:ascii="黑体" w:hAnsi="黑体" w:eastAsia="黑体" w:cs="Arial"/>
          <w:szCs w:val="21"/>
        </w:rPr>
        <w:tab/>
      </w:r>
      <w:r>
        <w:rPr>
          <w:rFonts w:hint="eastAsia" w:ascii="黑体" w:hAnsi="黑体" w:eastAsia="黑体" w:cs="Arial"/>
          <w:szCs w:val="21"/>
        </w:rPr>
        <w:t xml:space="preserve">  </w:t>
      </w:r>
      <w:r>
        <w:rPr>
          <w:rFonts w:ascii="黑体" w:hAnsi="黑体" w:eastAsia="黑体" w:cs="Arial"/>
          <w:szCs w:val="21"/>
        </w:rPr>
        <w:t>获美国项目管理协会PMP认证</w:t>
      </w:r>
    </w:p>
    <w:p w14:paraId="51A52804">
      <w:pPr>
        <w:spacing w:line="440" w:lineRule="exact"/>
        <w:rPr>
          <w:rFonts w:ascii="黑体" w:hAnsi="黑体" w:eastAsia="黑体" w:cs="Arial"/>
          <w:szCs w:val="21"/>
        </w:rPr>
      </w:pPr>
      <w:r>
        <w:rPr>
          <w:rFonts w:ascii="黑体" w:hAnsi="黑体" w:eastAsia="黑体" w:cs="Arial"/>
          <w:szCs w:val="21"/>
        </w:rPr>
        <w:t>2015年</w:t>
      </w:r>
      <w:r>
        <w:rPr>
          <w:rFonts w:ascii="黑体" w:hAnsi="黑体" w:eastAsia="黑体" w:cs="Arial"/>
          <w:szCs w:val="21"/>
        </w:rPr>
        <w:tab/>
      </w:r>
      <w:r>
        <w:rPr>
          <w:rFonts w:hint="eastAsia" w:ascii="黑体" w:hAnsi="黑体" w:eastAsia="黑体" w:cs="Arial"/>
          <w:szCs w:val="21"/>
        </w:rPr>
        <w:t xml:space="preserve">  </w:t>
      </w:r>
      <w:r>
        <w:rPr>
          <w:rFonts w:ascii="黑体" w:hAnsi="黑体" w:eastAsia="黑体" w:cs="Arial"/>
          <w:szCs w:val="21"/>
        </w:rPr>
        <w:t>加入北京康瑞律师事务所</w:t>
      </w:r>
    </w:p>
    <w:p w14:paraId="3512CB32">
      <w:pPr>
        <w:spacing w:line="440" w:lineRule="exact"/>
        <w:rPr>
          <w:rFonts w:ascii="黑体" w:hAnsi="黑体" w:eastAsia="黑体" w:cs="Arial"/>
          <w:szCs w:val="21"/>
        </w:rPr>
      </w:pPr>
      <w:r>
        <w:rPr>
          <w:rFonts w:hint="eastAsia" w:ascii="黑体" w:hAnsi="黑体" w:eastAsia="黑体" w:cs="Arial"/>
          <w:szCs w:val="21"/>
        </w:rPr>
        <w:t>2023年   毕业于美国西北大学-香港科技大学（Kellogg-HKUST) ，获得高级管理人员工商管理硕士学位</w:t>
      </w:r>
    </w:p>
    <w:p w14:paraId="41B1C072">
      <w:pPr>
        <w:spacing w:before="180" w:line="440" w:lineRule="exact"/>
        <w:ind w:firstLine="482"/>
        <w:rPr>
          <w:rFonts w:ascii="黑体" w:hAnsi="黑体" w:eastAsia="黑体"/>
          <w:color w:val="113E97"/>
          <w:sz w:val="24"/>
        </w:rPr>
      </w:pPr>
      <w:r>
        <w:rPr>
          <w:rFonts w:ascii="黑体" w:hAnsi="黑体" w:eastAsia="黑体"/>
          <w:color w:val="113E97"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158115</wp:posOffset>
            </wp:positionV>
            <wp:extent cx="257175" cy="257175"/>
            <wp:effectExtent l="19050" t="0" r="9525" b="0"/>
            <wp:wrapNone/>
            <wp:docPr id="134" name="图片 14" descr="Macintosh HD:Users:divace:Desktop:图标(2):现任社会职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4" descr="Macintosh HD:Users:divace:Desktop:图标(2):现任社会职务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color w:val="113E97"/>
          <w:sz w:val="24"/>
        </w:rPr>
        <w:t>现任社会职务</w:t>
      </w:r>
    </w:p>
    <w:p w14:paraId="350BC7B0">
      <w:pPr>
        <w:spacing w:line="440" w:lineRule="exact"/>
        <w:rPr>
          <w:rFonts w:ascii="黑体" w:hAnsi="黑体" w:eastAsia="黑体" w:cs="Arial"/>
          <w:szCs w:val="21"/>
        </w:rPr>
      </w:pPr>
      <w:r>
        <w:rPr>
          <w:rFonts w:ascii="黑体" w:hAnsi="黑体" w:eastAsia="黑体" w:cs="Arial"/>
          <w:szCs w:val="21"/>
        </w:rPr>
        <w:t>国际知识产权律师联合会（FICPI） 会员</w:t>
      </w:r>
    </w:p>
    <w:p w14:paraId="6D5BE786">
      <w:pPr>
        <w:spacing w:line="440" w:lineRule="exact"/>
        <w:rPr>
          <w:rFonts w:ascii="黑体" w:hAnsi="黑体" w:eastAsia="黑体" w:cs="Arial"/>
          <w:szCs w:val="21"/>
        </w:rPr>
      </w:pPr>
      <w:r>
        <w:rPr>
          <w:rFonts w:ascii="黑体" w:hAnsi="黑体" w:eastAsia="黑体" w:cs="Arial"/>
          <w:szCs w:val="21"/>
        </w:rPr>
        <w:t>国际商标协会（INTA） 会员</w:t>
      </w:r>
    </w:p>
    <w:p w14:paraId="67FCB9AC">
      <w:pPr>
        <w:spacing w:line="440" w:lineRule="exact"/>
        <w:rPr>
          <w:rFonts w:ascii="黑体" w:hAnsi="黑体" w:eastAsia="黑体" w:cs="Arial"/>
          <w:color w:val="000000"/>
          <w:kern w:val="0"/>
          <w:szCs w:val="21"/>
        </w:rPr>
      </w:pPr>
      <w:r>
        <w:rPr>
          <w:rFonts w:ascii="黑体" w:hAnsi="黑体" w:eastAsia="黑体" w:cs="Arial"/>
          <w:color w:val="000000"/>
          <w:kern w:val="0"/>
          <w:szCs w:val="21"/>
        </w:rPr>
        <w:t>全国知识产权分析评议联盟专家顾问委员会 专家</w:t>
      </w:r>
    </w:p>
    <w:p w14:paraId="0704C6A7">
      <w:pPr>
        <w:spacing w:line="440" w:lineRule="exact"/>
        <w:rPr>
          <w:rFonts w:ascii="黑体" w:hAnsi="黑体" w:eastAsia="黑体" w:cs="Arial"/>
          <w:bCs/>
        </w:rPr>
      </w:pPr>
      <w:r>
        <w:rPr>
          <w:rFonts w:hint="eastAsia" w:ascii="黑体" w:hAnsi="黑体" w:eastAsia="黑体" w:cs="Arial"/>
          <w:bCs/>
        </w:rPr>
        <w:t>北京市专利代理师协会知识产权保护服务专家（培训类）</w:t>
      </w:r>
    </w:p>
    <w:p w14:paraId="301B7CAA">
      <w:pPr>
        <w:spacing w:line="440" w:lineRule="exact"/>
        <w:rPr>
          <w:rFonts w:ascii="黑体" w:hAnsi="黑体" w:eastAsia="黑体"/>
          <w:bCs/>
          <w:iCs/>
          <w:color w:val="000000"/>
          <w:szCs w:val="21"/>
        </w:rPr>
      </w:pPr>
      <w:r>
        <w:rPr>
          <w:rFonts w:hint="eastAsia" w:ascii="黑体" w:hAnsi="黑体" w:eastAsia="黑体"/>
          <w:bCs/>
          <w:iCs/>
          <w:color w:val="000000"/>
          <w:szCs w:val="21"/>
        </w:rPr>
        <w:t>中华商标协会商标人才库特级顾问</w:t>
      </w:r>
    </w:p>
    <w:p w14:paraId="219D61E2">
      <w:pPr>
        <w:spacing w:before="180" w:line="440" w:lineRule="exact"/>
        <w:ind w:firstLine="482"/>
        <w:rPr>
          <w:rFonts w:ascii="黑体" w:hAnsi="黑体" w:eastAsia="黑体"/>
          <w:color w:val="113E97"/>
          <w:sz w:val="24"/>
        </w:rPr>
      </w:pPr>
      <w:r>
        <w:rPr>
          <w:rFonts w:ascii="黑体" w:hAnsi="黑体" w:eastAsia="黑体"/>
          <w:color w:val="113E97"/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-24765</wp:posOffset>
            </wp:positionH>
            <wp:positionV relativeFrom="paragraph">
              <wp:posOffset>161925</wp:posOffset>
            </wp:positionV>
            <wp:extent cx="257175" cy="257175"/>
            <wp:effectExtent l="19050" t="0" r="9525" b="0"/>
            <wp:wrapNone/>
            <wp:docPr id="136" name="图片 9" descr="Macintosh HD:Users:divace:Desktop:图标(2):个人简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9" descr="Macintosh HD:Users:divace:Desktop:图标(2):个人简介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color w:val="113E97"/>
          <w:sz w:val="24"/>
        </w:rPr>
        <w:t>发表文章</w:t>
      </w:r>
    </w:p>
    <w:p w14:paraId="129DEB3F">
      <w:pPr>
        <w:spacing w:line="440" w:lineRule="exact"/>
        <w:rPr>
          <w:rFonts w:hint="eastAsia" w:ascii="黑体" w:hAnsi="黑体" w:eastAsia="黑体" w:cs="Arial"/>
          <w:bCs/>
          <w:szCs w:val="21"/>
        </w:rPr>
      </w:pPr>
      <w:r>
        <w:rPr>
          <w:rFonts w:hint="eastAsia" w:ascii="黑体" w:hAnsi="黑体" w:eastAsia="黑体" w:cs="Arial"/>
          <w:bCs/>
          <w:szCs w:val="21"/>
        </w:rPr>
        <w:t>《关于驰名商标制度的改进建议》，《中华商标》，2025.4</w:t>
      </w:r>
    </w:p>
    <w:p w14:paraId="522C4F65">
      <w:pPr>
        <w:spacing w:line="440" w:lineRule="exact"/>
        <w:rPr>
          <w:rFonts w:hint="eastAsia" w:ascii="黑体" w:hAnsi="黑体" w:eastAsia="黑体" w:cs="Arial"/>
          <w:bCs/>
          <w:szCs w:val="21"/>
        </w:rPr>
      </w:pPr>
      <w:r>
        <w:rPr>
          <w:rFonts w:hint="eastAsia" w:ascii="黑体" w:hAnsi="黑体" w:eastAsia="黑体" w:cs="Arial"/>
          <w:bCs/>
          <w:szCs w:val="21"/>
        </w:rPr>
        <w:t>《企业商标管理指南》，IPR Daily中文网，2024.11</w:t>
      </w:r>
    </w:p>
    <w:p w14:paraId="68350255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AI tech used in trade mark search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i/>
          <w:szCs w:val="21"/>
        </w:rPr>
        <w:t>FICPI blog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2020.2</w:t>
      </w:r>
    </w:p>
    <w:p w14:paraId="4B86FE72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《各国关于恶意抢注商标的法律应用比较》，《中国知识产权》杂志，2017.2</w:t>
      </w:r>
    </w:p>
    <w:p w14:paraId="5D168191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The importance of the element of bad faith in international trade mark law and its relevance under the new Chinese trade mark law provisions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i/>
          <w:szCs w:val="21"/>
        </w:rPr>
        <w:t>Oxford University Press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2017</w:t>
      </w:r>
    </w:p>
    <w:p w14:paraId="66F7C650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Myth of Evidence in TM cases in China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i/>
          <w:szCs w:val="21"/>
        </w:rPr>
        <w:t>World Trademark Review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2016</w:t>
      </w:r>
    </w:p>
    <w:p w14:paraId="76C15401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Trademark Registration and Prosecution Strategies in China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i/>
          <w:szCs w:val="21"/>
        </w:rPr>
        <w:t>World Trademark Review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2015</w:t>
      </w:r>
    </w:p>
    <w:p w14:paraId="2A463409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When Trademark Battle seems Over</w:t>
      </w:r>
      <w:r>
        <w:rPr>
          <w:rFonts w:hint="eastAsia" w:ascii="黑体" w:hAnsi="黑体" w:eastAsia="黑体" w:cs="Arial"/>
          <w:bCs/>
          <w:szCs w:val="21"/>
        </w:rPr>
        <w:t>,</w:t>
      </w:r>
      <w:r>
        <w:rPr>
          <w:rFonts w:hint="eastAsia" w:ascii="黑体" w:hAnsi="黑体" w:eastAsia="黑体" w:cs="Arial"/>
          <w:bCs/>
          <w:i/>
          <w:szCs w:val="21"/>
        </w:rPr>
        <w:t xml:space="preserve"> </w:t>
      </w:r>
      <w:r>
        <w:rPr>
          <w:rFonts w:ascii="黑体" w:hAnsi="黑体" w:eastAsia="黑体" w:cs="Arial"/>
          <w:bCs/>
          <w:i/>
          <w:szCs w:val="21"/>
        </w:rPr>
        <w:t>World Trademark Review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2014</w:t>
      </w:r>
    </w:p>
    <w:p w14:paraId="4F1972D4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China Chapter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i/>
          <w:szCs w:val="21"/>
        </w:rPr>
        <w:t>International Pharmaceutical Law and Practice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2014</w:t>
      </w:r>
    </w:p>
    <w:p w14:paraId="40740ED1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Pharmaceutical Trademarks</w:t>
      </w:r>
      <w:r>
        <w:rPr>
          <w:rFonts w:hint="eastAsia" w:ascii="黑体" w:hAnsi="黑体" w:eastAsia="黑体" w:cs="Arial"/>
          <w:bCs/>
          <w:szCs w:val="21"/>
        </w:rPr>
        <w:t>,</w:t>
      </w:r>
      <w:r>
        <w:rPr>
          <w:rFonts w:hint="eastAsia" w:ascii="黑体" w:hAnsi="黑体" w:eastAsia="黑体" w:cs="Arial"/>
          <w:bCs/>
          <w:i/>
          <w:szCs w:val="21"/>
        </w:rPr>
        <w:t xml:space="preserve"> </w:t>
      </w:r>
      <w:r>
        <w:rPr>
          <w:rFonts w:ascii="黑体" w:hAnsi="黑体" w:eastAsia="黑体" w:cs="Arial"/>
          <w:bCs/>
          <w:i/>
          <w:szCs w:val="21"/>
        </w:rPr>
        <w:t>World Trademark Review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2013</w:t>
      </w:r>
    </w:p>
    <w:p w14:paraId="53C24E7B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Copyright Dispute between Apple and Chinese Authors</w:t>
      </w:r>
      <w:r>
        <w:rPr>
          <w:rFonts w:hint="eastAsia" w:ascii="黑体" w:hAnsi="黑体" w:eastAsia="黑体" w:cs="Arial"/>
          <w:bCs/>
          <w:szCs w:val="21"/>
        </w:rPr>
        <w:t>,</w:t>
      </w:r>
      <w:r>
        <w:rPr>
          <w:rFonts w:hint="eastAsia" w:ascii="黑体" w:hAnsi="黑体" w:eastAsia="黑体" w:cs="Arial"/>
          <w:bCs/>
          <w:i/>
          <w:szCs w:val="21"/>
        </w:rPr>
        <w:t xml:space="preserve"> </w:t>
      </w:r>
      <w:r>
        <w:rPr>
          <w:rFonts w:ascii="黑体" w:hAnsi="黑体" w:eastAsia="黑体" w:cs="Arial"/>
          <w:bCs/>
          <w:i/>
          <w:szCs w:val="21"/>
        </w:rPr>
        <w:t>E-commerce Law Report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2013</w:t>
      </w:r>
    </w:p>
    <w:p w14:paraId="0097F821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Trademark Registration and Prosecution Strategies in China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i/>
          <w:szCs w:val="21"/>
        </w:rPr>
        <w:t>World Trademark Review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2013</w:t>
      </w:r>
    </w:p>
    <w:p w14:paraId="03CFBF4C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Protection of unregistered trademarks and other commercial signs2012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i/>
          <w:szCs w:val="21"/>
        </w:rPr>
        <w:t>World Trademark Review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2012</w:t>
      </w:r>
    </w:p>
    <w:p w14:paraId="3B24C91C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Making the right choice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i/>
          <w:szCs w:val="21"/>
        </w:rPr>
        <w:t>World Trademark Review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2012</w:t>
      </w:r>
    </w:p>
    <w:p w14:paraId="3C486342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Making the most of available protection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i/>
          <w:szCs w:val="21"/>
        </w:rPr>
        <w:t>World Trademark Review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2012</w:t>
      </w:r>
    </w:p>
    <w:p w14:paraId="1377B1C0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Preparing for change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i/>
          <w:szCs w:val="21"/>
        </w:rPr>
        <w:t>World Trademark Review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2012</w:t>
      </w:r>
    </w:p>
    <w:p w14:paraId="1E08A735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Laws in place, more to come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i/>
          <w:szCs w:val="21"/>
        </w:rPr>
        <w:t>World Trademark Review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2012</w:t>
      </w:r>
    </w:p>
    <w:p w14:paraId="0288B415">
      <w:pPr>
        <w:spacing w:line="440" w:lineRule="exact"/>
        <w:rPr>
          <w:rFonts w:ascii="黑体" w:hAnsi="黑体" w:eastAsia="黑体" w:cs="Arial"/>
          <w:bCs/>
          <w:szCs w:val="21"/>
        </w:rPr>
      </w:pPr>
      <w:r>
        <w:rPr>
          <w:rFonts w:ascii="黑体" w:hAnsi="黑体" w:eastAsia="黑体" w:cs="Arial"/>
          <w:bCs/>
          <w:szCs w:val="21"/>
        </w:rPr>
        <w:t>Anti- counterfeiting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i/>
          <w:szCs w:val="21"/>
        </w:rPr>
        <w:t>Anti- counterfeiting Guide 2012</w:t>
      </w:r>
      <w:r>
        <w:rPr>
          <w:rFonts w:hint="eastAsia" w:ascii="黑体" w:hAnsi="黑体" w:eastAsia="黑体" w:cs="Arial"/>
          <w:bCs/>
          <w:szCs w:val="21"/>
        </w:rPr>
        <w:t xml:space="preserve">, </w:t>
      </w:r>
      <w:r>
        <w:rPr>
          <w:rFonts w:ascii="黑体" w:hAnsi="黑体" w:eastAsia="黑体" w:cs="Arial"/>
          <w:bCs/>
          <w:szCs w:val="21"/>
        </w:rPr>
        <w:t>2012</w:t>
      </w:r>
    </w:p>
    <w:p w14:paraId="2D217BCA">
      <w:pPr>
        <w:spacing w:before="180" w:line="440" w:lineRule="exact"/>
        <w:ind w:firstLine="482"/>
        <w:rPr>
          <w:rFonts w:ascii="黑体" w:hAnsi="黑体" w:eastAsia="黑体"/>
          <w:color w:val="113E97"/>
          <w:sz w:val="24"/>
        </w:rPr>
      </w:pPr>
      <w:r>
        <w:rPr>
          <w:rFonts w:ascii="黑体" w:hAnsi="黑体" w:eastAsia="黑体" w:cs="Arial"/>
          <w:color w:val="000000"/>
          <w:sz w:val="22"/>
          <w:szCs w:val="2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120650</wp:posOffset>
            </wp:positionV>
            <wp:extent cx="257175" cy="257175"/>
            <wp:effectExtent l="19050" t="0" r="9525" b="0"/>
            <wp:wrapNone/>
            <wp:docPr id="1" name="图片 10" descr="Macintosh HD:Users:divace:Desktop:图标(2):个人荣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 descr="Macintosh HD:Users:divace:Desktop:图标(2):个人荣誉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color w:val="113E97"/>
          <w:sz w:val="24"/>
        </w:rPr>
        <w:t>个人荣誉</w:t>
      </w:r>
    </w:p>
    <w:p w14:paraId="63D1CB5E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</w:t>
      </w:r>
      <w:r>
        <w:rPr>
          <w:rFonts w:ascii="黑体" w:hAnsi="黑体" w:eastAsia="黑体"/>
          <w:szCs w:val="21"/>
        </w:rPr>
        <w:t>025</w:t>
      </w:r>
      <w:r>
        <w:rPr>
          <w:rFonts w:hint="eastAsia" w:ascii="黑体" w:hAnsi="黑体" w:eastAsia="黑体"/>
          <w:szCs w:val="21"/>
        </w:rPr>
        <w:t>年被</w:t>
      </w:r>
      <w:r>
        <w:rPr>
          <w:rFonts w:ascii="黑体" w:hAnsi="黑体" w:eastAsia="黑体"/>
          <w:szCs w:val="21"/>
        </w:rPr>
        <w:t>“中华商标协会”</w:t>
      </w:r>
      <w:r>
        <w:rPr>
          <w:rFonts w:hint="eastAsia" w:ascii="黑体" w:hAnsi="黑体" w:eastAsia="黑体"/>
          <w:szCs w:val="21"/>
        </w:rPr>
        <w:t>评为</w:t>
      </w:r>
      <w:r>
        <w:rPr>
          <w:rFonts w:ascii="黑体" w:hAnsi="黑体" w:eastAsia="黑体"/>
          <w:szCs w:val="21"/>
        </w:rPr>
        <w:t>2024</w:t>
      </w:r>
      <w:r>
        <w:rPr>
          <w:rFonts w:hint="eastAsia" w:ascii="黑体" w:hAnsi="黑体" w:eastAsia="黑体"/>
          <w:szCs w:val="21"/>
        </w:rPr>
        <w:t>年度商标法律前沿问题研究专题组优秀联合主持人</w:t>
      </w:r>
    </w:p>
    <w:p w14:paraId="5781DDAF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</w:t>
      </w:r>
      <w:r>
        <w:rPr>
          <w:rFonts w:ascii="黑体" w:hAnsi="黑体" w:eastAsia="黑体"/>
          <w:szCs w:val="21"/>
        </w:rPr>
        <w:t>025</w:t>
      </w:r>
      <w:r>
        <w:rPr>
          <w:rFonts w:hint="eastAsia" w:ascii="黑体" w:hAnsi="黑体" w:eastAsia="黑体"/>
          <w:szCs w:val="21"/>
        </w:rPr>
        <w:t>年所在驰名商标研究专题组研究的《完善驰名商标“按需认定”原则法律适用研究》荣获</w:t>
      </w:r>
      <w:r>
        <w:rPr>
          <w:rFonts w:ascii="黑体" w:hAnsi="黑体" w:eastAsia="黑体"/>
          <w:szCs w:val="21"/>
        </w:rPr>
        <w:t>“中华商标协会”</w:t>
      </w:r>
      <w:r>
        <w:rPr>
          <w:rFonts w:hint="eastAsia" w:ascii="黑体" w:hAnsi="黑体" w:eastAsia="黑体"/>
          <w:szCs w:val="21"/>
        </w:rPr>
        <w:t>商标法律前沿问题研究专题组</w:t>
      </w:r>
      <w:r>
        <w:rPr>
          <w:rFonts w:ascii="黑体" w:hAnsi="黑体" w:eastAsia="黑体"/>
          <w:szCs w:val="21"/>
        </w:rPr>
        <w:t>2024</w:t>
      </w:r>
      <w:r>
        <w:rPr>
          <w:rFonts w:hint="eastAsia" w:ascii="黑体" w:hAnsi="黑体" w:eastAsia="黑体"/>
          <w:szCs w:val="21"/>
        </w:rPr>
        <w:t>年度研究成果三等奖</w:t>
      </w:r>
    </w:p>
    <w:p w14:paraId="4DE61109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2025</w:t>
      </w:r>
      <w:r>
        <w:rPr>
          <w:rFonts w:hint="eastAsia" w:ascii="黑体" w:hAnsi="黑体" w:eastAsia="黑体"/>
          <w:szCs w:val="21"/>
        </w:rPr>
        <w:t>年</w:t>
      </w:r>
      <w:r>
        <w:rPr>
          <w:rFonts w:ascii="黑体" w:hAnsi="黑体" w:eastAsia="黑体"/>
          <w:szCs w:val="21"/>
        </w:rPr>
        <w:t>被“World Trademark Review 1000” 评为申请与策略领域杰出个人（Gold）</w:t>
      </w:r>
      <w:r>
        <w:rPr>
          <w:rFonts w:hint="eastAsia" w:ascii="黑体" w:hAnsi="黑体" w:eastAsia="黑体"/>
          <w:szCs w:val="21"/>
        </w:rPr>
        <w:t>、维权和诉讼</w:t>
      </w:r>
      <w:r>
        <w:rPr>
          <w:rFonts w:ascii="黑体" w:hAnsi="黑体" w:eastAsia="黑体"/>
          <w:szCs w:val="21"/>
        </w:rPr>
        <w:t>领域杰出个人（Bronze）</w:t>
      </w:r>
    </w:p>
    <w:p w14:paraId="6EA38501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2025年被“Legal 500”评为知识产权领域下一代合伙人</w:t>
      </w:r>
    </w:p>
    <w:p w14:paraId="5378FD03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2024</w:t>
      </w:r>
      <w:r>
        <w:rPr>
          <w:rFonts w:ascii="黑体" w:hAnsi="黑体" w:eastAsia="黑体"/>
          <w:szCs w:val="21"/>
        </w:rPr>
        <w:t>-2025</w:t>
      </w:r>
      <w:r>
        <w:rPr>
          <w:rFonts w:hint="eastAsia" w:ascii="黑体" w:hAnsi="黑体" w:eastAsia="黑体"/>
          <w:szCs w:val="21"/>
        </w:rPr>
        <w:t>年被“WTR”评为</w:t>
      </w:r>
      <w:r>
        <w:rPr>
          <w:rFonts w:ascii="黑体" w:hAnsi="黑体" w:eastAsia="黑体"/>
          <w:szCs w:val="21"/>
        </w:rPr>
        <w:t>全球领袖</w:t>
      </w:r>
    </w:p>
    <w:p w14:paraId="25FECED6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2024年所在</w:t>
      </w:r>
      <w:r>
        <w:rPr>
          <w:rFonts w:ascii="黑体" w:hAnsi="黑体" w:eastAsia="黑体"/>
          <w:szCs w:val="21"/>
        </w:rPr>
        <w:t>驰名商标研究专题组</w:t>
      </w:r>
      <w:r>
        <w:rPr>
          <w:rFonts w:hint="eastAsia" w:ascii="黑体" w:hAnsi="黑体" w:eastAsia="黑体"/>
          <w:szCs w:val="21"/>
        </w:rPr>
        <w:t>研究</w:t>
      </w:r>
      <w:r>
        <w:rPr>
          <w:rFonts w:ascii="黑体" w:hAnsi="黑体" w:eastAsia="黑体"/>
          <w:szCs w:val="21"/>
        </w:rPr>
        <w:t>的《关于驰名商标证据相关研究报告》荣获“中华商标协会”商标法律前沿问题研究专题组2023年度研究成果二等奖</w:t>
      </w:r>
    </w:p>
    <w:p w14:paraId="2113FFE0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2024年所在商标恶意诉讼制度研究专题组研究的《关于商标恶意诉讼制度的研究报告》荣获</w:t>
      </w:r>
      <w:r>
        <w:rPr>
          <w:rFonts w:ascii="黑体" w:hAnsi="黑体" w:eastAsia="黑体"/>
          <w:szCs w:val="21"/>
        </w:rPr>
        <w:t>“中华商标协会”</w:t>
      </w:r>
      <w:r>
        <w:rPr>
          <w:rFonts w:hint="eastAsia" w:ascii="黑体" w:hAnsi="黑体" w:eastAsia="黑体"/>
          <w:szCs w:val="21"/>
        </w:rPr>
        <w:t>商标法律前沿问题研究专题组2023年度研究成果一等奖</w:t>
      </w:r>
    </w:p>
    <w:p w14:paraId="2B338EED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2023年被“Who's Who Legal”评为知识产权全球推荐律师（版权）</w:t>
      </w:r>
    </w:p>
    <w:p w14:paraId="04EB55C7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2023年被“中华商标协会”评为商标人才库特级人才</w:t>
      </w:r>
    </w:p>
    <w:p w14:paraId="6AACDC14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2023-2024年被“WIPR”评为</w:t>
      </w:r>
      <w:r>
        <w:rPr>
          <w:rFonts w:ascii="黑体" w:hAnsi="黑体" w:eastAsia="黑体"/>
          <w:szCs w:val="21"/>
        </w:rPr>
        <w:t>全球领袖</w:t>
      </w:r>
    </w:p>
    <w:p w14:paraId="59318047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2022-202</w:t>
      </w:r>
      <w:r>
        <w:rPr>
          <w:rFonts w:ascii="黑体" w:hAnsi="黑体" w:eastAsia="黑体"/>
          <w:szCs w:val="21"/>
        </w:rPr>
        <w:t>5</w:t>
      </w:r>
      <w:r>
        <w:rPr>
          <w:rFonts w:hint="eastAsia" w:ascii="黑体" w:hAnsi="黑体" w:eastAsia="黑体"/>
          <w:szCs w:val="21"/>
        </w:rPr>
        <w:t>年被</w:t>
      </w:r>
      <w:r>
        <w:rPr>
          <w:rFonts w:ascii="黑体" w:hAnsi="黑体" w:eastAsia="黑体"/>
          <w:szCs w:val="21"/>
        </w:rPr>
        <w:t>"</w:t>
      </w:r>
      <w:r>
        <w:rPr>
          <w:rFonts w:hint="eastAsia" w:ascii="黑体" w:hAnsi="黑体" w:eastAsia="黑体"/>
          <w:szCs w:val="21"/>
        </w:rPr>
        <w:t>Chambers and Partners</w:t>
      </w:r>
      <w:r>
        <w:rPr>
          <w:rFonts w:ascii="黑体" w:hAnsi="黑体" w:eastAsia="黑体"/>
          <w:szCs w:val="21"/>
        </w:rPr>
        <w:t>"</w:t>
      </w:r>
      <w:r>
        <w:rPr>
          <w:rFonts w:hint="eastAsia" w:ascii="黑体" w:hAnsi="黑体" w:eastAsia="黑体"/>
          <w:szCs w:val="21"/>
        </w:rPr>
        <w:t>评为知识产权非诉讼领域领先律师</w:t>
      </w:r>
    </w:p>
    <w:p w14:paraId="62642CF4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2022-2023年被“Legal 500”评为知识产权领域推荐个人</w:t>
      </w:r>
    </w:p>
    <w:p w14:paraId="736A933B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2021-2022年被“WTR”评为</w:t>
      </w:r>
      <w:r>
        <w:rPr>
          <w:rFonts w:ascii="黑体" w:hAnsi="黑体" w:eastAsia="黑体"/>
          <w:szCs w:val="21"/>
        </w:rPr>
        <w:t>全球领袖</w:t>
      </w:r>
    </w:p>
    <w:p w14:paraId="1B2F21CB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2021年入选知识产权保护服务专家库（培训类）名单</w:t>
      </w:r>
    </w:p>
    <w:p w14:paraId="1418FC1E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202</w:t>
      </w:r>
      <w:r>
        <w:rPr>
          <w:rFonts w:hint="eastAsia" w:ascii="黑体" w:hAnsi="黑体" w:eastAsia="黑体"/>
          <w:szCs w:val="21"/>
        </w:rPr>
        <w:t>0-2</w:t>
      </w:r>
      <w:r>
        <w:rPr>
          <w:rFonts w:ascii="黑体" w:hAnsi="黑体" w:eastAsia="黑体"/>
          <w:szCs w:val="21"/>
        </w:rPr>
        <w:t>02</w:t>
      </w:r>
      <w:r>
        <w:rPr>
          <w:rFonts w:hint="eastAsia" w:ascii="黑体" w:hAnsi="黑体" w:eastAsia="黑体"/>
          <w:szCs w:val="21"/>
        </w:rPr>
        <w:t>5</w:t>
      </w:r>
      <w:r>
        <w:rPr>
          <w:rFonts w:ascii="黑体" w:hAnsi="黑体" w:eastAsia="黑体"/>
          <w:szCs w:val="21"/>
        </w:rPr>
        <w:t>年被" Asia IP Experts "评为</w:t>
      </w:r>
      <w:r>
        <w:rPr>
          <w:rFonts w:hint="eastAsia" w:ascii="黑体" w:hAnsi="黑体" w:eastAsia="黑体"/>
          <w:szCs w:val="21"/>
        </w:rPr>
        <w:t>中国</w:t>
      </w:r>
      <w:r>
        <w:rPr>
          <w:rFonts w:ascii="黑体" w:hAnsi="黑体" w:eastAsia="黑体"/>
          <w:szCs w:val="21"/>
        </w:rPr>
        <w:t>知识产权专家</w:t>
      </w:r>
    </w:p>
    <w:p w14:paraId="7D57486B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2019年荣获“AIPPI中国分会”2019年杰出贡献奖</w:t>
      </w:r>
    </w:p>
    <w:p w14:paraId="5EDDD130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2019年被“Asialaw”评为中国区知识产权领域市场领袖律师</w:t>
      </w:r>
    </w:p>
    <w:p w14:paraId="7F490A15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2018-2019年</w:t>
      </w:r>
      <w:r>
        <w:rPr>
          <w:rFonts w:ascii="黑体" w:hAnsi="黑体" w:eastAsia="黑体"/>
          <w:szCs w:val="21"/>
        </w:rPr>
        <w:t>被“Chambers and Partners”评为知识产权非诉讼领域受认可律师</w:t>
      </w:r>
    </w:p>
    <w:p w14:paraId="136027A4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2018年被“中关村知识产权促进局”评为中关村涉外知识产权服务专家</w:t>
      </w:r>
    </w:p>
    <w:p w14:paraId="4FBFC694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2017-</w:t>
      </w:r>
      <w:r>
        <w:rPr>
          <w:rFonts w:ascii="黑体" w:hAnsi="黑体" w:eastAsia="黑体"/>
          <w:szCs w:val="21"/>
        </w:rPr>
        <w:t>2024</w:t>
      </w:r>
      <w:r>
        <w:rPr>
          <w:rFonts w:hint="eastAsia" w:ascii="黑体" w:hAnsi="黑体" w:eastAsia="黑体"/>
          <w:szCs w:val="21"/>
        </w:rPr>
        <w:t>年</w:t>
      </w:r>
      <w:r>
        <w:rPr>
          <w:rFonts w:ascii="黑体" w:hAnsi="黑体" w:eastAsia="黑体"/>
          <w:szCs w:val="21"/>
        </w:rPr>
        <w:t>被“World Trademark Review 1000” 评为申请与策略领域杰出个人（Gold）</w:t>
      </w:r>
    </w:p>
    <w:p w14:paraId="59AEC278">
      <w:pPr>
        <w:spacing w:line="276" w:lineRule="auto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2017-2019年</w:t>
      </w:r>
      <w:r>
        <w:rPr>
          <w:rFonts w:ascii="黑体" w:hAnsi="黑体" w:eastAsia="黑体"/>
          <w:szCs w:val="21"/>
        </w:rPr>
        <w:t>被“World Trademark Review 1000” 评为诉讼与维权领域杰出个人（Bronze）</w:t>
      </w:r>
    </w:p>
    <w:p w14:paraId="301D6672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2017年被" Asia IP Experts "评为知识产权领域杰出律师</w:t>
      </w:r>
    </w:p>
    <w:p w14:paraId="0EB04A7E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2017年被“全国知识产权分析评议联盟”选为首批联盟专家顾问委员会专家</w:t>
      </w:r>
    </w:p>
    <w:p w14:paraId="793788BD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2016年被香港“Asia law Profile ”评为中国区知识产权领域杰出律师</w:t>
      </w:r>
      <w:r>
        <w:rPr>
          <w:rFonts w:ascii="黑体" w:hAnsi="黑体" w:eastAsia="黑体"/>
          <w:szCs w:val="21"/>
        </w:rPr>
        <w:tab/>
      </w:r>
    </w:p>
    <w:p w14:paraId="0131FBF5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2016年被“最高人民法院”选为最高人民法院知识产权案例指导研究（北京）基地专家咨询委员会专家</w:t>
      </w:r>
    </w:p>
    <w:p w14:paraId="71F63244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2016年被英国“Corporate INTL”评为中国区年度商标律师</w:t>
      </w:r>
      <w:r>
        <w:rPr>
          <w:rFonts w:ascii="黑体" w:hAnsi="黑体" w:eastAsia="黑体"/>
          <w:szCs w:val="21"/>
        </w:rPr>
        <w:tab/>
      </w:r>
    </w:p>
    <w:p w14:paraId="555088E6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2015年被英国“Global Law Experts”评为中国区年度商标律师</w:t>
      </w:r>
      <w:r>
        <w:rPr>
          <w:rFonts w:ascii="黑体" w:hAnsi="黑体" w:eastAsia="黑体"/>
          <w:szCs w:val="21"/>
        </w:rPr>
        <w:tab/>
      </w:r>
    </w:p>
    <w:p w14:paraId="54C568CF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2015年被香港“China Law &amp; Practice”杂志评为知识产权领域杰出律师</w:t>
      </w:r>
    </w:p>
    <w:p w14:paraId="55A63729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2015年被香港“Asia law Profile ”评为2015年度亚洲法律杰出律师</w:t>
      </w:r>
      <w:r>
        <w:rPr>
          <w:rFonts w:ascii="黑体" w:hAnsi="黑体" w:eastAsia="黑体"/>
          <w:szCs w:val="21"/>
        </w:rPr>
        <w:tab/>
      </w:r>
    </w:p>
    <w:p w14:paraId="1B480C21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2015年被英国“Managing Intellectual Property”杂志评为商标之星</w:t>
      </w:r>
    </w:p>
    <w:p w14:paraId="78714B4F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2015年被英国“World Trademark Review 1000”评为申请与策略领域杰出个人（Silver）</w:t>
      </w:r>
    </w:p>
    <w:p w14:paraId="3FD32F2E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2015年被英国“World Trademark Review 1000”评为维权与诉讼领域杰出个人（Bronze）</w:t>
      </w:r>
    </w:p>
    <w:p w14:paraId="3B8B9CA7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2015年被香港“Asia law Profile 2015”杂志评为中国区争议解决领域杰出律师</w:t>
      </w:r>
    </w:p>
    <w:p w14:paraId="7223EB75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2014年被英国“Managing Intellectual Property”杂志评为中国区年度知识产权之星</w:t>
      </w:r>
    </w:p>
    <w:p w14:paraId="3254596E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2014年被英国“World Trademark Review 1000”评为申请与策略领域杰出个人（Bronze）</w:t>
      </w:r>
    </w:p>
    <w:p w14:paraId="22283B48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2014年被香港“Asia IP”杂志评为知识产权领域杰出律师</w:t>
      </w:r>
    </w:p>
    <w:p w14:paraId="03F06314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2014年被香港“Asia law Profile 2015”评为知识产权领域杰出律师</w:t>
      </w:r>
    </w:p>
    <w:p w14:paraId="37E89A4E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2013年被美国“Guide to Leading BRIC Practitioners”评为商标领域中国区杰出个人</w:t>
      </w:r>
    </w:p>
    <w:p w14:paraId="6F58CA95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2013年被英国“Chambers and Partners”评为知识产权领域中国区杰出个人</w:t>
      </w:r>
    </w:p>
    <w:p w14:paraId="4D4B1885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2013年被英国“World Trademark Review 1000”评为申请与战略领域杰出个人（Bronze）</w:t>
      </w:r>
    </w:p>
    <w:p w14:paraId="56E74B04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2012年被英国“World Trademark Review 1000”评为知识产权领域杰出个人（Bronze）</w:t>
      </w:r>
    </w:p>
    <w:p w14:paraId="3D28E732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2012年被英国“World Trademark Review 1000”评为中国区“反仿冒”领域杰出个人</w:t>
      </w:r>
    </w:p>
    <w:p w14:paraId="756321C5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2012年被英国“Chambers and Partners”评为杰出商标代理人、知识产权界新秀</w:t>
      </w:r>
    </w:p>
    <w:p w14:paraId="6A4BBB65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 xml:space="preserve">2011年被英国“World Trademark Review 1000&amp; Practice”杂志评为知识产权领域杰出个人 </w:t>
      </w:r>
    </w:p>
    <w:p w14:paraId="001F05E9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 xml:space="preserve">2011年被英国“Chambers and Partners&amp; Practice”杂志评为中国区知识产权领域杰出个人（Band 2） </w:t>
      </w:r>
    </w:p>
    <w:p w14:paraId="0F39D1B2">
      <w:pPr>
        <w:spacing w:line="276" w:lineRule="auto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2010年被英国“Chambers and Partners&amp; Practice”杂志评为中国区商标领域杰出个人（Band 2）</w:t>
      </w:r>
    </w:p>
    <w:sectPr>
      <w:headerReference r:id="rId3" w:type="default"/>
      <w:pgSz w:w="11906" w:h="16838"/>
      <w:pgMar w:top="1560" w:right="1134" w:bottom="851" w:left="1134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CF2B3">
    <w:pPr>
      <w:pStyle w:val="11"/>
    </w:pPr>
    <w:r>
      <w:drawing>
        <wp:inline distT="0" distB="0" distL="0" distR="0">
          <wp:extent cx="1562100" cy="381000"/>
          <wp:effectExtent l="0" t="0" r="0" b="0"/>
          <wp:docPr id="2" name="图片 2" descr="\\192.168.103.2\品牌中心\02市场活动+04宣传资料\04宣传资料管理\01公司介绍\北京康瑞律师事务所\康瑞VI\康瑞logo\2025新版\康瑞注册商标用图\png格式\01 康瑞中文logo-彩色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\\192.168.103.2\品牌中心\02市场活动+04宣传资料\04宣传资料管理\01公司介绍\北京康瑞律师事务所\康瑞VI\康瑞logo\2025新版\康瑞注册商标用图\png格式\01 康瑞中文logo-彩色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5353" t="30199" r="15144" b="29703"/>
                  <a:stretch>
                    <a:fillRect/>
                  </a:stretch>
                </pic:blipFill>
                <pic:spPr>
                  <a:xfrm>
                    <a:off x="0" y="0"/>
                    <a:ext cx="15621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AD4722"/>
    <w:rsid w:val="00001D75"/>
    <w:rsid w:val="00001DAF"/>
    <w:rsid w:val="00020761"/>
    <w:rsid w:val="0004046B"/>
    <w:rsid w:val="000444B5"/>
    <w:rsid w:val="0005355C"/>
    <w:rsid w:val="000646B7"/>
    <w:rsid w:val="00082299"/>
    <w:rsid w:val="00086C1F"/>
    <w:rsid w:val="00091BC3"/>
    <w:rsid w:val="00095071"/>
    <w:rsid w:val="000A0446"/>
    <w:rsid w:val="000A073D"/>
    <w:rsid w:val="000C40F7"/>
    <w:rsid w:val="000D681B"/>
    <w:rsid w:val="000E4EB5"/>
    <w:rsid w:val="000F1B90"/>
    <w:rsid w:val="000F5D65"/>
    <w:rsid w:val="00100E33"/>
    <w:rsid w:val="001020DD"/>
    <w:rsid w:val="00110CAF"/>
    <w:rsid w:val="00111568"/>
    <w:rsid w:val="001139FB"/>
    <w:rsid w:val="00126558"/>
    <w:rsid w:val="00131A73"/>
    <w:rsid w:val="00132EDF"/>
    <w:rsid w:val="00134E19"/>
    <w:rsid w:val="00136F43"/>
    <w:rsid w:val="001766B3"/>
    <w:rsid w:val="0018267C"/>
    <w:rsid w:val="00186B7A"/>
    <w:rsid w:val="00187076"/>
    <w:rsid w:val="001978B3"/>
    <w:rsid w:val="001A2396"/>
    <w:rsid w:val="001A4EA3"/>
    <w:rsid w:val="001B698D"/>
    <w:rsid w:val="001F19C3"/>
    <w:rsid w:val="00204C5F"/>
    <w:rsid w:val="00213B97"/>
    <w:rsid w:val="0022763B"/>
    <w:rsid w:val="00253FA7"/>
    <w:rsid w:val="00260599"/>
    <w:rsid w:val="00263147"/>
    <w:rsid w:val="00271973"/>
    <w:rsid w:val="00286E1F"/>
    <w:rsid w:val="002A4317"/>
    <w:rsid w:val="002A4CF3"/>
    <w:rsid w:val="002A6C67"/>
    <w:rsid w:val="002B171C"/>
    <w:rsid w:val="002B6594"/>
    <w:rsid w:val="002E2800"/>
    <w:rsid w:val="002F4A03"/>
    <w:rsid w:val="002F65B1"/>
    <w:rsid w:val="003108A0"/>
    <w:rsid w:val="003159BB"/>
    <w:rsid w:val="003339F5"/>
    <w:rsid w:val="00340338"/>
    <w:rsid w:val="00373042"/>
    <w:rsid w:val="00384BA9"/>
    <w:rsid w:val="003974F9"/>
    <w:rsid w:val="003B2111"/>
    <w:rsid w:val="003C238F"/>
    <w:rsid w:val="003E0071"/>
    <w:rsid w:val="003E29F1"/>
    <w:rsid w:val="003F196E"/>
    <w:rsid w:val="003F30B1"/>
    <w:rsid w:val="004125BA"/>
    <w:rsid w:val="00417A41"/>
    <w:rsid w:val="00424937"/>
    <w:rsid w:val="00431498"/>
    <w:rsid w:val="00432785"/>
    <w:rsid w:val="0044361F"/>
    <w:rsid w:val="00445E1E"/>
    <w:rsid w:val="004511B8"/>
    <w:rsid w:val="00452EC8"/>
    <w:rsid w:val="00471684"/>
    <w:rsid w:val="0047733A"/>
    <w:rsid w:val="004819DE"/>
    <w:rsid w:val="004843DF"/>
    <w:rsid w:val="004927A4"/>
    <w:rsid w:val="00497865"/>
    <w:rsid w:val="004A660B"/>
    <w:rsid w:val="004C14A0"/>
    <w:rsid w:val="004E4A92"/>
    <w:rsid w:val="004F651B"/>
    <w:rsid w:val="0050203A"/>
    <w:rsid w:val="005157FF"/>
    <w:rsid w:val="00553AB1"/>
    <w:rsid w:val="005579E5"/>
    <w:rsid w:val="00563564"/>
    <w:rsid w:val="005853AB"/>
    <w:rsid w:val="00586289"/>
    <w:rsid w:val="00595A81"/>
    <w:rsid w:val="00597E5F"/>
    <w:rsid w:val="005B0290"/>
    <w:rsid w:val="005B2E21"/>
    <w:rsid w:val="005B7A3C"/>
    <w:rsid w:val="005C5069"/>
    <w:rsid w:val="005D655D"/>
    <w:rsid w:val="005F61A3"/>
    <w:rsid w:val="00610CE0"/>
    <w:rsid w:val="0062195C"/>
    <w:rsid w:val="0062640F"/>
    <w:rsid w:val="00642A61"/>
    <w:rsid w:val="0065118A"/>
    <w:rsid w:val="0065636C"/>
    <w:rsid w:val="00674586"/>
    <w:rsid w:val="006800B4"/>
    <w:rsid w:val="00682039"/>
    <w:rsid w:val="006A4719"/>
    <w:rsid w:val="006A6650"/>
    <w:rsid w:val="006E7AB3"/>
    <w:rsid w:val="006F284E"/>
    <w:rsid w:val="006F4707"/>
    <w:rsid w:val="006F668D"/>
    <w:rsid w:val="006F6DF6"/>
    <w:rsid w:val="00714F01"/>
    <w:rsid w:val="00722D66"/>
    <w:rsid w:val="00724142"/>
    <w:rsid w:val="007338DB"/>
    <w:rsid w:val="007608D1"/>
    <w:rsid w:val="00770E23"/>
    <w:rsid w:val="007729EF"/>
    <w:rsid w:val="0077417B"/>
    <w:rsid w:val="0077636D"/>
    <w:rsid w:val="00793C3E"/>
    <w:rsid w:val="007C4DED"/>
    <w:rsid w:val="007D1953"/>
    <w:rsid w:val="007F3097"/>
    <w:rsid w:val="008044D3"/>
    <w:rsid w:val="00806FD8"/>
    <w:rsid w:val="008230CE"/>
    <w:rsid w:val="00844D2A"/>
    <w:rsid w:val="0086245C"/>
    <w:rsid w:val="00863F09"/>
    <w:rsid w:val="00875239"/>
    <w:rsid w:val="008A0680"/>
    <w:rsid w:val="008B02D1"/>
    <w:rsid w:val="008B12DC"/>
    <w:rsid w:val="008C2E8A"/>
    <w:rsid w:val="008C7F3C"/>
    <w:rsid w:val="008D4793"/>
    <w:rsid w:val="008F1ECE"/>
    <w:rsid w:val="00906B1C"/>
    <w:rsid w:val="00907EBB"/>
    <w:rsid w:val="00910CC3"/>
    <w:rsid w:val="009271FE"/>
    <w:rsid w:val="00941A27"/>
    <w:rsid w:val="0095641A"/>
    <w:rsid w:val="00966778"/>
    <w:rsid w:val="00972ED4"/>
    <w:rsid w:val="00975943"/>
    <w:rsid w:val="00983D34"/>
    <w:rsid w:val="00986A3B"/>
    <w:rsid w:val="00995D9F"/>
    <w:rsid w:val="009A2358"/>
    <w:rsid w:val="009A2BC6"/>
    <w:rsid w:val="009A30A7"/>
    <w:rsid w:val="009B2B3B"/>
    <w:rsid w:val="009B5349"/>
    <w:rsid w:val="009C7365"/>
    <w:rsid w:val="009E0CB3"/>
    <w:rsid w:val="009E227E"/>
    <w:rsid w:val="00A02F9D"/>
    <w:rsid w:val="00A05190"/>
    <w:rsid w:val="00A06370"/>
    <w:rsid w:val="00A1625A"/>
    <w:rsid w:val="00A16619"/>
    <w:rsid w:val="00A21031"/>
    <w:rsid w:val="00A26E74"/>
    <w:rsid w:val="00A27E9E"/>
    <w:rsid w:val="00A422BD"/>
    <w:rsid w:val="00A537C2"/>
    <w:rsid w:val="00A64524"/>
    <w:rsid w:val="00A73258"/>
    <w:rsid w:val="00A82FF9"/>
    <w:rsid w:val="00A845A5"/>
    <w:rsid w:val="00AA0A8B"/>
    <w:rsid w:val="00AB468D"/>
    <w:rsid w:val="00AB7AA6"/>
    <w:rsid w:val="00AC5FC8"/>
    <w:rsid w:val="00AD4722"/>
    <w:rsid w:val="00AD4E18"/>
    <w:rsid w:val="00AE0EC7"/>
    <w:rsid w:val="00AE755A"/>
    <w:rsid w:val="00AF4103"/>
    <w:rsid w:val="00AF7D2B"/>
    <w:rsid w:val="00B00942"/>
    <w:rsid w:val="00B078C6"/>
    <w:rsid w:val="00B1303C"/>
    <w:rsid w:val="00B13580"/>
    <w:rsid w:val="00B16BD8"/>
    <w:rsid w:val="00B20A64"/>
    <w:rsid w:val="00B213C0"/>
    <w:rsid w:val="00B24150"/>
    <w:rsid w:val="00B24C9E"/>
    <w:rsid w:val="00B3734C"/>
    <w:rsid w:val="00B37FAA"/>
    <w:rsid w:val="00B46A4B"/>
    <w:rsid w:val="00B5264B"/>
    <w:rsid w:val="00B65EE4"/>
    <w:rsid w:val="00B67A4D"/>
    <w:rsid w:val="00B7353C"/>
    <w:rsid w:val="00B92B2E"/>
    <w:rsid w:val="00BA3B20"/>
    <w:rsid w:val="00BA47A9"/>
    <w:rsid w:val="00BC351C"/>
    <w:rsid w:val="00BC5744"/>
    <w:rsid w:val="00C26ADF"/>
    <w:rsid w:val="00C27B93"/>
    <w:rsid w:val="00C42F3B"/>
    <w:rsid w:val="00C63EEE"/>
    <w:rsid w:val="00C82A1E"/>
    <w:rsid w:val="00C831DA"/>
    <w:rsid w:val="00C87EB8"/>
    <w:rsid w:val="00CA34B3"/>
    <w:rsid w:val="00CA6CB7"/>
    <w:rsid w:val="00CC6061"/>
    <w:rsid w:val="00CC6C4A"/>
    <w:rsid w:val="00D00425"/>
    <w:rsid w:val="00D065F7"/>
    <w:rsid w:val="00D10F12"/>
    <w:rsid w:val="00D356E2"/>
    <w:rsid w:val="00D6190E"/>
    <w:rsid w:val="00D806DE"/>
    <w:rsid w:val="00D90F02"/>
    <w:rsid w:val="00DA48F4"/>
    <w:rsid w:val="00DA532D"/>
    <w:rsid w:val="00DA55FE"/>
    <w:rsid w:val="00DA5907"/>
    <w:rsid w:val="00DA72C4"/>
    <w:rsid w:val="00DB0EAE"/>
    <w:rsid w:val="00DB25D7"/>
    <w:rsid w:val="00DC0D17"/>
    <w:rsid w:val="00DC54B2"/>
    <w:rsid w:val="00DC564A"/>
    <w:rsid w:val="00DC5BD3"/>
    <w:rsid w:val="00DE613D"/>
    <w:rsid w:val="00DF108D"/>
    <w:rsid w:val="00DF617D"/>
    <w:rsid w:val="00E14A98"/>
    <w:rsid w:val="00E4468D"/>
    <w:rsid w:val="00E50328"/>
    <w:rsid w:val="00E7396B"/>
    <w:rsid w:val="00E84F92"/>
    <w:rsid w:val="00E87D3E"/>
    <w:rsid w:val="00E97B34"/>
    <w:rsid w:val="00EB7B19"/>
    <w:rsid w:val="00EC7659"/>
    <w:rsid w:val="00ED10C3"/>
    <w:rsid w:val="00ED1F49"/>
    <w:rsid w:val="00EF74F9"/>
    <w:rsid w:val="00EF7992"/>
    <w:rsid w:val="00F1697C"/>
    <w:rsid w:val="00F21BC2"/>
    <w:rsid w:val="00F32D99"/>
    <w:rsid w:val="00F5221F"/>
    <w:rsid w:val="00F52C81"/>
    <w:rsid w:val="00F530EF"/>
    <w:rsid w:val="00F657FE"/>
    <w:rsid w:val="00F65963"/>
    <w:rsid w:val="00F75D7A"/>
    <w:rsid w:val="00F75F5D"/>
    <w:rsid w:val="00FB3071"/>
    <w:rsid w:val="00FB5F97"/>
    <w:rsid w:val="00FB7494"/>
    <w:rsid w:val="00FD201F"/>
    <w:rsid w:val="00FE7E7E"/>
    <w:rsid w:val="00FF42CA"/>
    <w:rsid w:val="0B2E376B"/>
    <w:rsid w:val="6D700EDE"/>
    <w:rsid w:val="7FE5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5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Light List Accent 2"/>
    <w:basedOn w:val="7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0">
    <w:name w:val="标题 1 Char"/>
    <w:basedOn w:val="9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1">
    <w:name w:val="样式1"/>
    <w:basedOn w:val="1"/>
    <w:link w:val="12"/>
    <w:qFormat/>
    <w:uiPriority w:val="0"/>
    <w:rPr>
      <w:rFonts w:asciiTheme="minorHAnsi" w:hAnsiTheme="minorHAnsi" w:eastAsiaTheme="minorEastAsia" w:cstheme="minorBidi"/>
      <w:szCs w:val="22"/>
    </w:rPr>
  </w:style>
  <w:style w:type="character" w:customStyle="1" w:styleId="12">
    <w:name w:val="样式1 Char"/>
    <w:basedOn w:val="9"/>
    <w:link w:val="11"/>
    <w:uiPriority w:val="0"/>
  </w:style>
  <w:style w:type="character" w:customStyle="1" w:styleId="13">
    <w:name w:val="批注框文本 Char"/>
    <w:basedOn w:val="9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眉 Char"/>
    <w:basedOn w:val="9"/>
    <w:link w:val="5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脚 Char"/>
    <w:basedOn w:val="9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北京康信知识产权代理有限责任公司</Company>
  <Pages>4</Pages>
  <Words>2199</Words>
  <Characters>3923</Characters>
  <Lines>30</Lines>
  <Paragraphs>8</Paragraphs>
  <TotalTime>7</TotalTime>
  <ScaleCrop>false</ScaleCrop>
  <LinksUpToDate>false</LinksUpToDate>
  <CharactersWithSpaces>4216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2026-03-05T05:47:00Z</dcterms:created>
  <dc:creator>wuxiuqing</dc:creator>
  <cp:lastModifiedBy>Gloria</cp:lastModifiedBy>
  <cp:lastPrinted>2021-12-10T09:10:00Z</cp:lastPrinted>
  <dcterms:modified xsi:type="dcterms:W3CDTF">2026-03-05T06:22:38Z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eyJoZGlkIjoiZTFlODMzZjllMTNjYTFlZjNmMmUwZTc3MTE3N2MzNmYiLCJ1c2VySWQiOiIzMjIzMTQ1NDUifQ==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2E3272B54D6B479B821D7AF8E550FB71_12</vt:lpwstr>
  </property>
</Properties>
</file>