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tradeos-business-proposal"/>
    <w:p>
      <w:pPr>
        <w:pStyle w:val="Heading1"/>
      </w:pPr>
      <w:r>
        <w:t xml:space="preserve">TradeOS Business Proposal</w:t>
      </w:r>
    </w:p>
    <w:bookmarkStart w:id="10" w:name="X5b0c92ae40432f7ea98c9bae47681eb73378c80"/>
    <w:p>
      <w:pPr>
        <w:pStyle w:val="Heading2"/>
      </w:pPr>
      <w:r>
        <w:t xml:space="preserve">The Trusted Marketplace for Heavy-Equipment Middlemen</w:t>
      </w:r>
    </w:p>
    <w:p>
      <w:pPr>
        <w:pStyle w:val="FirstParagraph"/>
      </w:pPr>
      <w:r>
        <w:rPr>
          <w:b/>
          <w:bCs/>
        </w:rPr>
        <w:t xml:space="preserve">Buyers post the machine they need. Specialised middlemen compete to source it. TradeOS protects the process.</w:t>
      </w:r>
    </w:p>
    <w:p>
      <w:pPr>
        <w:pStyle w:val="BodyText"/>
      </w:pPr>
      <w:r>
        <w:t xml:space="preserve">TradeOS is a B2B reverse marketplace for used heavy construction equipment. Buyers publish structured requests for quotation (RFQs), and subscribed middlemen compete with comparable offers covering the exact machine, price, commission, delivery and evidence. Buyers can purchase independent verification and fund the selected transaction through a licensed escrow partner integrated into TradeOS.</w:t>
      </w:r>
    </w:p>
    <w:p>
      <w:pPr>
        <w:pStyle w:val="BodyText"/>
      </w:pPr>
      <w:r>
        <w:rPr>
          <w:b/>
          <w:bCs/>
        </w:rPr>
        <w:t xml:space="preserve">Prepared for:</w:t>
      </w:r>
      <w:r>
        <w:t xml:space="preserve"> </w:t>
      </w:r>
      <w:r>
        <w:t xml:space="preserve">IYO 2026, University Division</w:t>
      </w:r>
      <w:r>
        <w:br/>
      </w:r>
      <w:r>
        <w:rPr>
          <w:b/>
          <w:bCs/>
        </w:rPr>
        <w:t xml:space="preserve">Prepared by:</w:t>
      </w:r>
      <w:r>
        <w:t xml:space="preserve"> </w:t>
      </w:r>
      <w:r>
        <w:t xml:space="preserve">Kukyoung Chang, Kang Yite and Fong Wee Kun</w:t>
      </w:r>
      <w:r>
        <w:br/>
      </w:r>
      <w:r>
        <w:rPr>
          <w:b/>
          <w:bCs/>
        </w:rPr>
        <w:t xml:space="preserve">Contact:</w:t>
      </w:r>
      <w:r>
        <w:t xml:space="preserve"> </w:t>
      </w:r>
      <w:hyperlink r:id="rId9">
        <w:r>
          <w:rPr>
            <w:rStyle w:val="Hyperlink"/>
          </w:rPr>
          <w:t xml:space="preserve">weekunfong@gmail.com</w:t>
        </w:r>
      </w:hyperlink>
      <w:r>
        <w:br/>
      </w:r>
      <w:r>
        <w:rPr>
          <w:b/>
          <w:bCs/>
        </w:rPr>
        <w:t xml:space="preserve">Status:</w:t>
      </w:r>
      <w:r>
        <w:t xml:space="preserve"> </w:t>
      </w:r>
      <w:r>
        <w:t xml:space="preserve">Confidential, 2026</w:t>
      </w:r>
    </w:p>
    <w:p>
      <w:pPr>
        <w:pStyle w:val="BodyText"/>
      </w:pPr>
      <w:r>
        <w:rPr>
          <w:i/>
          <w:iCs/>
        </w:rPr>
        <w:t xml:space="preserve">Post the requirement. Compare the experts. Trade with protection.</w:t>
      </w:r>
    </w:p>
    <w:bookmarkEnd w:id="10"/>
    <w:bookmarkStart w:id="11" w:name="contents"/>
    <w:p>
      <w:pPr>
        <w:pStyle w:val="Heading2"/>
      </w:pPr>
      <w:r>
        <w:t xml:space="preserve">Contents</w:t>
      </w:r>
    </w:p>
    <w:p>
      <w:pPr>
        <w:pStyle w:val="FirstParagraph"/>
      </w:pPr>
      <w:r>
        <w:rPr>
          <w:b/>
          <w:bCs/>
        </w:rPr>
        <w:t xml:space="preserve">01</w:t>
      </w:r>
      <w:r>
        <w:t xml:space="preserve"> </w:t>
      </w:r>
      <w:r>
        <w:t xml:space="preserve">Executive Summary</w:t>
      </w:r>
      <w:r>
        <w:br/>
      </w:r>
      <w:r>
        <w:rPr>
          <w:b/>
          <w:bCs/>
        </w:rPr>
        <w:t xml:space="preserve">02</w:t>
      </w:r>
      <w:r>
        <w:t xml:space="preserve"> </w:t>
      </w:r>
      <w:r>
        <w:t xml:space="preserve">The Problem and Opportunity</w:t>
      </w:r>
      <w:r>
        <w:br/>
      </w:r>
      <w:r>
        <w:rPr>
          <w:b/>
          <w:bCs/>
        </w:rPr>
        <w:t xml:space="preserve">03</w:t>
      </w:r>
      <w:r>
        <w:t xml:space="preserve"> </w:t>
      </w:r>
      <w:r>
        <w:t xml:space="preserve">The Product</w:t>
      </w:r>
      <w:r>
        <w:br/>
      </w:r>
      <w:r>
        <w:rPr>
          <w:b/>
          <w:bCs/>
        </w:rPr>
        <w:t xml:space="preserve">04</w:t>
      </w:r>
      <w:r>
        <w:t xml:space="preserve"> </w:t>
      </w:r>
      <w:r>
        <w:t xml:space="preserve">Marketplace Protection</w:t>
      </w:r>
      <w:r>
        <w:br/>
      </w:r>
      <w:r>
        <w:rPr>
          <w:b/>
          <w:bCs/>
        </w:rPr>
        <w:t xml:space="preserve">05</w:t>
      </w:r>
      <w:r>
        <w:t xml:space="preserve"> </w:t>
      </w:r>
      <w:r>
        <w:t xml:space="preserve">Market and Launch Focus</w:t>
      </w:r>
      <w:r>
        <w:br/>
      </w:r>
      <w:r>
        <w:rPr>
          <w:b/>
          <w:bCs/>
        </w:rPr>
        <w:t xml:space="preserve">06</w:t>
      </w:r>
      <w:r>
        <w:t xml:space="preserve"> </w:t>
      </w:r>
      <w:r>
        <w:t xml:space="preserve">Competition and Moat</w:t>
      </w:r>
      <w:r>
        <w:br/>
      </w:r>
      <w:r>
        <w:rPr>
          <w:b/>
          <w:bCs/>
        </w:rPr>
        <w:t xml:space="preserve">07</w:t>
      </w:r>
      <w:r>
        <w:t xml:space="preserve"> </w:t>
      </w:r>
      <w:r>
        <w:t xml:space="preserve">Business Model</w:t>
      </w:r>
      <w:r>
        <w:br/>
      </w:r>
      <w:r>
        <w:rPr>
          <w:b/>
          <w:bCs/>
        </w:rPr>
        <w:t xml:space="preserve">08</w:t>
      </w:r>
      <w:r>
        <w:t xml:space="preserve"> </w:t>
      </w:r>
      <w:r>
        <w:t xml:space="preserve">Go-to-Market Strategy</w:t>
      </w:r>
      <w:r>
        <w:br/>
      </w:r>
      <w:r>
        <w:rPr>
          <w:b/>
          <w:bCs/>
        </w:rPr>
        <w:t xml:space="preserve">09</w:t>
      </w:r>
      <w:r>
        <w:t xml:space="preserve"> </w:t>
      </w:r>
      <w:r>
        <w:t xml:space="preserve">Financial Model</w:t>
      </w:r>
      <w:r>
        <w:br/>
      </w:r>
      <w:r>
        <w:rPr>
          <w:b/>
          <w:bCs/>
        </w:rPr>
        <w:t xml:space="preserve">10</w:t>
      </w:r>
      <w:r>
        <w:t xml:space="preserve"> </w:t>
      </w:r>
      <w:r>
        <w:t xml:space="preserve">Traction, Risks and Validation</w:t>
      </w:r>
      <w:r>
        <w:br/>
      </w:r>
      <w:r>
        <w:rPr>
          <w:b/>
          <w:bCs/>
        </w:rPr>
        <w:t xml:space="preserve">11</w:t>
      </w:r>
      <w:r>
        <w:t xml:space="preserve"> </w:t>
      </w:r>
      <w:r>
        <w:t xml:space="preserve">The Team</w:t>
      </w:r>
      <w:r>
        <w:br/>
      </w:r>
      <w:r>
        <w:rPr>
          <w:b/>
          <w:bCs/>
        </w:rPr>
        <w:t xml:space="preserve">12</w:t>
      </w:r>
      <w:r>
        <w:t xml:space="preserve"> </w:t>
      </w:r>
      <w:r>
        <w:t xml:space="preserve">Roadmap and The Ask</w:t>
      </w:r>
      <w:r>
        <w:br/>
      </w:r>
      <w:r>
        <w:rPr>
          <w:b/>
          <w:bCs/>
        </w:rPr>
        <w:t xml:space="preserve">APPENDIX</w:t>
      </w:r>
      <w:r>
        <w:t xml:space="preserve"> </w:t>
      </w:r>
      <w:r>
        <w:t xml:space="preserve">Operating, Verification and Governance Frameworks</w:t>
      </w:r>
    </w:p>
    <w:bookmarkEnd w:id="11"/>
    <w:bookmarkStart w:id="13" w:name="Xf7b4f9a79fc69a9146c8544be615c71f9edaa44"/>
    <w:p>
      <w:pPr>
        <w:pStyle w:val="Heading2"/>
      </w:pPr>
      <w:r>
        <w:t xml:space="preserve">01 Executive Summary</w:t>
      </w:r>
    </w:p>
    <w:p>
      <w:pPr>
        <w:pStyle w:val="FirstParagraph"/>
      </w:pPr>
      <w:r>
        <w:t xml:space="preserve">TradeOS organises a market that already exists but still operates through personal contacts, private messages and inconsistent quotations. When a business needs a hard-to-find machine, it posts one structured RFQ. Multiple middlemen use their local networks to locate suitable machines and submit competing bids.</w:t>
      </w:r>
    </w:p>
    <w:p>
      <w:pPr>
        <w:pStyle w:val="BodyText"/>
      </w:pPr>
      <w:r>
        <w:t xml:space="preserve">The initial category is used heavy construction equipment located in Korea for ASEAN buyers. This includes excavators, wheel loaders, bulldozers, generators and similar high-value machines from manufacturers such as Caterpillar, HD Hyundai and Develon.</w:t>
      </w:r>
    </w:p>
    <w:p>
      <w:pPr>
        <w:pStyle w:val="BodyText"/>
      </w:pPr>
      <w:r>
        <w:t xml:space="preserve">Every bid separates the machine price, middleman commission, logistics and other costs. It also states the total delivered price, delivery timeline, payment terms and available verification. This allows the buyer to compare complete offers instead of negotiating separately with unknown brokers.</w:t>
      </w:r>
    </w:p>
    <w:p>
      <w:pPr>
        <w:pStyle w:val="BodyText"/>
      </w:pPr>
      <w:r>
        <w:t xml:space="preserve">Buyers do not pay a monthly subscription during the initial model. To publish an RFQ, a buyer funds a small refundable deposit through a payment partner. The deposit discourages fake requests and price fishing while keeping buyer participation accessible. Middlemen subscribe for recurring access to qualified demand.</w:t>
      </w:r>
    </w:p>
    <w:p>
      <w:pPr>
        <w:pStyle w:val="BodyText"/>
      </w:pPr>
      <w:r>
        <w:t xml:space="preserve">When the buyer selects a bid, payment is initiated and tracked inside TradeOS. A licensed escrow or payment partner, not TradeOS, holds the funds and releases them against agreed milestones. The buyer may also purchase third-party checks covering the middleman, original supplier, exact machine, condition, ownership evidence and shipping documents.</w:t>
      </w:r>
    </w:p>
    <w:p>
      <w:pPr>
        <w:pStyle w:val="BodyText"/>
      </w:pPr>
      <w:r>
        <w:t xml:space="preserve">TradeOS begins with a narrow Korea-to-ASEAN heavy-equipment corridor. The company will expand only after it proves repeat RFQs, competitive bid coverage, protected transactions and paid middleman retention.</w:t>
      </w:r>
    </w:p>
    <w:bookmarkStart w:id="12" w:name="investment-highlights"/>
    <w:p>
      <w:pPr>
        <w:pStyle w:val="Heading3"/>
      </w:pPr>
      <w:r>
        <w:t xml:space="preserve">Investment Highlights</w:t>
      </w:r>
    </w:p>
    <w:p>
      <w:pPr>
        <w:pStyle w:val="Compact"/>
        <w:numPr>
          <w:ilvl w:val="0"/>
          <w:numId w:val="1001"/>
        </w:numPr>
      </w:pPr>
      <w:r>
        <w:rPr>
          <w:b/>
          <w:bCs/>
        </w:rPr>
        <w:t xml:space="preserve">A clear user problem.</w:t>
      </w:r>
      <w:r>
        <w:t xml:space="preserve"> </w:t>
      </w:r>
      <w:r>
        <w:t xml:space="preserve">Buyers struggle to locate and compare niche used machines across borders.</w:t>
      </w:r>
    </w:p>
    <w:p>
      <w:pPr>
        <w:pStyle w:val="Compact"/>
        <w:numPr>
          <w:ilvl w:val="0"/>
          <w:numId w:val="1001"/>
        </w:numPr>
      </w:pPr>
      <w:r>
        <w:rPr>
          <w:b/>
          <w:bCs/>
        </w:rPr>
        <w:t xml:space="preserve">A useful role for middlemen.</w:t>
      </w:r>
      <w:r>
        <w:t xml:space="preserve"> </w:t>
      </w:r>
      <w:r>
        <w:t xml:space="preserve">TradeOS organises sourcing intermediaries instead of assuming they should be removed.</w:t>
      </w:r>
    </w:p>
    <w:p>
      <w:pPr>
        <w:pStyle w:val="Compact"/>
        <w:numPr>
          <w:ilvl w:val="0"/>
          <w:numId w:val="1001"/>
        </w:numPr>
      </w:pPr>
      <w:r>
        <w:rPr>
          <w:b/>
          <w:bCs/>
        </w:rPr>
        <w:t xml:space="preserve">Competitive sourcing.</w:t>
      </w:r>
      <w:r>
        <w:t xml:space="preserve"> </w:t>
      </w:r>
      <w:r>
        <w:t xml:space="preserve">One buyer RFQ produces multiple comparable offers.</w:t>
      </w:r>
    </w:p>
    <w:p>
      <w:pPr>
        <w:pStyle w:val="Compact"/>
        <w:numPr>
          <w:ilvl w:val="0"/>
          <w:numId w:val="1001"/>
        </w:numPr>
      </w:pPr>
      <w:r>
        <w:rPr>
          <w:b/>
          <w:bCs/>
        </w:rPr>
        <w:t xml:space="preserve">Serious buyer demand.</w:t>
      </w:r>
      <w:r>
        <w:t xml:space="preserve"> </w:t>
      </w:r>
      <w:r>
        <w:t xml:space="preserve">Refundable RFQ deposits discourage spam and abandoned requests.</w:t>
      </w:r>
    </w:p>
    <w:p>
      <w:pPr>
        <w:pStyle w:val="Compact"/>
        <w:numPr>
          <w:ilvl w:val="0"/>
          <w:numId w:val="1001"/>
        </w:numPr>
      </w:pPr>
      <w:r>
        <w:rPr>
          <w:b/>
          <w:bCs/>
        </w:rPr>
        <w:t xml:space="preserve">Source protection.</w:t>
      </w:r>
      <w:r>
        <w:t xml:space="preserve"> </w:t>
      </w:r>
      <w:r>
        <w:t xml:space="preserve">Confidential evidence and staged disclosure protect middlemen from being bypassed.</w:t>
      </w:r>
    </w:p>
    <w:p>
      <w:pPr>
        <w:pStyle w:val="Compact"/>
        <w:numPr>
          <w:ilvl w:val="0"/>
          <w:numId w:val="1001"/>
        </w:numPr>
      </w:pPr>
      <w:r>
        <w:rPr>
          <w:b/>
          <w:bCs/>
        </w:rPr>
        <w:t xml:space="preserve">Optional independent assurance.</w:t>
      </w:r>
      <w:r>
        <w:t xml:space="preserve"> </w:t>
      </w:r>
      <w:r>
        <w:t xml:space="preserve">Buyers choose and pay for checks proportionate to transaction risk.</w:t>
      </w:r>
    </w:p>
    <w:p>
      <w:pPr>
        <w:pStyle w:val="Compact"/>
        <w:numPr>
          <w:ilvl w:val="0"/>
          <w:numId w:val="1001"/>
        </w:numPr>
      </w:pPr>
      <w:r>
        <w:rPr>
          <w:b/>
          <w:bCs/>
        </w:rPr>
        <w:t xml:space="preserve">Protected payment.</w:t>
      </w:r>
      <w:r>
        <w:t xml:space="preserve"> </w:t>
      </w:r>
      <w:r>
        <w:t xml:space="preserve">A licensed partner holds funds while TradeOS manages the transaction workflow.</w:t>
      </w:r>
    </w:p>
    <w:p>
      <w:pPr>
        <w:pStyle w:val="Compact"/>
        <w:numPr>
          <w:ilvl w:val="0"/>
          <w:numId w:val="1001"/>
        </w:numPr>
      </w:pPr>
      <w:r>
        <w:rPr>
          <w:b/>
          <w:bCs/>
        </w:rPr>
        <w:t xml:space="preserve">Focused founder access.</w:t>
      </w:r>
      <w:r>
        <w:t xml:space="preserve"> </w:t>
      </w:r>
      <w:r>
        <w:t xml:space="preserve">The team has approximately 20 existing industry contacts in the launch market.</w:t>
      </w:r>
    </w:p>
    <w:bookmarkEnd w:id="12"/>
    <w:bookmarkEnd w:id="13"/>
    <w:bookmarkStart w:id="15" w:name="Xd773c35a72f7152e1dddf917dfc2fa8c6991477"/>
    <w:p>
      <w:pPr>
        <w:pStyle w:val="Heading2"/>
      </w:pPr>
      <w:r>
        <w:t xml:space="preserve">02 The Problem and Opportunity</w:t>
      </w:r>
    </w:p>
    <w:p>
      <w:pPr>
        <w:pStyle w:val="FirstParagraph"/>
      </w:pPr>
      <w:r>
        <w:t xml:space="preserve">Used heavy equipment is difficult to source remotely. A model name alone is not enough. Buyers must consider the machine year, operating hours, configuration, service history, serial number, physical condition, location, export eligibility, shipping cost and whether the party offering it has authority to sell it.</w:t>
      </w:r>
    </w:p>
    <w:p>
      <w:pPr>
        <w:pStyle w:val="BodyText"/>
      </w:pPr>
      <w:r>
        <w:t xml:space="preserve">Middlemen already solve these problems through local knowledge and supplier relationships. However, buyers usually discover one middleman at a time. Quotations arrive through email or messaging applications, commissions may be unclear, evidence is difficult to compare and the buyer has limited protection if the machine is misrepresented.</w:t>
      </w:r>
    </w:p>
    <w:p>
      <w:pPr>
        <w:pStyle w:val="BodyText"/>
      </w:pPr>
      <w:r>
        <w:t xml:space="preserve">Existing product marketplaces start with listed inventory. TradeOS starts with buyer demand. This matters when the required machine is unlisted, privately held, recently available or discoverable only through local relationships.</w:t>
      </w:r>
    </w:p>
    <w:p>
      <w:pPr>
        <w:pStyle w:val="BodyText"/>
      </w:pPr>
      <w:r>
        <w:rPr>
          <w:b/>
          <w:bCs/>
        </w:rPr>
        <w:t xml:space="preserve">The core insight:</w:t>
      </w:r>
      <w:r>
        <w:t xml:space="preserve"> </w:t>
      </w:r>
      <w:r>
        <w:t xml:space="preserve">The middleman is not the problem. The problem is that buyers cannot efficiently discover, compare, protect and verify multiple middlemen working on the same specialised requirement.</w:t>
      </w:r>
    </w:p>
    <w:bookmarkStart w:id="14" w:name="why-the-initial-category-fits"/>
    <w:p>
      <w:pPr>
        <w:pStyle w:val="Heading3"/>
      </w:pPr>
      <w:r>
        <w:t xml:space="preserve">Why the Initial Category Fits</w:t>
      </w:r>
    </w:p>
    <w:p>
      <w:pPr>
        <w:pStyle w:val="Compact"/>
        <w:numPr>
          <w:ilvl w:val="0"/>
          <w:numId w:val="1002"/>
        </w:numPr>
      </w:pPr>
      <w:r>
        <w:t xml:space="preserve">Heavy machines have enough transaction value to justify professional sourcing and inspection.</w:t>
      </w:r>
    </w:p>
    <w:p>
      <w:pPr>
        <w:pStyle w:val="Compact"/>
        <w:numPr>
          <w:ilvl w:val="0"/>
          <w:numId w:val="1002"/>
        </w:numPr>
      </w:pPr>
      <w:r>
        <w:t xml:space="preserve">Used-machine condition cannot be evaluated from a model name or a few seller photographs.</w:t>
      </w:r>
    </w:p>
    <w:p>
      <w:pPr>
        <w:pStyle w:val="Compact"/>
        <w:numPr>
          <w:ilvl w:val="0"/>
          <w:numId w:val="1002"/>
        </w:numPr>
      </w:pPr>
      <w:r>
        <w:t xml:space="preserve">Serial numbers, operating hours, service records and physical inspection create concrete evidence requirements.</w:t>
      </w:r>
    </w:p>
    <w:p>
      <w:pPr>
        <w:pStyle w:val="Compact"/>
        <w:numPr>
          <w:ilvl w:val="0"/>
          <w:numId w:val="1002"/>
        </w:numPr>
      </w:pPr>
      <w:r>
        <w:t xml:space="preserve">Cross-border logistics and import compliance make local intermediary knowledge valuable.</w:t>
      </w:r>
    </w:p>
    <w:p>
      <w:pPr>
        <w:pStyle w:val="Compact"/>
        <w:numPr>
          <w:ilvl w:val="0"/>
          <w:numId w:val="1002"/>
        </w:numPr>
      </w:pPr>
      <w:r>
        <w:t xml:space="preserve">Korea provides a focused source market, while ASEAN provides a defined initial buyer region.</w:t>
      </w:r>
    </w:p>
    <w:bookmarkEnd w:id="14"/>
    <w:bookmarkEnd w:id="15"/>
    <w:bookmarkStart w:id="24" w:name="Xd4a8e09dbd0b499567d7e7fd0136bc48a3e3f6e"/>
    <w:p>
      <w:pPr>
        <w:pStyle w:val="Heading2"/>
      </w:pPr>
      <w:r>
        <w:t xml:space="preserve">03 The Product</w:t>
      </w:r>
    </w:p>
    <w:bookmarkStart w:id="16" w:name="X5d4a6354839ed3737491b14a410c7b57071c095"/>
    <w:p>
      <w:pPr>
        <w:pStyle w:val="Heading3"/>
      </w:pPr>
      <w:r>
        <w:t xml:space="preserve">1. Buyer RFQ and Refundable Deposit</w:t>
      </w:r>
    </w:p>
    <w:p>
      <w:pPr>
        <w:pStyle w:val="FirstParagraph"/>
      </w:pPr>
      <w:r>
        <w:t xml:space="preserve">The buyer creates an RFQ containing:</w:t>
      </w:r>
    </w:p>
    <w:p>
      <w:pPr>
        <w:pStyle w:val="Compact"/>
        <w:numPr>
          <w:ilvl w:val="0"/>
          <w:numId w:val="1003"/>
        </w:numPr>
      </w:pPr>
      <w:r>
        <w:t xml:space="preserve">Machine type, preferred make and model</w:t>
      </w:r>
    </w:p>
    <w:p>
      <w:pPr>
        <w:pStyle w:val="Compact"/>
        <w:numPr>
          <w:ilvl w:val="0"/>
          <w:numId w:val="1003"/>
        </w:numPr>
      </w:pPr>
      <w:r>
        <w:t xml:space="preserve">Acceptable year and operating-hour range</w:t>
      </w:r>
    </w:p>
    <w:p>
      <w:pPr>
        <w:pStyle w:val="Compact"/>
        <w:numPr>
          <w:ilvl w:val="0"/>
          <w:numId w:val="1003"/>
        </w:numPr>
      </w:pPr>
      <w:r>
        <w:t xml:space="preserve">Required configuration, attachments and technical specifications</w:t>
      </w:r>
    </w:p>
    <w:p>
      <w:pPr>
        <w:pStyle w:val="Compact"/>
        <w:numPr>
          <w:ilvl w:val="0"/>
          <w:numId w:val="1003"/>
        </w:numPr>
      </w:pPr>
      <w:r>
        <w:t xml:space="preserve">Condition requirements and acceptable repair history</w:t>
      </w:r>
    </w:p>
    <w:p>
      <w:pPr>
        <w:pStyle w:val="Compact"/>
        <w:numPr>
          <w:ilvl w:val="0"/>
          <w:numId w:val="1003"/>
        </w:numPr>
      </w:pPr>
      <w:r>
        <w:t xml:space="preserve">Budget, quantity and preferred payment terms</w:t>
      </w:r>
    </w:p>
    <w:p>
      <w:pPr>
        <w:pStyle w:val="Compact"/>
        <w:numPr>
          <w:ilvl w:val="0"/>
          <w:numId w:val="1003"/>
        </w:numPr>
      </w:pPr>
      <w:r>
        <w:t xml:space="preserve">Destination, delivery deadline and import requirements</w:t>
      </w:r>
    </w:p>
    <w:p>
      <w:pPr>
        <w:pStyle w:val="Compact"/>
        <w:numPr>
          <w:ilvl w:val="0"/>
          <w:numId w:val="1003"/>
        </w:numPr>
      </w:pPr>
      <w:r>
        <w:t xml:space="preserve">Reference images, manuals or supporting documents</w:t>
      </w:r>
    </w:p>
    <w:p>
      <w:pPr>
        <w:pStyle w:val="FirstParagraph"/>
      </w:pPr>
      <w:r>
        <w:t xml:space="preserve">Before publication, the buyer funds an illustrative US</w:t>
      </w:r>
      <m:oMath>
        <m:r>
          <m:t>100</m:t>
        </m:r>
        <m:r>
          <m:rPr>
            <m:sty m:val="p"/>
          </m:rPr>
          <m:t>−</m:t>
        </m:r>
        <m:r>
          <m:t>U</m:t>
        </m:r>
        <m:r>
          <m:t>S</m:t>
        </m:r>
      </m:oMath>
      <w:r>
        <w:t xml:space="preserve">500 deposit, scaled by RFQ value, through a payment partner. The deposit is returned when the buyer awards the RFQ or closes it properly and provides required outcome feedback. Forfeiture must be limited to clearly defined spam, fraud or abandonment. Deposits are not included in revenue forecasts.</w:t>
      </w:r>
    </w:p>
    <w:bookmarkEnd w:id="16"/>
    <w:bookmarkStart w:id="17" w:name="Xd911c02061001fc2ef0decf310dc181fe944448"/>
    <w:p>
      <w:pPr>
        <w:pStyle w:val="Heading3"/>
      </w:pPr>
      <w:r>
        <w:t xml:space="preserve">2. Middleman Opportunity Board</w:t>
      </w:r>
    </w:p>
    <w:p>
      <w:pPr>
        <w:pStyle w:val="FirstParagraph"/>
      </w:pPr>
      <w:r>
        <w:t xml:space="preserve">Subscribed middlemen receive RFQs matching their categories and sourcing locations. Each middleman decides whether it has the relationships and expertise to produce a credible offer.</w:t>
      </w:r>
    </w:p>
    <w:bookmarkEnd w:id="17"/>
    <w:bookmarkStart w:id="18" w:name="Xed0506ab3c14068608424221036b85e654f01d1"/>
    <w:p>
      <w:pPr>
        <w:pStyle w:val="Heading3"/>
      </w:pPr>
      <w:r>
        <w:t xml:space="preserve">3. Structured Competitive Bidding</w:t>
      </w:r>
    </w:p>
    <w:p>
      <w:pPr>
        <w:pStyle w:val="FirstParagraph"/>
      </w:pPr>
      <w:r>
        <w:t xml:space="preserve">Every bid must show:</w:t>
      </w:r>
    </w:p>
    <w:p>
      <w:pPr>
        <w:pStyle w:val="Compact"/>
        <w:numPr>
          <w:ilvl w:val="0"/>
          <w:numId w:val="1004"/>
        </w:numPr>
      </w:pPr>
      <w:r>
        <w:t xml:space="preserve">Machine price</w:t>
      </w:r>
    </w:p>
    <w:p>
      <w:pPr>
        <w:pStyle w:val="Compact"/>
        <w:numPr>
          <w:ilvl w:val="0"/>
          <w:numId w:val="1004"/>
        </w:numPr>
      </w:pPr>
      <w:r>
        <w:t xml:space="preserve">Middleman commission</w:t>
      </w:r>
    </w:p>
    <w:p>
      <w:pPr>
        <w:pStyle w:val="Compact"/>
        <w:numPr>
          <w:ilvl w:val="0"/>
          <w:numId w:val="1004"/>
        </w:numPr>
      </w:pPr>
      <w:r>
        <w:t xml:space="preserve">Inland transport, export, freight and other itemised costs</w:t>
      </w:r>
    </w:p>
    <w:p>
      <w:pPr>
        <w:pStyle w:val="Compact"/>
        <w:numPr>
          <w:ilvl w:val="0"/>
          <w:numId w:val="1004"/>
        </w:numPr>
      </w:pPr>
      <w:r>
        <w:t xml:space="preserve">Total delivered price under a stated Incoterm</w:t>
      </w:r>
    </w:p>
    <w:p>
      <w:pPr>
        <w:pStyle w:val="Compact"/>
        <w:numPr>
          <w:ilvl w:val="0"/>
          <w:numId w:val="1004"/>
        </w:numPr>
      </w:pPr>
      <w:r>
        <w:t xml:space="preserve">Delivery timeline and bid-validity period</w:t>
      </w:r>
    </w:p>
    <w:p>
      <w:pPr>
        <w:pStyle w:val="Compact"/>
        <w:numPr>
          <w:ilvl w:val="0"/>
          <w:numId w:val="1004"/>
        </w:numPr>
      </w:pPr>
      <w:r>
        <w:t xml:space="preserve">Payment and escrow milestones</w:t>
      </w:r>
    </w:p>
    <w:p>
      <w:pPr>
        <w:pStyle w:val="Compact"/>
        <w:numPr>
          <w:ilvl w:val="0"/>
          <w:numId w:val="1004"/>
        </w:numPr>
      </w:pPr>
      <w:r>
        <w:t xml:space="preserve">Product evidence and inspection availability</w:t>
      </w:r>
    </w:p>
    <w:p>
      <w:pPr>
        <w:pStyle w:val="Compact"/>
        <w:numPr>
          <w:ilvl w:val="0"/>
          <w:numId w:val="1004"/>
        </w:numPr>
      </w:pPr>
      <w:r>
        <w:t xml:space="preserve">Warranty, return or rejection terms, if any</w:t>
      </w:r>
    </w:p>
    <w:p>
      <w:pPr>
        <w:pStyle w:val="FirstParagraph"/>
      </w:pPr>
      <w:r>
        <w:t xml:space="preserve">Middlemen may see anonymised total bid prices but never competitor identities, suppliers, photographs, serial numbers, documents or commercial breakdowns. To reduce destructive undercutting, the pilot will use a sealed first round followed by one controlled best-and-final-price round. Only middlemen that submitted a credible first-round bid may join the final round.</w:t>
      </w:r>
    </w:p>
    <w:bookmarkEnd w:id="18"/>
    <w:bookmarkStart w:id="19" w:name="X91d802002345000029b38573791b50416ef652f"/>
    <w:p>
      <w:pPr>
        <w:pStyle w:val="Heading3"/>
      </w:pPr>
      <w:r>
        <w:t xml:space="preserve">4. Minimum Credible Bid Standard</w:t>
      </w:r>
    </w:p>
    <w:p>
      <w:pPr>
        <w:pStyle w:val="FirstParagraph"/>
      </w:pPr>
      <w:r>
        <w:t xml:space="preserve">A bid is not eligible for comparison unless it contains:</w:t>
      </w:r>
    </w:p>
    <w:p>
      <w:pPr>
        <w:pStyle w:val="Compact"/>
        <w:numPr>
          <w:ilvl w:val="0"/>
          <w:numId w:val="1005"/>
        </w:numPr>
      </w:pPr>
      <w:r>
        <w:t xml:space="preserve">Exact make, model, year and full serial number submitted to the confidential vault</w:t>
      </w:r>
    </w:p>
    <w:p>
      <w:pPr>
        <w:pStyle w:val="Compact"/>
        <w:numPr>
          <w:ilvl w:val="0"/>
          <w:numId w:val="1005"/>
        </w:numPr>
      </w:pPr>
      <w:r>
        <w:t xml:space="preserve">Current operating hours supported by a dated dashboard photograph</w:t>
      </w:r>
    </w:p>
    <w:p>
      <w:pPr>
        <w:pStyle w:val="Compact"/>
        <w:numPr>
          <w:ilvl w:val="0"/>
          <w:numId w:val="1005"/>
        </w:numPr>
      </w:pPr>
      <w:r>
        <w:t xml:space="preserve">Date-stamped photographs covering all sides, cabin, engine bay, undercarriage or tyres, attachments and visible damage</w:t>
      </w:r>
    </w:p>
    <w:p>
      <w:pPr>
        <w:pStyle w:val="Compact"/>
        <w:numPr>
          <w:ilvl w:val="0"/>
          <w:numId w:val="1005"/>
        </w:numPr>
      </w:pPr>
      <w:r>
        <w:t xml:space="preserve">A short challenge video showing a TradeOS-generated code, cold start, dashboard, engine operation and basic movement where safe and permitted</w:t>
      </w:r>
    </w:p>
    <w:p>
      <w:pPr>
        <w:pStyle w:val="Compact"/>
        <w:numPr>
          <w:ilvl w:val="0"/>
          <w:numId w:val="1005"/>
        </w:numPr>
      </w:pPr>
      <w:r>
        <w:t xml:space="preserve">City-level machine location for the buyer and exact location in the confidential vault</w:t>
      </w:r>
    </w:p>
    <w:p>
      <w:pPr>
        <w:pStyle w:val="Compact"/>
        <w:numPr>
          <w:ilvl w:val="0"/>
          <w:numId w:val="1005"/>
        </w:numPr>
      </w:pPr>
      <w:r>
        <w:t xml:space="preserve">Written confirmation that the machine is currently available, refreshed within 72 hours of the bid deadline</w:t>
      </w:r>
    </w:p>
    <w:p>
      <w:pPr>
        <w:pStyle w:val="Compact"/>
        <w:numPr>
          <w:ilvl w:val="0"/>
          <w:numId w:val="1005"/>
        </w:numPr>
      </w:pPr>
      <w:r>
        <w:t xml:space="preserve">Seller or owner confirmation and evidence that the middleman is authorised to offer the machine</w:t>
      </w:r>
    </w:p>
    <w:p>
      <w:pPr>
        <w:pStyle w:val="Compact"/>
        <w:numPr>
          <w:ilvl w:val="0"/>
          <w:numId w:val="1005"/>
        </w:numPr>
      </w:pPr>
      <w:r>
        <w:t xml:space="preserve">Available maintenance, repair, accident and ownership records</w:t>
      </w:r>
    </w:p>
    <w:p>
      <w:pPr>
        <w:pStyle w:val="Compact"/>
        <w:numPr>
          <w:ilvl w:val="0"/>
          <w:numId w:val="1005"/>
        </w:numPr>
      </w:pPr>
      <w:r>
        <w:t xml:space="preserve">Disclosure of known defects, replaced components, liens or missing documents</w:t>
      </w:r>
    </w:p>
    <w:p>
      <w:pPr>
        <w:pStyle w:val="Compact"/>
        <w:numPr>
          <w:ilvl w:val="0"/>
          <w:numId w:val="1005"/>
        </w:numPr>
      </w:pPr>
      <w:r>
        <w:t xml:space="preserve">Permission for an independent inspector to access the machine</w:t>
      </w:r>
    </w:p>
    <w:p>
      <w:pPr>
        <w:pStyle w:val="Compact"/>
        <w:numPr>
          <w:ilvl w:val="0"/>
          <w:numId w:val="1005"/>
        </w:numPr>
      </w:pPr>
      <w:r>
        <w:t xml:space="preserve">Complete commercial terms, commission and offer-validity period</w:t>
      </w:r>
    </w:p>
    <w:p>
      <w:pPr>
        <w:pStyle w:val="FirstParagraph"/>
      </w:pPr>
      <w:r>
        <w:t xml:space="preserve">Evidence quality does not replace physical inspection. It determines whether a bid is complete enough to reach the buyer.</w:t>
      </w:r>
    </w:p>
    <w:bookmarkEnd w:id="19"/>
    <w:bookmarkStart w:id="20" w:name="Xd843dfe14b3d65ae33975aff24b6a37b2fffd87"/>
    <w:p>
      <w:pPr>
        <w:pStyle w:val="Heading3"/>
      </w:pPr>
      <w:r>
        <w:t xml:space="preserve">5. Built-in Messaging and Deal Workspace</w:t>
      </w:r>
    </w:p>
    <w:p>
      <w:pPr>
        <w:pStyle w:val="FirstParagraph"/>
      </w:pPr>
      <w:r>
        <w:t xml:space="preserve">Buyers and middlemen communicate inside each RFQ. Clarifications, revised bids, photographs, documents, verification reports, contracts and payment milestones remain linked to the deal and visible to authorised team members.</w:t>
      </w:r>
    </w:p>
    <w:bookmarkEnd w:id="20"/>
    <w:bookmarkStart w:id="21" w:name="X9aa84dab6b8bfd483b8e32fc4b5969635434c46"/>
    <w:p>
      <w:pPr>
        <w:pStyle w:val="Heading3"/>
      </w:pPr>
      <w:r>
        <w:t xml:space="preserve">6. Confidential Evidence Vault</w:t>
      </w:r>
    </w:p>
    <w:p>
      <w:pPr>
        <w:pStyle w:val="FirstParagraph"/>
      </w:pPr>
      <w:r>
        <w:t xml:space="preserve">Before the buyer funds the selected transaction, the buyer sees only:</w:t>
      </w:r>
    </w:p>
    <w:p>
      <w:pPr>
        <w:pStyle w:val="Compact"/>
        <w:numPr>
          <w:ilvl w:val="0"/>
          <w:numId w:val="1006"/>
        </w:numPr>
      </w:pPr>
      <w:r>
        <w:t xml:space="preserve">City-level location</w:t>
      </w:r>
    </w:p>
    <w:p>
      <w:pPr>
        <w:pStyle w:val="Compact"/>
        <w:numPr>
          <w:ilvl w:val="0"/>
          <w:numId w:val="1006"/>
        </w:numPr>
      </w:pPr>
      <w:r>
        <w:t xml:space="preserve">Partially masked serial number</w:t>
      </w:r>
    </w:p>
    <w:p>
      <w:pPr>
        <w:pStyle w:val="Compact"/>
        <w:numPr>
          <w:ilvl w:val="0"/>
          <w:numId w:val="1006"/>
        </w:numPr>
      </w:pPr>
      <w:r>
        <w:t xml:space="preserve">Watermarked photographs with metadata removed</w:t>
      </w:r>
    </w:p>
    <w:p>
      <w:pPr>
        <w:pStyle w:val="Compact"/>
        <w:numPr>
          <w:ilvl w:val="0"/>
          <w:numId w:val="1006"/>
        </w:numPr>
      </w:pPr>
      <w:r>
        <w:t xml:space="preserve">Standardised machine and condition summary</w:t>
      </w:r>
    </w:p>
    <w:p>
      <w:pPr>
        <w:pStyle w:val="Compact"/>
        <w:numPr>
          <w:ilvl w:val="0"/>
          <w:numId w:val="1006"/>
        </w:numPr>
      </w:pPr>
      <w:r>
        <w:t xml:space="preserve">Verification status and disclosed commercial terms</w:t>
      </w:r>
    </w:p>
    <w:p>
      <w:pPr>
        <w:pStyle w:val="FirstParagraph"/>
      </w:pPr>
      <w:r>
        <w:t xml:space="preserve">The full serial number, exact location, original supplier identity and unredacted documents remain in a restricted vault. They are accessible only to authorised TradeOS operations staff and the selected verification provider. Full disclosure occurs according to the contract, normally after the buyer funds escrow.</w:t>
      </w:r>
    </w:p>
    <w:bookmarkEnd w:id="21"/>
    <w:bookmarkStart w:id="22" w:name="X280d35732867b8716faf77a80bb47399c513076"/>
    <w:p>
      <w:pPr>
        <w:pStyle w:val="Heading3"/>
      </w:pPr>
      <w:r>
        <w:t xml:space="preserve">7. Optional Buyer-Paid Verification</w:t>
      </w:r>
    </w:p>
    <w:p>
      <w:pPr>
        <w:pStyle w:val="FirstParagraph"/>
      </w:pPr>
      <w:r>
        <w:t xml:space="preserve">The buyer chooses the checks required for the selected bid and pays the independent provider. Verification may include:</w:t>
      </w:r>
    </w:p>
    <w:p>
      <w:pPr>
        <w:pStyle w:val="Compact"/>
        <w:numPr>
          <w:ilvl w:val="0"/>
          <w:numId w:val="1007"/>
        </w:numPr>
      </w:pPr>
      <w:r>
        <w:t xml:space="preserve">Middleman identity, business registration and authority to act</w:t>
      </w:r>
    </w:p>
    <w:p>
      <w:pPr>
        <w:pStyle w:val="Compact"/>
        <w:numPr>
          <w:ilvl w:val="0"/>
          <w:numId w:val="1007"/>
        </w:numPr>
      </w:pPr>
      <w:r>
        <w:t xml:space="preserve">Original supplier identity, legal existence and relationship to the middleman</w:t>
      </w:r>
    </w:p>
    <w:p>
      <w:pPr>
        <w:pStyle w:val="Compact"/>
        <w:numPr>
          <w:ilvl w:val="0"/>
          <w:numId w:val="1007"/>
        </w:numPr>
      </w:pPr>
      <w:r>
        <w:t xml:space="preserve">Machine make, model, serial number, year, hours and configuration</w:t>
      </w:r>
    </w:p>
    <w:p>
      <w:pPr>
        <w:pStyle w:val="Compact"/>
        <w:numPr>
          <w:ilvl w:val="0"/>
          <w:numId w:val="1007"/>
        </w:numPr>
      </w:pPr>
      <w:r>
        <w:t xml:space="preserve">Visual and operational condition inspection</w:t>
      </w:r>
    </w:p>
    <w:p>
      <w:pPr>
        <w:pStyle w:val="Compact"/>
        <w:numPr>
          <w:ilvl w:val="0"/>
          <w:numId w:val="1007"/>
        </w:numPr>
      </w:pPr>
      <w:r>
        <w:t xml:space="preserve">Undercarriage or tyre wear, leaks, structural damage and safety systems</w:t>
      </w:r>
    </w:p>
    <w:p>
      <w:pPr>
        <w:pStyle w:val="Compact"/>
        <w:numPr>
          <w:ilvl w:val="0"/>
          <w:numId w:val="1007"/>
        </w:numPr>
      </w:pPr>
      <w:r>
        <w:t xml:space="preserve">Electronic fault-code scan where supported</w:t>
      </w:r>
    </w:p>
    <w:p>
      <w:pPr>
        <w:pStyle w:val="Compact"/>
        <w:numPr>
          <w:ilvl w:val="0"/>
          <w:numId w:val="1007"/>
        </w:numPr>
      </w:pPr>
      <w:r>
        <w:t xml:space="preserve">Fluid sampling or laboratory analysis where justified</w:t>
      </w:r>
    </w:p>
    <w:p>
      <w:pPr>
        <w:pStyle w:val="Compact"/>
        <w:numPr>
          <w:ilvl w:val="0"/>
          <w:numId w:val="1007"/>
        </w:numPr>
      </w:pPr>
      <w:r>
        <w:t xml:space="preserve">Service, repair and ownership records where available</w:t>
      </w:r>
    </w:p>
    <w:p>
      <w:pPr>
        <w:pStyle w:val="Compact"/>
        <w:numPr>
          <w:ilvl w:val="0"/>
          <w:numId w:val="1007"/>
        </w:numPr>
      </w:pPr>
      <w:r>
        <w:t xml:space="preserve">Export, shipping and import-compliance documents</w:t>
      </w:r>
    </w:p>
    <w:p>
      <w:pPr>
        <w:pStyle w:val="Compact"/>
        <w:numPr>
          <w:ilvl w:val="0"/>
          <w:numId w:val="1007"/>
        </w:numPr>
      </w:pPr>
      <w:r>
        <w:t xml:space="preserve">Packing, loading and bill-of-lading evidence</w:t>
      </w:r>
    </w:p>
    <w:p>
      <w:pPr>
        <w:pStyle w:val="FirstParagraph"/>
      </w:pPr>
      <w:r>
        <w:t xml:space="preserve">The report states exactly what was checked, when it was checked, what evidence was supplied by another party and what could not be confirmed. Verification is not a warranty of future performance or of latent defects outside the agreed inspection scope.</w:t>
      </w:r>
    </w:p>
    <w:bookmarkEnd w:id="22"/>
    <w:bookmarkStart w:id="23" w:name="X8194aeaa83d677f226fd83593f96cc921672544"/>
    <w:p>
      <w:pPr>
        <w:pStyle w:val="Heading3"/>
      </w:pPr>
      <w:r>
        <w:t xml:space="preserve">8. Protected In-Platform Payment</w:t>
      </w:r>
    </w:p>
    <w:p>
      <w:pPr>
        <w:pStyle w:val="FirstParagraph"/>
      </w:pPr>
      <w:r>
        <w:t xml:space="preserve">The buyer accepts a contract with the selected middleman and funds the transaction through TradeOS's interface. A licensed escrow partner holds the money. A typical milestone structure may be:</w:t>
      </w:r>
    </w:p>
    <w:p>
      <w:pPr>
        <w:pStyle w:val="Compact"/>
        <w:numPr>
          <w:ilvl w:val="0"/>
          <w:numId w:val="1008"/>
        </w:numPr>
      </w:pPr>
      <w:r>
        <w:t xml:space="preserve">Buyer funds escrow.</w:t>
      </w:r>
    </w:p>
    <w:p>
      <w:pPr>
        <w:pStyle w:val="Compact"/>
        <w:numPr>
          <w:ilvl w:val="0"/>
          <w:numId w:val="1008"/>
        </w:numPr>
      </w:pPr>
      <w:r>
        <w:t xml:space="preserve">Full machine evidence is disclosed to authorised parties.</w:t>
      </w:r>
    </w:p>
    <w:p>
      <w:pPr>
        <w:pStyle w:val="Compact"/>
        <w:numPr>
          <w:ilvl w:val="0"/>
          <w:numId w:val="1008"/>
        </w:numPr>
      </w:pPr>
      <w:r>
        <w:t xml:space="preserve">Buyer purchases any required verification.</w:t>
      </w:r>
    </w:p>
    <w:p>
      <w:pPr>
        <w:pStyle w:val="Compact"/>
        <w:numPr>
          <w:ilvl w:val="0"/>
          <w:numId w:val="1008"/>
        </w:numPr>
      </w:pPr>
      <w:r>
        <w:t xml:space="preserve">If the machine fails the agreed verification conditions, funds are returned according to the contract, less disclosed third-party costs.</w:t>
      </w:r>
    </w:p>
    <w:p>
      <w:pPr>
        <w:pStyle w:val="Compact"/>
        <w:numPr>
          <w:ilvl w:val="0"/>
          <w:numId w:val="1008"/>
        </w:numPr>
      </w:pPr>
      <w:r>
        <w:t xml:space="preserve">If the machine passes, an agreed amount may be released for purchase or preparation.</w:t>
      </w:r>
    </w:p>
    <w:p>
      <w:pPr>
        <w:pStyle w:val="Compact"/>
        <w:numPr>
          <w:ilvl w:val="0"/>
          <w:numId w:val="1008"/>
        </w:numPr>
      </w:pPr>
      <w:r>
        <w:t xml:space="preserve">A shipping milestone is released against packing, loading and transport documents.</w:t>
      </w:r>
    </w:p>
    <w:p>
      <w:pPr>
        <w:pStyle w:val="Compact"/>
        <w:numPr>
          <w:ilvl w:val="0"/>
          <w:numId w:val="1008"/>
        </w:numPr>
      </w:pPr>
      <w:r>
        <w:t xml:space="preserve">Any final holdback is released after delivery or expiration of the agreed acceptance period.</w:t>
      </w:r>
    </w:p>
    <w:p>
      <w:pPr>
        <w:pStyle w:val="FirstParagraph"/>
      </w:pPr>
      <w:r>
        <w:t xml:space="preserve">TradeOS displays the workflow but never holds customer funds itself. Payment-provider, currency, country, transaction-limit and compliance coverage must be confirmed before launch.</w:t>
      </w:r>
    </w:p>
    <w:bookmarkEnd w:id="23"/>
    <w:bookmarkEnd w:id="24"/>
    <w:bookmarkStart w:id="28" w:name="X96101689aa6f206f389c4e94a0f002036ae05d0"/>
    <w:p>
      <w:pPr>
        <w:pStyle w:val="Heading2"/>
      </w:pPr>
      <w:r>
        <w:t xml:space="preserve">04 Marketplace Protection</w:t>
      </w:r>
    </w:p>
    <w:bookmarkStart w:id="25" w:name="protecting-the-middleman"/>
    <w:p>
      <w:pPr>
        <w:pStyle w:val="Heading3"/>
      </w:pPr>
      <w:r>
        <w:t xml:space="preserve">Protecting the Middleman</w:t>
      </w:r>
    </w:p>
    <w:p>
      <w:pPr>
        <w:pStyle w:val="FirstParagraph"/>
      </w:pPr>
      <w:r>
        <w:t xml:space="preserve">The middleman risks being bypassed if the buyer learns the supplier or machine location too early. TradeOS combines technical and contractual controls:</w:t>
      </w:r>
    </w:p>
    <w:p>
      <w:pPr>
        <w:pStyle w:val="Compact"/>
        <w:numPr>
          <w:ilvl w:val="0"/>
          <w:numId w:val="1009"/>
        </w:numPr>
      </w:pPr>
      <w:r>
        <w:t xml:space="preserve">Mask supplier identity, exact location and part of the serial number before escrow funding.</w:t>
      </w:r>
    </w:p>
    <w:p>
      <w:pPr>
        <w:pStyle w:val="Compact"/>
        <w:numPr>
          <w:ilvl w:val="0"/>
          <w:numId w:val="1009"/>
        </w:numPr>
      </w:pPr>
      <w:r>
        <w:t xml:space="preserve">Remove image metadata and apply buyer-specific watermarks.</w:t>
      </w:r>
    </w:p>
    <w:p>
      <w:pPr>
        <w:pStyle w:val="Compact"/>
        <w:numPr>
          <w:ilvl w:val="0"/>
          <w:numId w:val="1009"/>
        </w:numPr>
      </w:pPr>
      <w:r>
        <w:t xml:space="preserve">Give full evidence to the verification provider through a restricted vault.</w:t>
      </w:r>
    </w:p>
    <w:p>
      <w:pPr>
        <w:pStyle w:val="Compact"/>
        <w:numPr>
          <w:ilvl w:val="0"/>
          <w:numId w:val="1009"/>
        </w:numPr>
      </w:pPr>
      <w:r>
        <w:t xml:space="preserve">Require evidence that the middleman has a supplier mandate or authority to offer the machine.</w:t>
      </w:r>
    </w:p>
    <w:p>
      <w:pPr>
        <w:pStyle w:val="Compact"/>
        <w:numPr>
          <w:ilvl w:val="0"/>
          <w:numId w:val="1009"/>
        </w:numPr>
      </w:pPr>
      <w:r>
        <w:t xml:space="preserve">Release sensitive information in stages tied to escrow funding and verification.</w:t>
      </w:r>
    </w:p>
    <w:p>
      <w:pPr>
        <w:pStyle w:val="Compact"/>
        <w:numPr>
          <w:ilvl w:val="0"/>
          <w:numId w:val="1009"/>
        </w:numPr>
      </w:pPr>
      <w:r>
        <w:t xml:space="preserve">Include a narrow non-circumvention clause covering the disclosed machine and supplier for a defined period.</w:t>
      </w:r>
    </w:p>
    <w:p>
      <w:pPr>
        <w:pStyle w:val="Compact"/>
        <w:numPr>
          <w:ilvl w:val="0"/>
          <w:numId w:val="1009"/>
        </w:numPr>
      </w:pPr>
      <w:r>
        <w:t xml:space="preserve">Preserve access logs showing who viewed or downloaded sensitive evidence.</w:t>
      </w:r>
    </w:p>
    <w:p>
      <w:pPr>
        <w:pStyle w:val="FirstParagraph"/>
      </w:pPr>
      <w:r>
        <w:t xml:space="preserve">Non-circumvention clauses are not a complete defence and enforceability varies by jurisdiction. The strongest protection is a real supplier mandate combined with staged disclosure and escrow funding.</w:t>
      </w:r>
    </w:p>
    <w:bookmarkEnd w:id="25"/>
    <w:bookmarkStart w:id="26" w:name="protecting-the-buyer"/>
    <w:p>
      <w:pPr>
        <w:pStyle w:val="Heading3"/>
      </w:pPr>
      <w:r>
        <w:t xml:space="preserve">Protecting the Buyer</w:t>
      </w:r>
    </w:p>
    <w:p>
      <w:pPr>
        <w:pStyle w:val="Compact"/>
        <w:numPr>
          <w:ilvl w:val="0"/>
          <w:numId w:val="1010"/>
        </w:numPr>
      </w:pPr>
      <w:r>
        <w:t xml:space="preserve">Require itemised bids and explicit middleman commissions.</w:t>
      </w:r>
    </w:p>
    <w:p>
      <w:pPr>
        <w:pStyle w:val="Compact"/>
        <w:numPr>
          <w:ilvl w:val="0"/>
          <w:numId w:val="1010"/>
        </w:numPr>
      </w:pPr>
      <w:r>
        <w:t xml:space="preserve">Require time-sensitive evidence of availability.</w:t>
      </w:r>
    </w:p>
    <w:p>
      <w:pPr>
        <w:pStyle w:val="Compact"/>
        <w:numPr>
          <w:ilvl w:val="0"/>
          <w:numId w:val="1010"/>
        </w:numPr>
      </w:pPr>
      <w:r>
        <w:t xml:space="preserve">Allow independent inspection before material funds are released.</w:t>
      </w:r>
    </w:p>
    <w:p>
      <w:pPr>
        <w:pStyle w:val="Compact"/>
        <w:numPr>
          <w:ilvl w:val="0"/>
          <w:numId w:val="1010"/>
        </w:numPr>
      </w:pPr>
      <w:r>
        <w:t xml:space="preserve">Tie escrow milestones to objective documents and acceptance conditions.</w:t>
      </w:r>
    </w:p>
    <w:p>
      <w:pPr>
        <w:pStyle w:val="Compact"/>
        <w:numPr>
          <w:ilvl w:val="0"/>
          <w:numId w:val="1010"/>
        </w:numPr>
      </w:pPr>
      <w:r>
        <w:t xml:space="preserve">Preserve the complete deal record for disputes.</w:t>
      </w:r>
    </w:p>
    <w:p>
      <w:pPr>
        <w:pStyle w:val="Compact"/>
        <w:numPr>
          <w:ilvl w:val="0"/>
          <w:numId w:val="1010"/>
        </w:numPr>
      </w:pPr>
      <w:r>
        <w:t xml:space="preserve">Require the middleman to contractually stand behind its representations.</w:t>
      </w:r>
    </w:p>
    <w:bookmarkEnd w:id="26"/>
    <w:bookmarkStart w:id="27" w:name="contract-structure-and-defects"/>
    <w:p>
      <w:pPr>
        <w:pStyle w:val="Heading3"/>
      </w:pPr>
      <w:r>
        <w:t xml:space="preserve">Contract Structure and Defects</w:t>
      </w:r>
    </w:p>
    <w:p>
      <w:pPr>
        <w:pStyle w:val="FirstParagraph"/>
      </w:pPr>
      <w:r>
        <w:t xml:space="preserve">The buyer contracts with the selected middleman, who is the buyer's accountable commercial counterparty under the initial TradeOS model. The middleman is responsible for its representations about the machine, its authority to offer it, the agreed title and export documents, delivery obligations and any stated warranty. The middleman's separate agreement with the original supplier does not reduce those obligations to the buyer.</w:t>
      </w:r>
    </w:p>
    <w:p>
      <w:pPr>
        <w:pStyle w:val="BodyText"/>
      </w:pPr>
      <w:r>
        <w:t xml:space="preserve">After purchase, the buyer may need direct supplier or authorised-dealer contact for service, parts and warranty. That contact should be allowed after the protected transaction reaches the agreed disclosure stage. It does not remove the middleman's responsibility under the buyer-middleman contract unless the buyer expressly agrees in writing to a different allocation of responsibility or accepts an assigned supplier warranty.</w:t>
      </w:r>
    </w:p>
    <w:p>
      <w:pPr>
        <w:pStyle w:val="BodyText"/>
      </w:pPr>
      <w:r>
        <w:t xml:space="preserve">The inspection provider is responsible only for performing the agreed inspection with reasonable professional care. The middleman remains responsible for its contractual representations. TradeOS provides the marketplace and records but is not the seller or inspector. These boundaries require legal review in each launch country.</w:t>
      </w:r>
    </w:p>
    <w:bookmarkEnd w:id="27"/>
    <w:bookmarkEnd w:id="28"/>
    <w:bookmarkStart w:id="31" w:name="Xc98feb6bf406179d362211c172b76e93060e18e"/>
    <w:p>
      <w:pPr>
        <w:pStyle w:val="Heading2"/>
      </w:pPr>
      <w:r>
        <w:t xml:space="preserve">05 Market and Launch Focus</w:t>
      </w:r>
    </w:p>
    <w:bookmarkStart w:id="29" w:name="initial-market"/>
    <w:p>
      <w:pPr>
        <w:pStyle w:val="Heading3"/>
      </w:pPr>
      <w:r>
        <w:t xml:space="preserve">Initial Market</w:t>
      </w:r>
    </w:p>
    <w:p>
      <w:pPr>
        <w:pStyle w:val="Compact"/>
        <w:numPr>
          <w:ilvl w:val="0"/>
          <w:numId w:val="1011"/>
        </w:numPr>
      </w:pPr>
      <w:r>
        <w:rPr>
          <w:b/>
          <w:bCs/>
        </w:rPr>
        <w:t xml:space="preserve">Source geography:</w:t>
      </w:r>
      <w:r>
        <w:t xml:space="preserve"> </w:t>
      </w:r>
      <w:r>
        <w:t xml:space="preserve">Used heavy equipment physically located in Korea</w:t>
      </w:r>
    </w:p>
    <w:p>
      <w:pPr>
        <w:pStyle w:val="Compact"/>
        <w:numPr>
          <w:ilvl w:val="0"/>
          <w:numId w:val="1011"/>
        </w:numPr>
      </w:pPr>
      <w:r>
        <w:rPr>
          <w:b/>
          <w:bCs/>
        </w:rPr>
        <w:t xml:space="preserve">Buyer geography:</w:t>
      </w:r>
      <w:r>
        <w:t xml:space="preserve"> </w:t>
      </w:r>
      <w:r>
        <w:t xml:space="preserve">Initial ASEAN markets reached through the team's network</w:t>
      </w:r>
    </w:p>
    <w:p>
      <w:pPr>
        <w:pStyle w:val="Compact"/>
        <w:numPr>
          <w:ilvl w:val="0"/>
          <w:numId w:val="1011"/>
        </w:numPr>
      </w:pPr>
      <w:r>
        <w:rPr>
          <w:b/>
          <w:bCs/>
        </w:rPr>
        <w:t xml:space="preserve">Machine categories:</w:t>
      </w:r>
      <w:r>
        <w:t xml:space="preserve"> </w:t>
      </w:r>
      <w:r>
        <w:t xml:space="preserve">Excavators, wheel loaders, bulldozers, generators and closely related heavy equipment</w:t>
      </w:r>
    </w:p>
    <w:p>
      <w:pPr>
        <w:pStyle w:val="Compact"/>
        <w:numPr>
          <w:ilvl w:val="0"/>
          <w:numId w:val="1011"/>
        </w:numPr>
      </w:pPr>
      <w:r>
        <w:rPr>
          <w:b/>
          <w:bCs/>
        </w:rPr>
        <w:t xml:space="preserve">Typical users:</w:t>
      </w:r>
      <w:r>
        <w:t xml:space="preserve"> </w:t>
      </w:r>
      <w:r>
        <w:t xml:space="preserve">Contractors, equipment dealers, importers, industrial operators and fleet owners</w:t>
      </w:r>
    </w:p>
    <w:p>
      <w:pPr>
        <w:pStyle w:val="Compact"/>
        <w:numPr>
          <w:ilvl w:val="0"/>
          <w:numId w:val="1011"/>
        </w:numPr>
      </w:pPr>
      <w:r>
        <w:rPr>
          <w:b/>
          <w:bCs/>
        </w:rPr>
        <w:t xml:space="preserve">Supply-side users:</w:t>
      </w:r>
      <w:r>
        <w:t xml:space="preserve"> </w:t>
      </w:r>
      <w:r>
        <w:t xml:space="preserve">Machinery brokers, export agents, dealers, sourcing agents and trading houses</w:t>
      </w:r>
    </w:p>
    <w:bookmarkEnd w:id="29"/>
    <w:bookmarkStart w:id="30" w:name="current-market-sizing-gap"/>
    <w:p>
      <w:pPr>
        <w:pStyle w:val="Heading3"/>
      </w:pPr>
      <w:r>
        <w:t xml:space="preserve">Current Market-Sizing Gap</w:t>
      </w:r>
    </w:p>
    <w:p>
      <w:pPr>
        <w:pStyle w:val="FirstParagraph"/>
      </w:pPr>
      <w:r>
        <w:t xml:space="preserve">The company has not yet established a defensible TAM, SAM and SOM. Before external fundraising, it must calculate the market from observable launch inputs:</w:t>
      </w:r>
    </w:p>
    <w:p>
      <w:pPr>
        <w:pStyle w:val="Compact"/>
        <w:numPr>
          <w:ilvl w:val="0"/>
          <w:numId w:val="1012"/>
        </w:numPr>
      </w:pPr>
      <w:r>
        <w:t xml:space="preserve">Number of relevant machines exported from Korea annually</w:t>
      </w:r>
    </w:p>
    <w:p>
      <w:pPr>
        <w:pStyle w:val="Compact"/>
        <w:numPr>
          <w:ilvl w:val="0"/>
          <w:numId w:val="1012"/>
        </w:numPr>
      </w:pPr>
      <w:r>
        <w:t xml:space="preserve">Number and value of shipments to the initial ASEAN countries</w:t>
      </w:r>
    </w:p>
    <w:p>
      <w:pPr>
        <w:pStyle w:val="Compact"/>
        <w:numPr>
          <w:ilvl w:val="0"/>
          <w:numId w:val="1012"/>
        </w:numPr>
      </w:pPr>
      <w:r>
        <w:t xml:space="preserve">Number of active buyers and buying frequency by machine category</w:t>
      </w:r>
    </w:p>
    <w:p>
      <w:pPr>
        <w:pStyle w:val="Compact"/>
        <w:numPr>
          <w:ilvl w:val="0"/>
          <w:numId w:val="1012"/>
        </w:numPr>
      </w:pPr>
      <w:r>
        <w:t xml:space="preserve">Number of relevant middlemen and dealers</w:t>
      </w:r>
    </w:p>
    <w:p>
      <w:pPr>
        <w:pStyle w:val="Compact"/>
        <w:numPr>
          <w:ilvl w:val="0"/>
          <w:numId w:val="1012"/>
        </w:numPr>
      </w:pPr>
      <w:r>
        <w:t xml:space="preserve">Typical middleman commission and gross profit per transaction</w:t>
      </w:r>
    </w:p>
    <w:p>
      <w:pPr>
        <w:pStyle w:val="Compact"/>
        <w:numPr>
          <w:ilvl w:val="0"/>
          <w:numId w:val="1012"/>
        </w:numPr>
      </w:pPr>
      <w:r>
        <w:t xml:space="preserve">Percentage of transactions requiring paid inspection</w:t>
      </w:r>
    </w:p>
    <w:p>
      <w:pPr>
        <w:pStyle w:val="Compact"/>
        <w:numPr>
          <w:ilvl w:val="0"/>
          <w:numId w:val="1012"/>
        </w:numPr>
      </w:pPr>
      <w:r>
        <w:t xml:space="preserve">Realistic paid-middleman penetration within three years</w:t>
      </w:r>
    </w:p>
    <w:p>
      <w:pPr>
        <w:pStyle w:val="FirstParagraph"/>
      </w:pPr>
      <w:r>
        <w:t xml:space="preserve">No unsupported top-down market number should substitute for this work.</w:t>
      </w:r>
    </w:p>
    <w:bookmarkEnd w:id="30"/>
    <w:bookmarkEnd w:id="31"/>
    <w:bookmarkStart w:id="33" w:name="X6532ca7eded3a45f87acaad6fb92bde9e0007b4"/>
    <w:p>
      <w:pPr>
        <w:pStyle w:val="Heading2"/>
      </w:pPr>
      <w:r>
        <w:t xml:space="preserve">06 Competition and Moat</w:t>
      </w:r>
    </w:p>
    <w:p>
      <w:pPr>
        <w:pStyle w:val="FirstParagraph"/>
      </w:pPr>
      <w:r>
        <w:t xml:space="preserve">TradeOS competes with private broker networks, machinery listing sites, auctions and broad B2B RFQ marketplaces.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Dimension</w:t>
            </w:r>
          </w:p>
        </w:tc>
        <w:tc>
          <w:tcPr/>
          <w:p>
            <w:pPr>
              <w:pStyle w:val="Compact"/>
            </w:pPr>
            <w:r>
              <w:rPr>
                <w:b/>
                <w:bCs/>
              </w:rPr>
              <w:t xml:space="preserve">Private brokers</w:t>
            </w:r>
          </w:p>
        </w:tc>
        <w:tc>
          <w:tcPr/>
          <w:p>
            <w:pPr>
              <w:pStyle w:val="Compact"/>
            </w:pPr>
            <w:r>
              <w:rPr>
                <w:b/>
                <w:bCs/>
              </w:rPr>
              <w:t xml:space="preserve">Listing sites and auctions</w:t>
            </w:r>
          </w:p>
        </w:tc>
        <w:tc>
          <w:tcPr/>
          <w:p>
            <w:pPr>
              <w:pStyle w:val="Compact"/>
            </w:pPr>
            <w:r>
              <w:rPr>
                <w:b/>
                <w:bCs/>
              </w:rPr>
              <w:t xml:space="preserve">General RFQ platforms</w:t>
            </w:r>
          </w:p>
        </w:tc>
        <w:tc>
          <w:tcPr/>
          <w:p>
            <w:pPr>
              <w:pStyle w:val="Compact"/>
            </w:pPr>
            <w:r>
              <w:rPr>
                <w:b/>
                <w:bCs/>
              </w:rPr>
              <w:t xml:space="preserve">TradeOS</w:t>
            </w:r>
          </w:p>
        </w:tc>
      </w:tr>
      <w:tr>
        <w:tc>
          <w:tcPr/>
          <w:p>
            <w:pPr>
              <w:pStyle w:val="Compact"/>
            </w:pPr>
            <w:r>
              <w:t xml:space="preserve">Starting point</w:t>
            </w:r>
          </w:p>
        </w:tc>
        <w:tc>
          <w:tcPr/>
          <w:p>
            <w:pPr>
              <w:pStyle w:val="Compact"/>
            </w:pPr>
            <w:r>
              <w:t xml:space="preserve">Personal introduction</w:t>
            </w:r>
          </w:p>
        </w:tc>
        <w:tc>
          <w:tcPr/>
          <w:p>
            <w:pPr>
              <w:pStyle w:val="Compact"/>
            </w:pPr>
            <w:r>
              <w:t xml:space="preserve">Listed inventory</w:t>
            </w:r>
          </w:p>
        </w:tc>
        <w:tc>
          <w:tcPr/>
          <w:p>
            <w:pPr>
              <w:pStyle w:val="Compact"/>
            </w:pPr>
            <w:r>
              <w:t xml:space="preserve">Broad buyer request</w:t>
            </w:r>
          </w:p>
        </w:tc>
        <w:tc>
          <w:tcPr/>
          <w:p>
            <w:pPr>
              <w:pStyle w:val="Compact"/>
            </w:pPr>
            <w:r>
              <w:t xml:space="preserve">Specific heavy-equipment RFQ</w:t>
            </w:r>
          </w:p>
        </w:tc>
      </w:tr>
      <w:tr>
        <w:tc>
          <w:tcPr/>
          <w:p>
            <w:pPr>
              <w:pStyle w:val="Compact"/>
            </w:pPr>
            <w:r>
              <w:t xml:space="preserve">Middleman role</w:t>
            </w:r>
          </w:p>
        </w:tc>
        <w:tc>
          <w:tcPr/>
          <w:p>
            <w:pPr>
              <w:pStyle w:val="Compact"/>
            </w:pPr>
            <w:r>
              <w:t xml:space="preserve">Central but opaque</w:t>
            </w:r>
          </w:p>
        </w:tc>
        <w:tc>
          <w:tcPr/>
          <w:p>
            <w:pPr>
              <w:pStyle w:val="Compact"/>
            </w:pPr>
            <w:r>
              <w:t xml:space="preserve">Often seller or dealer</w:t>
            </w:r>
          </w:p>
        </w:tc>
        <w:tc>
          <w:tcPr/>
          <w:p>
            <w:pPr>
              <w:pStyle w:val="Compact"/>
            </w:pPr>
            <w:r>
              <w:t xml:space="preserve">One possible respondent</w:t>
            </w:r>
          </w:p>
        </w:tc>
        <w:tc>
          <w:tcPr/>
          <w:p>
            <w:pPr>
              <w:pStyle w:val="Compact"/>
            </w:pPr>
            <w:r>
              <w:t xml:space="preserve">Primary supply-side participant</w:t>
            </w:r>
          </w:p>
        </w:tc>
      </w:tr>
      <w:tr>
        <w:tc>
          <w:tcPr/>
          <w:p>
            <w:pPr>
              <w:pStyle w:val="Compact"/>
            </w:pPr>
            <w:r>
              <w:t xml:space="preserve">Buyer choice</w:t>
            </w:r>
          </w:p>
        </w:tc>
        <w:tc>
          <w:tcPr/>
          <w:p>
            <w:pPr>
              <w:pStyle w:val="Compact"/>
            </w:pPr>
            <w:r>
              <w:t xml:space="preserve">Limited to known contacts</w:t>
            </w:r>
          </w:p>
        </w:tc>
        <w:tc>
          <w:tcPr/>
          <w:p>
            <w:pPr>
              <w:pStyle w:val="Compact"/>
            </w:pPr>
            <w:r>
              <w:t xml:space="preserve">Limited to listed assets</w:t>
            </w:r>
          </w:p>
        </w:tc>
        <w:tc>
          <w:tcPr/>
          <w:p>
            <w:pPr>
              <w:pStyle w:val="Compact"/>
            </w:pPr>
            <w:r>
              <w:t xml:space="preserve">Multiple suppliers or traders</w:t>
            </w:r>
          </w:p>
        </w:tc>
        <w:tc>
          <w:tcPr/>
          <w:p>
            <w:pPr>
              <w:pStyle w:val="Compact"/>
            </w:pPr>
            <w:r>
              <w:t xml:space="preserve">Multiple specialised middlemen</w:t>
            </w:r>
          </w:p>
        </w:tc>
      </w:tr>
      <w:tr>
        <w:tc>
          <w:tcPr/>
          <w:p>
            <w:pPr>
              <w:pStyle w:val="Compact"/>
            </w:pPr>
            <w:r>
              <w:t xml:space="preserve">Bid format</w:t>
            </w:r>
          </w:p>
        </w:tc>
        <w:tc>
          <w:tcPr/>
          <w:p>
            <w:pPr>
              <w:pStyle w:val="Compact"/>
            </w:pPr>
            <w:r>
              <w:t xml:space="preserve">Inconsistent</w:t>
            </w:r>
          </w:p>
        </w:tc>
        <w:tc>
          <w:tcPr/>
          <w:p>
            <w:pPr>
              <w:pStyle w:val="Compact"/>
            </w:pPr>
            <w:r>
              <w:t xml:space="preserve">Listing or auction price</w:t>
            </w:r>
          </w:p>
        </w:tc>
        <w:tc>
          <w:tcPr/>
          <w:p>
            <w:pPr>
              <w:pStyle w:val="Compact"/>
            </w:pPr>
            <w:r>
              <w:t xml:space="preserve">Platform dependent</w:t>
            </w:r>
          </w:p>
        </w:tc>
        <w:tc>
          <w:tcPr/>
          <w:p>
            <w:pPr>
              <w:pStyle w:val="Compact"/>
            </w:pPr>
            <w:r>
              <w:t xml:space="preserve">Machine, commission, logistics, evidence and milestones</w:t>
            </w:r>
          </w:p>
        </w:tc>
      </w:tr>
      <w:tr>
        <w:tc>
          <w:tcPr/>
          <w:p>
            <w:pPr>
              <w:pStyle w:val="Compact"/>
            </w:pPr>
            <w:r>
              <w:t xml:space="preserve">Source protection</w:t>
            </w:r>
          </w:p>
        </w:tc>
        <w:tc>
          <w:tcPr/>
          <w:p>
            <w:pPr>
              <w:pStyle w:val="Compact"/>
            </w:pPr>
            <w:r>
              <w:t xml:space="preserve">Relationship based</w:t>
            </w:r>
          </w:p>
        </w:tc>
        <w:tc>
          <w:tcPr/>
          <w:p>
            <w:pPr>
              <w:pStyle w:val="Compact"/>
            </w:pPr>
            <w:r>
              <w:t xml:space="preserve">Not applicable</w:t>
            </w:r>
          </w:p>
        </w:tc>
        <w:tc>
          <w:tcPr/>
          <w:p>
            <w:pPr>
              <w:pStyle w:val="Compact"/>
            </w:pPr>
            <w:r>
              <w:t xml:space="preserve">Limited</w:t>
            </w:r>
          </w:p>
        </w:tc>
        <w:tc>
          <w:tcPr/>
          <w:p>
            <w:pPr>
              <w:pStyle w:val="Compact"/>
            </w:pPr>
            <w:r>
              <w:t xml:space="preserve">Vault, masking and staged disclosure</w:t>
            </w:r>
          </w:p>
        </w:tc>
      </w:tr>
      <w:tr>
        <w:tc>
          <w:tcPr/>
          <w:p>
            <w:pPr>
              <w:pStyle w:val="Compact"/>
            </w:pPr>
            <w:r>
              <w:t xml:space="preserve">Condition assurance</w:t>
            </w:r>
          </w:p>
        </w:tc>
        <w:tc>
          <w:tcPr/>
          <w:p>
            <w:pPr>
              <w:pStyle w:val="Compact"/>
            </w:pPr>
            <w:r>
              <w:t xml:space="preserve">Arranged privately</w:t>
            </w:r>
          </w:p>
        </w:tc>
        <w:tc>
          <w:tcPr/>
          <w:p>
            <w:pPr>
              <w:pStyle w:val="Compact"/>
            </w:pPr>
            <w:r>
              <w:t xml:space="preserve">Platform dependent</w:t>
            </w:r>
          </w:p>
        </w:tc>
        <w:tc>
          <w:tcPr/>
          <w:p>
            <w:pPr>
              <w:pStyle w:val="Compact"/>
            </w:pPr>
            <w:r>
              <w:t xml:space="preserve">Limited</w:t>
            </w:r>
          </w:p>
        </w:tc>
        <w:tc>
          <w:tcPr/>
          <w:p>
            <w:pPr>
              <w:pStyle w:val="Compact"/>
            </w:pPr>
            <w:r>
              <w:t xml:space="preserve">Buyer-selected machine inspection</w:t>
            </w:r>
          </w:p>
        </w:tc>
      </w:tr>
      <w:tr>
        <w:tc>
          <w:tcPr/>
          <w:p>
            <w:pPr>
              <w:pStyle w:val="Compact"/>
            </w:pPr>
            <w:r>
              <w:t xml:space="preserve">Payment</w:t>
            </w:r>
          </w:p>
        </w:tc>
        <w:tc>
          <w:tcPr/>
          <w:p>
            <w:pPr>
              <w:pStyle w:val="Compact"/>
            </w:pPr>
            <w:r>
              <w:t xml:space="preserve">Wire or private arrangement</w:t>
            </w:r>
          </w:p>
        </w:tc>
        <w:tc>
          <w:tcPr/>
          <w:p>
            <w:pPr>
              <w:pStyle w:val="Compact"/>
            </w:pPr>
            <w:r>
              <w:t xml:space="preserve">Platform dependent</w:t>
            </w:r>
          </w:p>
        </w:tc>
        <w:tc>
          <w:tcPr/>
          <w:p>
            <w:pPr>
              <w:pStyle w:val="Compact"/>
            </w:pPr>
            <w:r>
              <w:t xml:space="preserve">Platform dependent</w:t>
            </w:r>
          </w:p>
        </w:tc>
        <w:tc>
          <w:tcPr/>
          <w:p>
            <w:pPr>
              <w:pStyle w:val="Compact"/>
            </w:pPr>
            <w:r>
              <w:t xml:space="preserve">Licensed partner escrow workflow</w:t>
            </w:r>
          </w:p>
        </w:tc>
      </w:tr>
    </w:tbl>
    <w:bookmarkStart w:id="32" w:name="what-is-actually-defensible"/>
    <w:p>
      <w:pPr>
        <w:pStyle w:val="Heading3"/>
      </w:pPr>
      <w:r>
        <w:t xml:space="preserve">What Is Actually Defensible</w:t>
      </w:r>
    </w:p>
    <w:p>
      <w:pPr>
        <w:pStyle w:val="Compact"/>
        <w:numPr>
          <w:ilvl w:val="0"/>
          <w:numId w:val="1013"/>
        </w:numPr>
      </w:pPr>
      <w:r>
        <w:t xml:space="preserve">A responsive network of middlemen within a narrow equipment category</w:t>
      </w:r>
    </w:p>
    <w:p>
      <w:pPr>
        <w:pStyle w:val="Compact"/>
        <w:numPr>
          <w:ilvl w:val="0"/>
          <w:numId w:val="1013"/>
        </w:numPr>
      </w:pPr>
      <w:r>
        <w:t xml:space="preserve">Repeat buyer demand that produces qualified RFQs rather than price-shopping noise</w:t>
      </w:r>
    </w:p>
    <w:p>
      <w:pPr>
        <w:pStyle w:val="Compact"/>
        <w:numPr>
          <w:ilvl w:val="0"/>
          <w:numId w:val="1013"/>
        </w:numPr>
      </w:pPr>
      <w:r>
        <w:t xml:space="preserve">Korea-specific sourcing, verification and export workflows</w:t>
      </w:r>
    </w:p>
    <w:p>
      <w:pPr>
        <w:pStyle w:val="Compact"/>
        <w:numPr>
          <w:ilvl w:val="0"/>
          <w:numId w:val="1013"/>
        </w:numPr>
      </w:pPr>
      <w:r>
        <w:t xml:space="preserve">Structured history of quoted machines, prices, commissions, inspections and outcomes</w:t>
      </w:r>
    </w:p>
    <w:p>
      <w:pPr>
        <w:pStyle w:val="Compact"/>
        <w:numPr>
          <w:ilvl w:val="0"/>
          <w:numId w:val="1013"/>
        </w:numPr>
      </w:pPr>
      <w:r>
        <w:t xml:space="preserve">A reliable inspection and escrow partner network</w:t>
      </w:r>
    </w:p>
    <w:p>
      <w:pPr>
        <w:pStyle w:val="Compact"/>
        <w:numPr>
          <w:ilvl w:val="0"/>
          <w:numId w:val="1013"/>
        </w:numPr>
      </w:pPr>
      <w:r>
        <w:t xml:space="preserve">Workflow retention through contracts, evidence, payment protection and transaction records</w:t>
      </w:r>
    </w:p>
    <w:p>
      <w:pPr>
        <w:pStyle w:val="FirstParagraph"/>
      </w:pPr>
      <w:r>
        <w:t xml:space="preserve">RFQ functionality alone is not a moat. Large B2B platforms already offer buyer-posted RFQs. TradeOS must prove that middleman-led sourcing produces better results for unlisted or difficult heavy equipment.</w:t>
      </w:r>
    </w:p>
    <w:bookmarkEnd w:id="32"/>
    <w:bookmarkEnd w:id="33"/>
    <w:bookmarkStart w:id="37" w:name="X9d1455194fcba8d35b5d3b24c1e4e355ae84253"/>
    <w:p>
      <w:pPr>
        <w:pStyle w:val="Heading2"/>
      </w:pPr>
      <w:r>
        <w:t xml:space="preserve">07 Business Model</w:t>
      </w:r>
    </w:p>
    <w:bookmarkStart w:id="34" w:name="buyers"/>
    <w:p>
      <w:pPr>
        <w:pStyle w:val="Heading3"/>
      </w:pPr>
      <w:r>
        <w:t xml:space="preserve">Buyers</w:t>
      </w:r>
    </w:p>
    <w:p>
      <w:pPr>
        <w:pStyle w:val="FirstParagraph"/>
      </w:pPr>
      <w:r>
        <w:t xml:space="preserve">Buyers do not pay a recurring subscription during the initial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Buyer access</w:t>
            </w:r>
          </w:p>
        </w:tc>
        <w:tc>
          <w:tcPr/>
          <w:p>
            <w:pPr>
              <w:pStyle w:val="Compact"/>
              <w:jc w:val="right"/>
            </w:pPr>
            <w:r>
              <w:rPr>
                <w:b/>
                <w:bCs/>
              </w:rPr>
              <w:t xml:space="preserve">Illustrative price</w:t>
            </w:r>
          </w:p>
        </w:tc>
        <w:tc>
          <w:tcPr/>
          <w:p>
            <w:pPr>
              <w:pStyle w:val="Compact"/>
            </w:pPr>
            <w:r>
              <w:rPr>
                <w:b/>
                <w:bCs/>
              </w:rPr>
              <w:t xml:space="preserve">Purpose</w:t>
            </w:r>
          </w:p>
        </w:tc>
      </w:tr>
      <w:tr>
        <w:tc>
          <w:tcPr/>
          <w:p>
            <w:pPr>
              <w:pStyle w:val="Compact"/>
            </w:pPr>
            <w:r>
              <w:t xml:space="preserve">Account and RFQ draft</w:t>
            </w:r>
          </w:p>
        </w:tc>
        <w:tc>
          <w:tcPr/>
          <w:p>
            <w:pPr>
              <w:pStyle w:val="Compact"/>
              <w:jc w:val="right"/>
            </w:pPr>
            <w:r>
              <w:t xml:space="preserve">Free</w:t>
            </w:r>
          </w:p>
        </w:tc>
        <w:tc>
          <w:tcPr/>
          <w:p>
            <w:pPr>
              <w:pStyle w:val="Compact"/>
            </w:pPr>
            <w:r>
              <w:t xml:space="preserve">Create a business profile and prepare a sourcing request.</w:t>
            </w:r>
          </w:p>
        </w:tc>
      </w:tr>
      <w:tr>
        <w:tc>
          <w:tcPr/>
          <w:p>
            <w:pPr>
              <w:pStyle w:val="Compact"/>
            </w:pPr>
            <w:r>
              <w:t xml:space="preserve">Published RFQ deposit</w:t>
            </w:r>
          </w:p>
        </w:tc>
        <w:tc>
          <w:tcPr/>
          <w:p>
            <w:pPr>
              <w:pStyle w:val="Compact"/>
              <w:jc w:val="right"/>
            </w:pPr>
            <w:r>
              <w:t xml:space="preserve">US</w:t>
            </w:r>
            <m:oMath>
              <m:r>
                <m:t>100</m:t>
              </m:r>
              <m:r>
                <m:rPr>
                  <m:sty m:val="p"/>
                </m:rPr>
                <m:t>−</m:t>
              </m:r>
              <m:r>
                <m:t>U</m:t>
              </m:r>
              <m:r>
                <m:t>S</m:t>
              </m:r>
            </m:oMath>
            <w:r>
              <w:t xml:space="preserve">500 refundable</w:t>
            </w:r>
          </w:p>
        </w:tc>
        <w:tc>
          <w:tcPr/>
          <w:p>
            <w:pPr>
              <w:pStyle w:val="Compact"/>
            </w:pPr>
            <w:r>
              <w:t xml:space="preserve">Confirm seriousness and reduce spam, price fishing and abandonment.</w:t>
            </w:r>
          </w:p>
        </w:tc>
      </w:tr>
      <w:tr>
        <w:tc>
          <w:tcPr/>
          <w:p>
            <w:pPr>
              <w:pStyle w:val="Compact"/>
            </w:pPr>
            <w:r>
              <w:t xml:space="preserve">Third-party verification</w:t>
            </w:r>
          </w:p>
        </w:tc>
        <w:tc>
          <w:tcPr/>
          <w:p>
            <w:pPr>
              <w:pStyle w:val="Compact"/>
              <w:jc w:val="right"/>
            </w:pPr>
            <w:r>
              <w:t xml:space="preserve">Quoted per scope</w:t>
            </w:r>
          </w:p>
        </w:tc>
        <w:tc>
          <w:tcPr/>
          <w:p>
            <w:pPr>
              <w:pStyle w:val="Compact"/>
            </w:pPr>
            <w:r>
              <w:t xml:space="preserve">Pay the selected provider for identity, document or machine checks.</w:t>
            </w:r>
          </w:p>
        </w:tc>
      </w:tr>
      <w:tr>
        <w:tc>
          <w:tcPr/>
          <w:p>
            <w:pPr>
              <w:pStyle w:val="Compact"/>
            </w:pPr>
            <w:r>
              <w:t xml:space="preserve">Escrow/payment fee</w:t>
            </w:r>
          </w:p>
        </w:tc>
        <w:tc>
          <w:tcPr/>
          <w:p>
            <w:pPr>
              <w:pStyle w:val="Compact"/>
              <w:jc w:val="right"/>
            </w:pPr>
            <w:r>
              <w:t xml:space="preserve">Partner fee</w:t>
            </w:r>
          </w:p>
        </w:tc>
        <w:tc>
          <w:tcPr/>
          <w:p>
            <w:pPr>
              <w:pStyle w:val="Compact"/>
            </w:pPr>
            <w:r>
              <w:t xml:space="preserve">Cover licensed payment handling and protection.</w:t>
            </w:r>
          </w:p>
        </w:tc>
      </w:tr>
    </w:tbl>
    <w:p>
      <w:pPr>
        <w:pStyle w:val="BodyText"/>
      </w:pPr>
      <w:r>
        <w:t xml:space="preserve">The RFQ deposit is not revenue unless a clearly disclosed rule is breached. Any retained amount should cover defined administrative costs or be credited to a future RFQ, subject to legal and payment-partner review.</w:t>
      </w:r>
    </w:p>
    <w:bookmarkEnd w:id="34"/>
    <w:bookmarkStart w:id="35" w:name="middlemen"/>
    <w:p>
      <w:pPr>
        <w:pStyle w:val="Heading3"/>
      </w:pPr>
      <w:r>
        <w:t xml:space="preserve">Middlemen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Plan</w:t>
            </w:r>
          </w:p>
        </w:tc>
        <w:tc>
          <w:tcPr/>
          <w:p>
            <w:pPr>
              <w:pStyle w:val="Compact"/>
              <w:jc w:val="right"/>
            </w:pPr>
            <w:r>
              <w:rPr>
                <w:b/>
                <w:bCs/>
              </w:rPr>
              <w:t xml:space="preserve">Illustrative price</w:t>
            </w:r>
          </w:p>
        </w:tc>
        <w:tc>
          <w:tcPr/>
          <w:p>
            <w:pPr>
              <w:pStyle w:val="Compact"/>
            </w:pPr>
            <w:r>
              <w:rPr>
                <w:b/>
                <w:bCs/>
              </w:rPr>
              <w:t xml:space="preserve">Core access</w:t>
            </w:r>
          </w:p>
        </w:tc>
      </w:tr>
      <w:tr>
        <w:tc>
          <w:tcPr/>
          <w:p>
            <w:pPr>
              <w:pStyle w:val="Compact"/>
            </w:pPr>
            <w:r>
              <w:t xml:space="preserve">Marketplace Preview</w:t>
            </w:r>
          </w:p>
        </w:tc>
        <w:tc>
          <w:tcPr/>
          <w:p>
            <w:pPr>
              <w:pStyle w:val="Compact"/>
              <w:jc w:val="right"/>
            </w:pPr>
            <w:r>
              <w:t xml:space="preserve">Free</w:t>
            </w:r>
          </w:p>
        </w:tc>
        <w:tc>
          <w:tcPr/>
          <w:p>
            <w:pPr>
              <w:pStyle w:val="Compact"/>
            </w:pPr>
            <w:r>
              <w:t xml:space="preserve">Anonymised view of demand; no full RFQ access, bidding or buyer messaging.</w:t>
            </w:r>
          </w:p>
        </w:tc>
      </w:tr>
      <w:tr>
        <w:tc>
          <w:tcPr/>
          <w:p>
            <w:pPr>
              <w:pStyle w:val="Compact"/>
            </w:pPr>
            <w:r>
              <w:t xml:space="preserve">Middleman Essential</w:t>
            </w:r>
          </w:p>
        </w:tc>
        <w:tc>
          <w:tcPr/>
          <w:p>
            <w:pPr>
              <w:pStyle w:val="Compact"/>
              <w:jc w:val="right"/>
            </w:pPr>
            <w:r>
              <w:t xml:space="preserve">US$149/month</w:t>
            </w:r>
          </w:p>
        </w:tc>
        <w:tc>
          <w:tcPr/>
          <w:p>
            <w:pPr>
              <w:pStyle w:val="Compact"/>
            </w:pPr>
            <w:r>
              <w:t xml:space="preserve">Category access, limited monthly bids, messaging and a business profile.</w:t>
            </w:r>
          </w:p>
        </w:tc>
      </w:tr>
      <w:tr>
        <w:tc>
          <w:tcPr/>
          <w:p>
            <w:pPr>
              <w:pStyle w:val="Compact"/>
            </w:pPr>
            <w:r>
              <w:t xml:space="preserve">Middleman Pro</w:t>
            </w:r>
          </w:p>
        </w:tc>
        <w:tc>
          <w:tcPr/>
          <w:p>
            <w:pPr>
              <w:pStyle w:val="Compact"/>
              <w:jc w:val="right"/>
            </w:pPr>
            <w:r>
              <w:t xml:space="preserve">US$499/month</w:t>
            </w:r>
          </w:p>
        </w:tc>
        <w:tc>
          <w:tcPr/>
          <w:p>
            <w:pPr>
              <w:pStyle w:val="Compact"/>
            </w:pPr>
            <w:r>
              <w:t xml:space="preserve">More bids, team seats, priority alerts, templates, analytics and longer record retention.</w:t>
            </w:r>
          </w:p>
        </w:tc>
      </w:tr>
    </w:tbl>
    <w:p>
      <w:pPr>
        <w:pStyle w:val="BodyText"/>
      </w:pPr>
      <w:r>
        <w:t xml:space="preserve">Pricing must be tested. Middlemen will renew only if qualified RFQs generate enough credible opportunities to justify the subscription.</w:t>
      </w:r>
    </w:p>
    <w:bookmarkEnd w:id="35"/>
    <w:bookmarkStart w:id="36" w:name="why-transactions-stay-on-tradeos"/>
    <w:p>
      <w:pPr>
        <w:pStyle w:val="Heading3"/>
      </w:pPr>
      <w:r>
        <w:t xml:space="preserve">Why Transactions Stay on TradeOS</w:t>
      </w:r>
    </w:p>
    <w:p>
      <w:pPr>
        <w:pStyle w:val="Compact"/>
        <w:numPr>
          <w:ilvl w:val="0"/>
          <w:numId w:val="1014"/>
        </w:numPr>
      </w:pPr>
      <w:r>
        <w:t xml:space="preserve">Sensitive supplier and machine evidence is protected until escrow funding.</w:t>
      </w:r>
    </w:p>
    <w:p>
      <w:pPr>
        <w:pStyle w:val="Compact"/>
        <w:numPr>
          <w:ilvl w:val="0"/>
          <w:numId w:val="1014"/>
        </w:numPr>
      </w:pPr>
      <w:r>
        <w:t xml:space="preserve">Independent verification is ordered and stored within the deal workspace.</w:t>
      </w:r>
    </w:p>
    <w:p>
      <w:pPr>
        <w:pStyle w:val="Compact"/>
        <w:numPr>
          <w:ilvl w:val="0"/>
          <w:numId w:val="1014"/>
        </w:numPr>
      </w:pPr>
      <w:r>
        <w:t xml:space="preserve">Partner-held escrow protects both payment and delivery milestones.</w:t>
      </w:r>
    </w:p>
    <w:p>
      <w:pPr>
        <w:pStyle w:val="Compact"/>
        <w:numPr>
          <w:ilvl w:val="0"/>
          <w:numId w:val="1014"/>
        </w:numPr>
      </w:pPr>
      <w:r>
        <w:t xml:space="preserve">Contracts, messages, bid versions and reports form a usable evidence record.</w:t>
      </w:r>
    </w:p>
    <w:p>
      <w:pPr>
        <w:pStyle w:val="Compact"/>
        <w:numPr>
          <w:ilvl w:val="0"/>
          <w:numId w:val="1014"/>
        </w:numPr>
      </w:pPr>
      <w:r>
        <w:t xml:space="preserve">Middlemen do not pay a percentage success commission to TradeOS.</w:t>
      </w:r>
    </w:p>
    <w:p>
      <w:pPr>
        <w:pStyle w:val="Compact"/>
        <w:numPr>
          <w:ilvl w:val="0"/>
          <w:numId w:val="1014"/>
        </w:numPr>
      </w:pPr>
      <w:r>
        <w:t xml:space="preserve">Buyers receive protection that is unavailable in a direct informal transaction.</w:t>
      </w:r>
    </w:p>
    <w:p>
      <w:pPr>
        <w:pStyle w:val="FirstParagraph"/>
      </w:pPr>
      <w:r>
        <w:t xml:space="preserve">TradeOS cannot guarantee that users will never communicate elsewhere. It must make on-platform completion safer and easier than bypassing the workflow.</w:t>
      </w:r>
    </w:p>
    <w:bookmarkEnd w:id="36"/>
    <w:bookmarkEnd w:id="37"/>
    <w:bookmarkStart w:id="41" w:name="X542c708f0acb3b6828f31973202f6bdd0b4707d"/>
    <w:p>
      <w:pPr>
        <w:pStyle w:val="Heading2"/>
      </w:pPr>
      <w:r>
        <w:t xml:space="preserve">08 Go-to-Market Strategy</w:t>
      </w:r>
    </w:p>
    <w:bookmarkStart w:id="38" w:name="starting-position"/>
    <w:p>
      <w:pPr>
        <w:pStyle w:val="Heading3"/>
      </w:pPr>
      <w:r>
        <w:t xml:space="preserve">Starting Position</w:t>
      </w:r>
    </w:p>
    <w:p>
      <w:pPr>
        <w:pStyle w:val="FirstParagraph"/>
      </w:pPr>
      <w:r>
        <w:t xml:space="preserve">The team has access to approximately 20 existing industry contacts. These contacts may include buyers, middlemen, dealers or other participants, but they are not signed users and do not constitute marketplace traction.</w:t>
      </w:r>
    </w:p>
    <w:bookmarkEnd w:id="38"/>
    <w:bookmarkStart w:id="39" w:name="pilot-sequence"/>
    <w:p>
      <w:pPr>
        <w:pStyle w:val="Heading3"/>
      </w:pPr>
      <w:r>
        <w:t xml:space="preserve">Pilot Sequence</w:t>
      </w:r>
    </w:p>
    <w:p>
      <w:pPr>
        <w:pStyle w:val="Compact"/>
        <w:numPr>
          <w:ilvl w:val="0"/>
          <w:numId w:val="1015"/>
        </w:numPr>
      </w:pPr>
      <w:r>
        <w:t xml:space="preserve">Select one primary machine category rather than launching all heavy equipment at once.</w:t>
      </w:r>
    </w:p>
    <w:p>
      <w:pPr>
        <w:pStyle w:val="Compact"/>
        <w:numPr>
          <w:ilvl w:val="0"/>
          <w:numId w:val="1015"/>
        </w:numPr>
      </w:pPr>
      <w:r>
        <w:t xml:space="preserve">Interview the 20 existing contacts and classify them by role, country, transaction frequency and category.</w:t>
      </w:r>
    </w:p>
    <w:p>
      <w:pPr>
        <w:pStyle w:val="Compact"/>
        <w:numPr>
          <w:ilvl w:val="0"/>
          <w:numId w:val="1015"/>
        </w:numPr>
      </w:pPr>
      <w:r>
        <w:t xml:space="preserve">Recruit 10-15 credible middlemen before inviting broad buyer demand.</w:t>
      </w:r>
    </w:p>
    <w:p>
      <w:pPr>
        <w:pStyle w:val="Compact"/>
        <w:numPr>
          <w:ilvl w:val="0"/>
          <w:numId w:val="1015"/>
        </w:numPr>
      </w:pPr>
      <w:r>
        <w:t xml:space="preserve">Secure one inspection partner and one escrow/payment partner suitable for Korea-ASEAN heavy-equipment transactions.</w:t>
      </w:r>
    </w:p>
    <w:p>
      <w:pPr>
        <w:pStyle w:val="Compact"/>
        <w:numPr>
          <w:ilvl w:val="0"/>
          <w:numId w:val="1015"/>
        </w:numPr>
      </w:pPr>
      <w:r>
        <w:t xml:space="preserve">Recruit buyers with genuine upcoming requirements and waive or reduce the first RFQ deposit during a controlled pilot.</w:t>
      </w:r>
    </w:p>
    <w:p>
      <w:pPr>
        <w:pStyle w:val="Compact"/>
        <w:numPr>
          <w:ilvl w:val="0"/>
          <w:numId w:val="1015"/>
        </w:numPr>
      </w:pPr>
      <w:r>
        <w:t xml:space="preserve">Manually support the first RFQs to establish a workable evidence and contract standard.</w:t>
      </w:r>
    </w:p>
    <w:p>
      <w:pPr>
        <w:pStyle w:val="Compact"/>
        <w:numPr>
          <w:ilvl w:val="0"/>
          <w:numId w:val="1015"/>
        </w:numPr>
      </w:pPr>
      <w:r>
        <w:t xml:space="preserve">Introduce paid middleman subscriptions only after the platform produces qualified opportunities.</w:t>
      </w:r>
    </w:p>
    <w:p>
      <w:pPr>
        <w:pStyle w:val="Compact"/>
        <w:numPr>
          <w:ilvl w:val="0"/>
          <w:numId w:val="1015"/>
        </w:numPr>
      </w:pPr>
      <w:r>
        <w:t xml:space="preserve">Expand categories only after repeat demand and paid renewal are demonstrated.</w:t>
      </w:r>
    </w:p>
    <w:bookmarkEnd w:id="39"/>
    <w:bookmarkStart w:id="40" w:name="first-pilot-target"/>
    <w:p>
      <w:pPr>
        <w:pStyle w:val="Heading3"/>
      </w:pPr>
      <w:r>
        <w:t xml:space="preserve">First Pilot Target</w:t>
      </w:r>
    </w:p>
    <w:p>
      <w:pPr>
        <w:pStyle w:val="Compact"/>
        <w:numPr>
          <w:ilvl w:val="0"/>
          <w:numId w:val="1016"/>
        </w:numPr>
      </w:pPr>
      <w:r>
        <w:t xml:space="preserve">20 completed buyer and middleman interviews</w:t>
      </w:r>
    </w:p>
    <w:p>
      <w:pPr>
        <w:pStyle w:val="Compact"/>
        <w:numPr>
          <w:ilvl w:val="0"/>
          <w:numId w:val="1016"/>
        </w:numPr>
      </w:pPr>
      <w:r>
        <w:t xml:space="preserve">10-15 vetted middlemen</w:t>
      </w:r>
    </w:p>
    <w:p>
      <w:pPr>
        <w:pStyle w:val="Compact"/>
        <w:numPr>
          <w:ilvl w:val="0"/>
          <w:numId w:val="1016"/>
        </w:numPr>
      </w:pPr>
      <w:r>
        <w:t xml:space="preserve">10 independent qualified RFQs</w:t>
      </w:r>
    </w:p>
    <w:p>
      <w:pPr>
        <w:pStyle w:val="Compact"/>
        <w:numPr>
          <w:ilvl w:val="0"/>
          <w:numId w:val="1016"/>
        </w:numPr>
      </w:pPr>
      <w:r>
        <w:t xml:space="preserve">At least three credible bids on 70% of eligible RFQs</w:t>
      </w:r>
    </w:p>
    <w:p>
      <w:pPr>
        <w:pStyle w:val="Compact"/>
        <w:numPr>
          <w:ilvl w:val="0"/>
          <w:numId w:val="1016"/>
        </w:numPr>
      </w:pPr>
      <w:r>
        <w:t xml:space="preserve">Median time to first credible bid below seven days</w:t>
      </w:r>
    </w:p>
    <w:p>
      <w:pPr>
        <w:pStyle w:val="Compact"/>
        <w:numPr>
          <w:ilvl w:val="0"/>
          <w:numId w:val="1016"/>
        </w:numPr>
      </w:pPr>
      <w:r>
        <w:t xml:space="preserve">Three independently completed protected transactions</w:t>
      </w:r>
    </w:p>
    <w:p>
      <w:pPr>
        <w:pStyle w:val="Compact"/>
        <w:numPr>
          <w:ilvl w:val="0"/>
          <w:numId w:val="1016"/>
        </w:numPr>
      </w:pPr>
      <w:r>
        <w:t xml:space="preserve">First paid middleman renewals</w:t>
      </w:r>
    </w:p>
    <w:p>
      <w:pPr>
        <w:pStyle w:val="Compact"/>
        <w:numPr>
          <w:ilvl w:val="0"/>
          <w:numId w:val="1016"/>
        </w:numPr>
      </w:pPr>
      <w:r>
        <w:t xml:space="preserve">Signed inspection and escrow/payment partners</w:t>
      </w:r>
    </w:p>
    <w:bookmarkEnd w:id="40"/>
    <w:bookmarkEnd w:id="41"/>
    <w:bookmarkStart w:id="42" w:name="X7ae8feefa3e0f1401f9080f1abd1bbc8a953092"/>
    <w:p>
      <w:pPr>
        <w:pStyle w:val="Heading2"/>
      </w:pPr>
      <w:r>
        <w:t xml:space="preserve">09 Financial Model</w:t>
      </w:r>
    </w:p>
    <w:p>
      <w:pPr>
        <w:pStyle w:val="FirstParagraph"/>
      </w:pPr>
      <w:r>
        <w:t xml:space="preserve">The following projection is illustrative and includes middleman subscription revenue only. Buyer deposits, transaction value and third-party fees are excluded.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Metric</w:t>
            </w:r>
          </w:p>
        </w:tc>
        <w:tc>
          <w:tcPr/>
          <w:p>
            <w:pPr>
              <w:pStyle w:val="Compact"/>
              <w:jc w:val="right"/>
            </w:pPr>
            <w:r>
              <w:rPr>
                <w:b/>
                <w:bCs/>
              </w:rPr>
              <w:t xml:space="preserve">Year 1 - Pilot</w:t>
            </w:r>
          </w:p>
        </w:tc>
        <w:tc>
          <w:tcPr/>
          <w:p>
            <w:pPr>
              <w:pStyle w:val="Compact"/>
              <w:jc w:val="right"/>
            </w:pPr>
            <w:r>
              <w:rPr>
                <w:b/>
                <w:bCs/>
              </w:rPr>
              <w:t xml:space="preserve">Year 2 - Scale</w:t>
            </w:r>
          </w:p>
        </w:tc>
        <w:tc>
          <w:tcPr/>
          <w:p>
            <w:pPr>
              <w:pStyle w:val="Compact"/>
              <w:jc w:val="right"/>
            </w:pPr>
            <w:r>
              <w:rPr>
                <w:b/>
                <w:bCs/>
              </w:rPr>
              <w:t xml:space="preserve">Year 3 - Expand</w:t>
            </w:r>
          </w:p>
        </w:tc>
      </w:tr>
      <w:tr>
        <w:tc>
          <w:tcPr/>
          <w:p>
            <w:pPr>
              <w:pStyle w:val="Compact"/>
            </w:pPr>
            <w:r>
              <w:t xml:space="preserve">Paying middlemen</w:t>
            </w:r>
          </w:p>
        </w:tc>
        <w:tc>
          <w:tcPr/>
          <w:p>
            <w:pPr>
              <w:pStyle w:val="Compact"/>
              <w:jc w:val="right"/>
            </w:pPr>
            <w:r>
              <w:t xml:space="preserve">40</w:t>
            </w:r>
          </w:p>
        </w:tc>
        <w:tc>
          <w:tcPr/>
          <w:p>
            <w:pPr>
              <w:pStyle w:val="Compact"/>
              <w:jc w:val="right"/>
            </w:pPr>
            <w:r>
              <w:t xml:space="preserve">200</w:t>
            </w:r>
          </w:p>
        </w:tc>
        <w:tc>
          <w:tcPr/>
          <w:p>
            <w:pPr>
              <w:pStyle w:val="Compact"/>
              <w:jc w:val="right"/>
            </w:pPr>
            <w:r>
              <w:t xml:space="preserve">600</w:t>
            </w:r>
          </w:p>
        </w:tc>
      </w:tr>
      <w:tr>
        <w:tc>
          <w:tcPr/>
          <w:p>
            <w:pPr>
              <w:pStyle w:val="Compact"/>
            </w:pPr>
            <w:r>
              <w:t xml:space="preserve">Blended monthly revenue/middleman</w:t>
            </w:r>
          </w:p>
        </w:tc>
        <w:tc>
          <w:tcPr/>
          <w:p>
            <w:pPr>
              <w:pStyle w:val="Compact"/>
              <w:jc w:val="right"/>
            </w:pPr>
            <w:r>
              <w:t xml:space="preserve">US$200</w:t>
            </w:r>
          </w:p>
        </w:tc>
        <w:tc>
          <w:tcPr/>
          <w:p>
            <w:pPr>
              <w:pStyle w:val="Compact"/>
              <w:jc w:val="right"/>
            </w:pPr>
            <w:r>
              <w:t xml:space="preserve">US$250</w:t>
            </w:r>
          </w:p>
        </w:tc>
        <w:tc>
          <w:tcPr/>
          <w:p>
            <w:pPr>
              <w:pStyle w:val="Compact"/>
              <w:jc w:val="right"/>
            </w:pPr>
            <w:r>
              <w:t xml:space="preserve">US$300</w:t>
            </w:r>
          </w:p>
        </w:tc>
      </w:tr>
      <w:tr>
        <w:tc>
          <w:tcPr/>
          <w:p>
            <w:pPr>
              <w:pStyle w:val="Compact"/>
            </w:pPr>
            <w:r>
              <w:t xml:space="preserve">Subscription ARR</w:t>
            </w:r>
          </w:p>
        </w:tc>
        <w:tc>
          <w:tcPr/>
          <w:p>
            <w:pPr>
              <w:pStyle w:val="Compact"/>
              <w:jc w:val="right"/>
            </w:pPr>
            <w:r>
              <w:rPr>
                <w:b/>
                <w:bCs/>
              </w:rPr>
              <w:t xml:space="preserve">US$96,000</w:t>
            </w:r>
          </w:p>
        </w:tc>
        <w:tc>
          <w:tcPr/>
          <w:p>
            <w:pPr>
              <w:pStyle w:val="Compact"/>
              <w:jc w:val="right"/>
            </w:pPr>
            <w:r>
              <w:rPr>
                <w:b/>
                <w:bCs/>
              </w:rPr>
              <w:t xml:space="preserve">US$600,000</w:t>
            </w:r>
          </w:p>
        </w:tc>
        <w:tc>
          <w:tcPr/>
          <w:p>
            <w:pPr>
              <w:pStyle w:val="Compact"/>
              <w:jc w:val="right"/>
            </w:pPr>
            <w:r>
              <w:rPr>
                <w:b/>
                <w:bCs/>
              </w:rPr>
              <w:t xml:space="preserve">US$2,160,000</w:t>
            </w:r>
          </w:p>
        </w:tc>
      </w:tr>
    </w:tbl>
    <w:p>
      <w:pPr>
        <w:pStyle w:val="BodyText"/>
      </w:pPr>
      <w:r>
        <w:t xml:space="preserve">This is a model, not a forecast. It does not yet include validated conversion, churn, acquisition cost, sales cycle, support cost or payment-partner integration cost. The company should not present the Year 3 figure as credible until pilot retention and unit economics are known.</w:t>
      </w:r>
    </w:p>
    <w:p>
      <w:pPr>
        <w:pStyle w:val="BodyText"/>
      </w:pPr>
      <w:r>
        <w:t xml:space="preserve">Potential future revenue may include enterprise buyer workflow plans, additional middleman seats, analytics and verification coordination tools. These are excluded until customers demonstrate willingness to pay.</w:t>
      </w:r>
    </w:p>
    <w:bookmarkEnd w:id="42"/>
    <w:bookmarkStart w:id="46" w:name="Xb49bcb832bb4d20a8b9e68d1d71f4fd39f6547a"/>
    <w:p>
      <w:pPr>
        <w:pStyle w:val="Heading2"/>
      </w:pPr>
      <w:r>
        <w:t xml:space="preserve">10 Traction, Risks and Validation</w:t>
      </w:r>
    </w:p>
    <w:bookmarkStart w:id="43" w:name="current-status"/>
    <w:p>
      <w:pPr>
        <w:pStyle w:val="Heading3"/>
      </w:pPr>
      <w:r>
        <w:t xml:space="preserve">Current Status</w:t>
      </w:r>
    </w:p>
    <w:p>
      <w:pPr>
        <w:pStyle w:val="Compact"/>
        <w:numPr>
          <w:ilvl w:val="0"/>
          <w:numId w:val="1017"/>
        </w:numPr>
      </w:pPr>
      <w:r>
        <w:t xml:space="preserve">Working concept and proposal</w:t>
      </w:r>
    </w:p>
    <w:p>
      <w:pPr>
        <w:pStyle w:val="Compact"/>
        <w:numPr>
          <w:ilvl w:val="0"/>
          <w:numId w:val="1017"/>
        </w:numPr>
      </w:pPr>
      <w:r>
        <w:t xml:space="preserve">Access to approximately 20 industry contacts</w:t>
      </w:r>
    </w:p>
    <w:p>
      <w:pPr>
        <w:pStyle w:val="Compact"/>
        <w:numPr>
          <w:ilvl w:val="0"/>
          <w:numId w:val="1017"/>
        </w:numPr>
      </w:pPr>
      <w:r>
        <w:t xml:space="preserve">No completed transactions through TradeOS</w:t>
      </w:r>
    </w:p>
    <w:p>
      <w:pPr>
        <w:pStyle w:val="Compact"/>
        <w:numPr>
          <w:ilvl w:val="0"/>
          <w:numId w:val="1017"/>
        </w:numPr>
      </w:pPr>
      <w:r>
        <w:t xml:space="preserve">No validated subscription pricing</w:t>
      </w:r>
    </w:p>
    <w:p>
      <w:pPr>
        <w:pStyle w:val="Compact"/>
        <w:numPr>
          <w:ilvl w:val="0"/>
          <w:numId w:val="1017"/>
        </w:numPr>
      </w:pPr>
      <w:r>
        <w:t xml:space="preserve">No signed inspection partner</w:t>
      </w:r>
    </w:p>
    <w:p>
      <w:pPr>
        <w:pStyle w:val="Compact"/>
        <w:numPr>
          <w:ilvl w:val="0"/>
          <w:numId w:val="1017"/>
        </w:numPr>
      </w:pPr>
      <w:r>
        <w:t xml:space="preserve">No signed escrow or payment partner</w:t>
      </w:r>
    </w:p>
    <w:p>
      <w:pPr>
        <w:pStyle w:val="Compact"/>
        <w:numPr>
          <w:ilvl w:val="0"/>
          <w:numId w:val="1017"/>
        </w:numPr>
      </w:pPr>
      <w:r>
        <w:t xml:space="preserve">No demonstrated paid retention</w:t>
      </w:r>
    </w:p>
    <w:bookmarkEnd w:id="43"/>
    <w:bookmarkStart w:id="44" w:name="principal-risks"/>
    <w:p>
      <w:pPr>
        <w:pStyle w:val="Heading3"/>
      </w:pPr>
      <w:r>
        <w:t xml:space="preserve">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Risk</w:t>
            </w:r>
          </w:p>
        </w:tc>
        <w:tc>
          <w:tcPr/>
          <w:p>
            <w:pPr>
              <w:pStyle w:val="Compact"/>
            </w:pPr>
            <w:r>
              <w:rPr>
                <w:b/>
                <w:bCs/>
              </w:rPr>
              <w:t xml:space="preserve">Mitigation</w:t>
            </w:r>
          </w:p>
        </w:tc>
      </w:tr>
      <w:tr>
        <w:tc>
          <w:tcPr/>
          <w:p>
            <w:pPr>
              <w:pStyle w:val="Compact"/>
            </w:pPr>
            <w:r>
              <w:t xml:space="preserve">Insufficient buyer demand</w:t>
            </w:r>
          </w:p>
        </w:tc>
        <w:tc>
          <w:tcPr/>
          <w:p>
            <w:pPr>
              <w:pStyle w:val="Compact"/>
            </w:pPr>
            <w:r>
              <w:t xml:space="preserve">Remove the buyer subscription, require only an RFQ deposit and recruit buyers with active requirements.</w:t>
            </w:r>
          </w:p>
        </w:tc>
      </w:tr>
      <w:tr>
        <w:tc>
          <w:tcPr/>
          <w:p>
            <w:pPr>
              <w:pStyle w:val="Compact"/>
            </w:pPr>
            <w:r>
              <w:t xml:space="preserve">Too few credible bids</w:t>
            </w:r>
          </w:p>
        </w:tc>
        <w:tc>
          <w:tcPr/>
          <w:p>
            <w:pPr>
              <w:pStyle w:val="Compact"/>
            </w:pPr>
            <w:r>
              <w:t xml:space="preserve">Start with one category and recruit middlemen before scaling buyer acquisition.</w:t>
            </w:r>
          </w:p>
        </w:tc>
      </w:tr>
      <w:tr>
        <w:tc>
          <w:tcPr/>
          <w:p>
            <w:pPr>
              <w:pStyle w:val="Compact"/>
            </w:pPr>
            <w:r>
              <w:t xml:space="preserve">Fake or price-shopping RFQs</w:t>
            </w:r>
          </w:p>
        </w:tc>
        <w:tc>
          <w:tcPr/>
          <w:p>
            <w:pPr>
              <w:pStyle w:val="Compact"/>
            </w:pPr>
            <w:r>
              <w:t xml:space="preserve">Verify buyer businesses and require a refundable publication deposit.</w:t>
            </w:r>
          </w:p>
        </w:tc>
      </w:tr>
      <w:tr>
        <w:tc>
          <w:tcPr/>
          <w:p>
            <w:pPr>
              <w:pStyle w:val="Compact"/>
            </w:pPr>
            <w:r>
              <w:t xml:space="preserve">Low-quality or misleading bids</w:t>
            </w:r>
          </w:p>
        </w:tc>
        <w:tc>
          <w:tcPr/>
          <w:p>
            <w:pPr>
              <w:pStyle w:val="Compact"/>
            </w:pPr>
            <w:r>
              <w:t xml:space="preserve">Enforce the minimum evidence standard and allow independent inspection before material release of funds.</w:t>
            </w:r>
          </w:p>
        </w:tc>
      </w:tr>
      <w:tr>
        <w:tc>
          <w:tcPr/>
          <w:p>
            <w:pPr>
              <w:pStyle w:val="Compact"/>
            </w:pPr>
            <w:r>
              <w:t xml:space="preserve">Middleman source circumvention</w:t>
            </w:r>
          </w:p>
        </w:tc>
        <w:tc>
          <w:tcPr/>
          <w:p>
            <w:pPr>
              <w:pStyle w:val="Compact"/>
            </w:pPr>
            <w:r>
              <w:t xml:space="preserve">Use supplier mandates, masked evidence, staged disclosure, access logs and narrow contractual protection.</w:t>
            </w:r>
          </w:p>
        </w:tc>
      </w:tr>
      <w:tr>
        <w:tc>
          <w:tcPr/>
          <w:p>
            <w:pPr>
              <w:pStyle w:val="Compact"/>
            </w:pPr>
            <w:r>
              <w:t xml:space="preserve">Destructive price competition</w:t>
            </w:r>
          </w:p>
        </w:tc>
        <w:tc>
          <w:tcPr/>
          <w:p>
            <w:pPr>
              <w:pStyle w:val="Compact"/>
            </w:pPr>
            <w:r>
              <w:t xml:space="preserve">Use a sealed first round and one controlled best-and-final round rather than continuous visible undercutting.</w:t>
            </w:r>
          </w:p>
        </w:tc>
      </w:tr>
      <w:tr>
        <w:tc>
          <w:tcPr/>
          <w:p>
            <w:pPr>
              <w:pStyle w:val="Compact"/>
            </w:pPr>
            <w:r>
              <w:t xml:space="preserve">Off-platform transactions</w:t>
            </w:r>
          </w:p>
        </w:tc>
        <w:tc>
          <w:tcPr/>
          <w:p>
            <w:pPr>
              <w:pStyle w:val="Compact"/>
            </w:pPr>
            <w:r>
              <w:t xml:space="preserve">Make inspection, escrow, documents and dispute evidence available only through the protected workflow.</w:t>
            </w:r>
          </w:p>
        </w:tc>
      </w:tr>
      <w:tr>
        <w:tc>
          <w:tcPr/>
          <w:p>
            <w:pPr>
              <w:pStyle w:val="Compact"/>
            </w:pPr>
            <w:r>
              <w:t xml:space="preserve">Defective machine after inspection</w:t>
            </w:r>
          </w:p>
        </w:tc>
        <w:tc>
          <w:tcPr/>
          <w:p>
            <w:pPr>
              <w:pStyle w:val="Compact"/>
            </w:pPr>
            <w:r>
              <w:t xml:space="preserve">Define the inspection scope, contractual representations, rejection rights, warranty and holdback clearly.</w:t>
            </w:r>
          </w:p>
        </w:tc>
      </w:tr>
      <w:tr>
        <w:tc>
          <w:tcPr/>
          <w:p>
            <w:pPr>
              <w:pStyle w:val="Compact"/>
            </w:pPr>
            <w:r>
              <w:t xml:space="preserve">Payment regulation</w:t>
            </w:r>
          </w:p>
        </w:tc>
        <w:tc>
          <w:tcPr/>
          <w:p>
            <w:pPr>
              <w:pStyle w:val="Compact"/>
            </w:pPr>
            <w:r>
              <w:t xml:space="preserve">Integrate a licensed provider and never allow TradeOS to custody customer funds.</w:t>
            </w:r>
          </w:p>
        </w:tc>
      </w:tr>
      <w:tr>
        <w:tc>
          <w:tcPr/>
          <w:p>
            <w:pPr>
              <w:pStyle w:val="Compact"/>
            </w:pPr>
            <w:r>
              <w:t xml:space="preserve">Founder conflict of interest</w:t>
            </w:r>
          </w:p>
        </w:tc>
        <w:tc>
          <w:tcPr/>
          <w:p>
            <w:pPr>
              <w:pStyle w:val="Compact"/>
            </w:pPr>
            <w:r>
              <w:t xml:space="preserve">Separate founder-affiliated trading activity from marketplace administration and disclose every affiliated bid.</w:t>
            </w:r>
          </w:p>
        </w:tc>
      </w:tr>
      <w:tr>
        <w:tc>
          <w:tcPr/>
          <w:p>
            <w:pPr>
              <w:pStyle w:val="Compact"/>
            </w:pPr>
            <w:r>
              <w:t xml:space="preserve">Middleman subscription resistance</w:t>
            </w:r>
          </w:p>
        </w:tc>
        <w:tc>
          <w:tcPr/>
          <w:p>
            <w:pPr>
              <w:pStyle w:val="Compact"/>
            </w:pPr>
            <w:r>
              <w:t xml:space="preserve">Delay paid plans until qualified RFQs demonstrate economic value and measure renewal carefully.</w:t>
            </w:r>
          </w:p>
        </w:tc>
      </w:tr>
    </w:tbl>
    <w:bookmarkEnd w:id="44"/>
    <w:bookmarkStart w:id="45" w:name="founder-conflict-policy"/>
    <w:p>
      <w:pPr>
        <w:pStyle w:val="Heading3"/>
      </w:pPr>
      <w:r>
        <w:t xml:space="preserve">Founder Conflict Policy</w:t>
      </w:r>
    </w:p>
    <w:p>
      <w:pPr>
        <w:pStyle w:val="FirstParagraph"/>
      </w:pPr>
      <w:r>
        <w:t xml:space="preserve">If a founder-affiliated machinery business participates as a middleman:</w:t>
      </w:r>
    </w:p>
    <w:p>
      <w:pPr>
        <w:pStyle w:val="Compact"/>
        <w:numPr>
          <w:ilvl w:val="0"/>
          <w:numId w:val="1018"/>
        </w:numPr>
      </w:pPr>
      <w:r>
        <w:t xml:space="preserve">Its affiliation must be disclosed to buyers and other marketplace participants.</w:t>
      </w:r>
    </w:p>
    <w:p>
      <w:pPr>
        <w:pStyle w:val="Compact"/>
        <w:numPr>
          <w:ilvl w:val="0"/>
          <w:numId w:val="1018"/>
        </w:numPr>
      </w:pPr>
      <w:r>
        <w:t xml:space="preserve">It must receive no priority access, price information or administrative advantage.</w:t>
      </w:r>
    </w:p>
    <w:p>
      <w:pPr>
        <w:pStyle w:val="Compact"/>
        <w:numPr>
          <w:ilvl w:val="0"/>
          <w:numId w:val="1018"/>
        </w:numPr>
      </w:pPr>
      <w:r>
        <w:t xml:space="preserve">Team members who can view competitor bids may not prepare an affiliated bid.</w:t>
      </w:r>
    </w:p>
    <w:p>
      <w:pPr>
        <w:pStyle w:val="Compact"/>
        <w:numPr>
          <w:ilvl w:val="0"/>
          <w:numId w:val="1018"/>
        </w:numPr>
      </w:pPr>
      <w:r>
        <w:t xml:space="preserve">Access controls and audit logs must separate marketplace administration from bidding.</w:t>
      </w:r>
    </w:p>
    <w:p>
      <w:pPr>
        <w:pStyle w:val="Compact"/>
        <w:numPr>
          <w:ilvl w:val="0"/>
          <w:numId w:val="1018"/>
        </w:numPr>
      </w:pPr>
      <w:r>
        <w:t xml:space="preserve">Founder-affiliated deals must be excluded from independent traction claims.</w:t>
      </w:r>
    </w:p>
    <w:p>
      <w:pPr>
        <w:pStyle w:val="Compact"/>
        <w:numPr>
          <w:ilvl w:val="0"/>
          <w:numId w:val="1018"/>
        </w:numPr>
      </w:pPr>
      <w:r>
        <w:t xml:space="preserve">During the first validation cohort, the strongest neutrality signal is for the founder business to recruit and advise without bidding against independent middlemen.</w:t>
      </w:r>
    </w:p>
    <w:bookmarkEnd w:id="45"/>
    <w:bookmarkEnd w:id="46"/>
    <w:bookmarkStart w:id="50" w:name="Xc70a181c07a674ae27dd5545e5e2b629979b20e"/>
    <w:p>
      <w:pPr>
        <w:pStyle w:val="Heading2"/>
      </w:pPr>
      <w:r>
        <w:t xml:space="preserve">11 The Team</w:t>
      </w:r>
    </w:p>
    <w:bookmarkStart w:id="47" w:name="kukyoung-chang---operations-and-industry"/>
    <w:p>
      <w:pPr>
        <w:pStyle w:val="Heading3"/>
      </w:pPr>
      <w:r>
        <w:t xml:space="preserve">Kukyoung Chang - Operations and Industry</w:t>
      </w:r>
    </w:p>
    <w:p>
      <w:pPr>
        <w:pStyle w:val="FirstParagraph"/>
      </w:pPr>
      <w:r>
        <w:t xml:space="preserve">Runs a Korea-ASEAN heavy-machinery import business and provides practical knowledge of buyers, middlemen, suppliers, logistics and verification friction. This activity provides market access but must be governed separately from TradeOS marketplace operations.</w:t>
      </w:r>
    </w:p>
    <w:bookmarkEnd w:id="47"/>
    <w:bookmarkStart w:id="48" w:name="Xa1f2e80a0d8ae495ad0ec3f71945c1e90cf5b88"/>
    <w:p>
      <w:pPr>
        <w:pStyle w:val="Heading3"/>
      </w:pPr>
      <w:r>
        <w:t xml:space="preserve">Fong Wee Kun - Strategy and Entrepreneurship</w:t>
      </w:r>
    </w:p>
    <w:p>
      <w:pPr>
        <w:pStyle w:val="FirstParagraph"/>
      </w:pPr>
      <w:r>
        <w:t xml:space="preserve">Startup operator and commercial storyteller with experience building ventures, teams and market positioning across e-commerce and professional esports.</w:t>
      </w:r>
    </w:p>
    <w:p>
      <w:pPr>
        <w:pStyle w:val="BodyText"/>
      </w:pPr>
      <w:r>
        <w:rPr>
          <w:b/>
          <w:bCs/>
        </w:rPr>
        <w:t xml:space="preserve">Proof points:</w:t>
      </w:r>
      <w:r>
        <w:t xml:space="preserve"> </w:t>
      </w:r>
      <w:r>
        <w:t xml:space="preserve">RM40K in organic e-commerce sales within three months; ACCCIM Innovation Competition Champion; MDEC Digital Ninja Most Creative Project; Youth Founder Summit Top 8; and two esports divisions launched.</w:t>
      </w:r>
    </w:p>
    <w:bookmarkEnd w:id="48"/>
    <w:bookmarkStart w:id="49" w:name="kang-yite---product-and-engineering"/>
    <w:p>
      <w:pPr>
        <w:pStyle w:val="Heading3"/>
      </w:pPr>
      <w:r>
        <w:t xml:space="preserve">Kang Yite - Product and Engineering</w:t>
      </w:r>
    </w:p>
    <w:p>
      <w:pPr>
        <w:pStyle w:val="FirstParagraph"/>
      </w:pPr>
      <w:r>
        <w:t xml:space="preserve">Computer Science student at Shanghai Jiao Tong University, responsible for building the RFQ marketplace, structured bidding, confidential evidence controls, messaging, partner integrations and transaction workspace.</w:t>
      </w:r>
    </w:p>
    <w:p>
      <w:pPr>
        <w:pStyle w:val="BodyText"/>
      </w:pPr>
      <w:r>
        <w:rPr>
          <w:b/>
          <w:bCs/>
        </w:rPr>
        <w:t xml:space="preserve">Why this team can test the thesis:</w:t>
      </w:r>
      <w:r>
        <w:t xml:space="preserve"> </w:t>
      </w:r>
      <w:r>
        <w:t xml:space="preserve">Industry access supports participant recruitment, product execution turns a fragmented process into a controlled workflow, and commercial capability develops partnerships and paid demand. The missing evidence is independent marketplace usage.</w:t>
      </w:r>
    </w:p>
    <w:bookmarkEnd w:id="49"/>
    <w:bookmarkEnd w:id="50"/>
    <w:bookmarkStart w:id="52" w:name="X37abc6925b79a170d6efe40dd8fc33056d75c15"/>
    <w:p>
      <w:pPr>
        <w:pStyle w:val="Heading2"/>
      </w:pPr>
      <w:r>
        <w:t xml:space="preserve">12 Roadmap and The Ask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Horizon</w:t>
            </w:r>
          </w:p>
        </w:tc>
        <w:tc>
          <w:tcPr/>
          <w:p>
            <w:pPr>
              <w:pStyle w:val="Compact"/>
            </w:pPr>
            <w:r>
              <w:rPr>
                <w:b/>
                <w:bCs/>
              </w:rPr>
              <w:t xml:space="preserve">Focus</w:t>
            </w:r>
          </w:p>
        </w:tc>
        <w:tc>
          <w:tcPr/>
          <w:p>
            <w:pPr>
              <w:pStyle w:val="Compact"/>
            </w:pPr>
            <w:r>
              <w:rPr>
                <w:b/>
                <w:bCs/>
              </w:rPr>
              <w:t xml:space="preserve">Milestone</w:t>
            </w:r>
          </w:p>
        </w:tc>
      </w:tr>
      <w:tr>
        <w:tc>
          <w:tcPr/>
          <w:p>
            <w:pPr>
              <w:pStyle w:val="Compact"/>
            </w:pPr>
            <w:r>
              <w:t xml:space="preserve">0-3 months</w:t>
            </w:r>
          </w:p>
        </w:tc>
        <w:tc>
          <w:tcPr/>
          <w:p>
            <w:pPr>
              <w:pStyle w:val="Compact"/>
            </w:pPr>
            <w:r>
              <w:t xml:space="preserve">Select one machine category, interview 20 contacts, define credible-bid and contract standards, and begin partner outreach.</w:t>
            </w:r>
          </w:p>
        </w:tc>
        <w:tc>
          <w:tcPr/>
          <w:p>
            <w:pPr>
              <w:pStyle w:val="Compact"/>
            </w:pPr>
            <w:r>
              <w:t xml:space="preserve">10 vetted middlemen, five qualified buyer RFQs and written partner proposals.</w:t>
            </w:r>
          </w:p>
        </w:tc>
      </w:tr>
      <w:tr>
        <w:tc>
          <w:tcPr/>
          <w:p>
            <w:pPr>
              <w:pStyle w:val="Compact"/>
            </w:pPr>
            <w:r>
              <w:t xml:space="preserve">3-6 months</w:t>
            </w:r>
          </w:p>
        </w:tc>
        <w:tc>
          <w:tcPr/>
          <w:p>
            <w:pPr>
              <w:pStyle w:val="Compact"/>
            </w:pPr>
            <w:r>
              <w:t xml:space="preserve">Launch the deposit-backed RFQ, sealed bidding, vault, messaging and manually supported verification workflow.</w:t>
            </w:r>
          </w:p>
        </w:tc>
        <w:tc>
          <w:tcPr/>
          <w:p>
            <w:pPr>
              <w:pStyle w:val="Compact"/>
            </w:pPr>
            <w:r>
              <w:t xml:space="preserve">10 independent RFQs, reliable bid coverage and first protected transaction.</w:t>
            </w:r>
          </w:p>
        </w:tc>
      </w:tr>
      <w:tr>
        <w:tc>
          <w:tcPr/>
          <w:p>
            <w:pPr>
              <w:pStyle w:val="Compact"/>
            </w:pPr>
            <w:r>
              <w:t xml:space="preserve">6-12 months</w:t>
            </w:r>
          </w:p>
        </w:tc>
        <w:tc>
          <w:tcPr/>
          <w:p>
            <w:pPr>
              <w:pStyle w:val="Compact"/>
            </w:pPr>
            <w:r>
              <w:t xml:space="preserve">Integrate licensed escrow, complete initial transactions and test middleman pricing.</w:t>
            </w:r>
          </w:p>
        </w:tc>
        <w:tc>
          <w:tcPr/>
          <w:p>
            <w:pPr>
              <w:pStyle w:val="Compact"/>
            </w:pPr>
            <w:r>
              <w:t xml:space="preserve">Three or more independent completed transactions and first paid renewals.</w:t>
            </w:r>
          </w:p>
        </w:tc>
      </w:tr>
      <w:tr>
        <w:tc>
          <w:tcPr/>
          <w:p>
            <w:pPr>
              <w:pStyle w:val="Compact"/>
            </w:pPr>
            <w:r>
              <w:t xml:space="preserve">12-24 months</w:t>
            </w:r>
          </w:p>
        </w:tc>
        <w:tc>
          <w:tcPr/>
          <w:p>
            <w:pPr>
              <w:pStyle w:val="Compact"/>
            </w:pPr>
            <w:r>
              <w:t xml:space="preserve">Improve category liquidity, automation and partner coverage.</w:t>
            </w:r>
          </w:p>
        </w:tc>
        <w:tc>
          <w:tcPr/>
          <w:p>
            <w:pPr>
              <w:pStyle w:val="Compact"/>
            </w:pPr>
            <w:r>
              <w:t xml:space="preserve">Repeat buyer demand, sustainable middleman retention and positive contribution margin.</w:t>
            </w:r>
          </w:p>
        </w:tc>
      </w:tr>
      <w:tr>
        <w:tc>
          <w:tcPr/>
          <w:p>
            <w:pPr>
              <w:pStyle w:val="Compact"/>
            </w:pPr>
            <w:r>
              <w:t xml:space="preserve">24-36 months</w:t>
            </w:r>
          </w:p>
        </w:tc>
        <w:tc>
          <w:tcPr/>
          <w:p>
            <w:pPr>
              <w:pStyle w:val="Compact"/>
            </w:pPr>
            <w:r>
              <w:t xml:space="preserve">Add adjacent equipment categories and selected ASEAN markets.</w:t>
            </w:r>
          </w:p>
        </w:tc>
        <w:tc>
          <w:tcPr/>
          <w:p>
            <w:pPr>
              <w:pStyle w:val="Compact"/>
            </w:pPr>
            <w:r>
              <w:t xml:space="preserve">Repeatable category expansion process supported by validated economics.</w:t>
            </w:r>
          </w:p>
        </w:tc>
      </w:tr>
    </w:tbl>
    <w:bookmarkStart w:id="51" w:name="the-ask"/>
    <w:p>
      <w:pPr>
        <w:pStyle w:val="Heading3"/>
      </w:pPr>
      <w:r>
        <w:t xml:space="preserve">The Ask</w:t>
      </w:r>
    </w:p>
    <w:p>
      <w:pPr>
        <w:pStyle w:val="FirstParagraph"/>
      </w:pPr>
      <w:r>
        <w:rPr>
          <w:b/>
          <w:bCs/>
        </w:rPr>
        <w:t xml:space="preserve">US$250K - illustrative pre-seed round:</w:t>
      </w:r>
      <w:r>
        <w:t xml:space="preserve"> </w:t>
      </w:r>
      <w:r>
        <w:t xml:space="preserve">Fund a 12-month pilot to prove qualified buyer demand, credible middleman bid coverage, protected payment, third-party verification and willingness to pay in one Korea-to-ASEAN heavy-equipment category.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Use of funds</w:t>
            </w:r>
          </w:p>
        </w:tc>
        <w:tc>
          <w:tcPr/>
          <w:p>
            <w:pPr>
              <w:pStyle w:val="Compact"/>
              <w:jc w:val="right"/>
            </w:pPr>
            <w:r>
              <w:rPr>
                <w:b/>
                <w:bCs/>
              </w:rPr>
              <w:t xml:space="preserve">Allocation</w:t>
            </w:r>
          </w:p>
        </w:tc>
      </w:tr>
      <w:tr>
        <w:tc>
          <w:tcPr/>
          <w:p>
            <w:pPr>
              <w:pStyle w:val="Compact"/>
            </w:pPr>
            <w:r>
              <w:t xml:space="preserve">Product and engineering</w:t>
            </w:r>
          </w:p>
        </w:tc>
        <w:tc>
          <w:tcPr/>
          <w:p>
            <w:pPr>
              <w:pStyle w:val="Compact"/>
              <w:jc w:val="right"/>
            </w:pPr>
            <w:r>
              <w:t xml:space="preserve">35%</w:t>
            </w:r>
          </w:p>
        </w:tc>
      </w:tr>
      <w:tr>
        <w:tc>
          <w:tcPr/>
          <w:p>
            <w:pPr>
              <w:pStyle w:val="Compact"/>
            </w:pPr>
            <w:r>
              <w:t xml:space="preserve">Marketplace operations and transaction support</w:t>
            </w:r>
          </w:p>
        </w:tc>
        <w:tc>
          <w:tcPr/>
          <w:p>
            <w:pPr>
              <w:pStyle w:val="Compact"/>
              <w:jc w:val="right"/>
            </w:pPr>
            <w:r>
              <w:t xml:space="preserve">25%</w:t>
            </w:r>
          </w:p>
        </w:tc>
      </w:tr>
      <w:tr>
        <w:tc>
          <w:tcPr/>
          <w:p>
            <w:pPr>
              <w:pStyle w:val="Compact"/>
            </w:pPr>
            <w:r>
              <w:t xml:space="preserve">Inspection, payment and legal partnerships</w:t>
            </w:r>
          </w:p>
        </w:tc>
        <w:tc>
          <w:tcPr/>
          <w:p>
            <w:pPr>
              <w:pStyle w:val="Compact"/>
              <w:jc w:val="right"/>
            </w:pPr>
            <w:r>
              <w:t xml:space="preserve">20%</w:t>
            </w:r>
          </w:p>
        </w:tc>
      </w:tr>
      <w:tr>
        <w:tc>
          <w:tcPr/>
          <w:p>
            <w:pPr>
              <w:pStyle w:val="Compact"/>
            </w:pPr>
            <w:r>
              <w:t xml:space="preserve">Buyer and middleman acquisition</w:t>
            </w:r>
          </w:p>
        </w:tc>
        <w:tc>
          <w:tcPr/>
          <w:p>
            <w:pPr>
              <w:pStyle w:val="Compact"/>
              <w:jc w:val="right"/>
            </w:pPr>
            <w:r>
              <w:t xml:space="preserve">15%</w:t>
            </w:r>
          </w:p>
        </w:tc>
      </w:tr>
      <w:tr>
        <w:tc>
          <w:tcPr/>
          <w:p>
            <w:pPr>
              <w:pStyle w:val="Compact"/>
            </w:pPr>
            <w:r>
              <w:t xml:space="preserve">General and administrative</w:t>
            </w:r>
          </w:p>
        </w:tc>
        <w:tc>
          <w:tcPr/>
          <w:p>
            <w:pPr>
              <w:pStyle w:val="Compact"/>
              <w:jc w:val="right"/>
            </w:pPr>
            <w:r>
              <w:t xml:space="preserve">5%</w:t>
            </w:r>
          </w:p>
        </w:tc>
      </w:tr>
    </w:tbl>
    <w:p>
      <w:pPr>
        <w:pStyle w:val="BodyText"/>
      </w:pPr>
      <w:r>
        <w:t xml:space="preserve">The company should consider raising the full round only after the first manually supported RFQs show credible bid coverage. Before that proof, a smaller validation budget may be more capital-efficient.</w:t>
      </w:r>
    </w:p>
    <w:p>
      <w:pPr>
        <w:pStyle w:val="BodyText"/>
      </w:pPr>
      <w:r>
        <w:rPr>
          <w:b/>
          <w:bCs/>
        </w:rPr>
        <w:t xml:space="preserve">In one sentence:</w:t>
      </w:r>
      <w:r>
        <w:t xml:space="preserve"> </w:t>
      </w:r>
      <w:r>
        <w:t xml:space="preserve">TradeOS lets ASEAN businesses post a need for used heavy equipment, compare complete offers from multiple Korean sourcing middlemen, verify the selected machine and complete payment through a protected partner-held workflow.</w:t>
      </w:r>
    </w:p>
    <w:bookmarkEnd w:id="51"/>
    <w:bookmarkEnd w:id="52"/>
    <w:bookmarkStart w:id="53" w:name="appendix-a-detailed-transaction-workflow"/>
    <w:p>
      <w:pPr>
        <w:pStyle w:val="Heading2"/>
      </w:pPr>
      <w:r>
        <w:t xml:space="preserve">Appendix A: Detailed Transaction Workflow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Stage</w:t>
            </w:r>
          </w:p>
        </w:tc>
        <w:tc>
          <w:tcPr/>
          <w:p>
            <w:pPr>
              <w:pStyle w:val="Compact"/>
            </w:pPr>
            <w:r>
              <w:rPr>
                <w:b/>
                <w:bCs/>
              </w:rPr>
              <w:t xml:space="preserve">Operating logic</w:t>
            </w:r>
          </w:p>
        </w:tc>
      </w:tr>
      <w:tr>
        <w:tc>
          <w:tcPr/>
          <w:p>
            <w:pPr>
              <w:pStyle w:val="Compact"/>
            </w:pPr>
            <w:r>
              <w:t xml:space="preserve">Buyer qualification</w:t>
            </w:r>
          </w:p>
        </w:tc>
        <w:tc>
          <w:tcPr/>
          <w:p>
            <w:pPr>
              <w:pStyle w:val="Compact"/>
            </w:pPr>
            <w:r>
              <w:t xml:space="preserve">Confirm business identity and that the requirement fits the supported category and corridor.</w:t>
            </w:r>
          </w:p>
        </w:tc>
      </w:tr>
      <w:tr>
        <w:tc>
          <w:tcPr/>
          <w:p>
            <w:pPr>
              <w:pStyle w:val="Compact"/>
            </w:pPr>
            <w:r>
              <w:t xml:space="preserve">RFQ deposit</w:t>
            </w:r>
          </w:p>
        </w:tc>
        <w:tc>
          <w:tcPr/>
          <w:p>
            <w:pPr>
              <w:pStyle w:val="Compact"/>
            </w:pPr>
            <w:r>
              <w:t xml:space="preserve">Payment partner secures the refundable deposit before publication.</w:t>
            </w:r>
          </w:p>
        </w:tc>
      </w:tr>
      <w:tr>
        <w:tc>
          <w:tcPr/>
          <w:p>
            <w:pPr>
              <w:pStyle w:val="Compact"/>
            </w:pPr>
            <w:r>
              <w:t xml:space="preserve">RFQ release</w:t>
            </w:r>
          </w:p>
        </w:tc>
        <w:tc>
          <w:tcPr/>
          <w:p>
            <w:pPr>
              <w:pStyle w:val="Compact"/>
            </w:pPr>
            <w:r>
              <w:t xml:space="preserve">Notify subscribed middlemen whose category and location match the request.</w:t>
            </w:r>
          </w:p>
        </w:tc>
      </w:tr>
      <w:tr>
        <w:tc>
          <w:tcPr/>
          <w:p>
            <w:pPr>
              <w:pStyle w:val="Compact"/>
            </w:pPr>
            <w:r>
              <w:t xml:space="preserve">Clarification</w:t>
            </w:r>
          </w:p>
        </w:tc>
        <w:tc>
          <w:tcPr/>
          <w:p>
            <w:pPr>
              <w:pStyle w:val="Compact"/>
            </w:pPr>
            <w:r>
              <w:t xml:space="preserve">Publish material answers consistently to eligible middlemen without exposing identities.</w:t>
            </w:r>
          </w:p>
        </w:tc>
      </w:tr>
      <w:tr>
        <w:tc>
          <w:tcPr/>
          <w:p>
            <w:pPr>
              <w:pStyle w:val="Compact"/>
            </w:pPr>
            <w:r>
              <w:t xml:space="preserve">Sealed bid</w:t>
            </w:r>
          </w:p>
        </w:tc>
        <w:tc>
          <w:tcPr/>
          <w:p>
            <w:pPr>
              <w:pStyle w:val="Compact"/>
            </w:pPr>
            <w:r>
              <w:t xml:space="preserve">Collect complete bids and confidential evidence without showing competitor prices.</w:t>
            </w:r>
          </w:p>
        </w:tc>
      </w:tr>
      <w:tr>
        <w:tc>
          <w:tcPr/>
          <w:p>
            <w:pPr>
              <w:pStyle w:val="Compact"/>
            </w:pPr>
            <w:r>
              <w:t xml:space="preserve">Final round</w:t>
            </w:r>
          </w:p>
        </w:tc>
        <w:tc>
          <w:tcPr/>
          <w:p>
            <w:pPr>
              <w:pStyle w:val="Compact"/>
            </w:pPr>
            <w:r>
              <w:t xml:space="preserve">Show eligible bidders anonymised price position and allow one final revision.</w:t>
            </w:r>
          </w:p>
        </w:tc>
      </w:tr>
      <w:tr>
        <w:tc>
          <w:tcPr/>
          <w:p>
            <w:pPr>
              <w:pStyle w:val="Compact"/>
            </w:pPr>
            <w:r>
              <w:t xml:space="preserve">Comparison</w:t>
            </w:r>
          </w:p>
        </w:tc>
        <w:tc>
          <w:tcPr/>
          <w:p>
            <w:pPr>
              <w:pStyle w:val="Compact"/>
            </w:pPr>
            <w:r>
              <w:t xml:space="preserve">Present price, commission, logistics, evidence, timing and protection terms to the buyer.</w:t>
            </w:r>
          </w:p>
        </w:tc>
      </w:tr>
      <w:tr>
        <w:tc>
          <w:tcPr/>
          <w:p>
            <w:pPr>
              <w:pStyle w:val="Compact"/>
            </w:pPr>
            <w:r>
              <w:t xml:space="preserve">Selection</w:t>
            </w:r>
          </w:p>
        </w:tc>
        <w:tc>
          <w:tcPr/>
          <w:p>
            <w:pPr>
              <w:pStyle w:val="Compact"/>
            </w:pPr>
            <w:r>
              <w:t xml:space="preserve">Buyer chooses a bid and agrees to contract and disclosure terms.</w:t>
            </w:r>
          </w:p>
        </w:tc>
      </w:tr>
      <w:tr>
        <w:tc>
          <w:tcPr/>
          <w:p>
            <w:pPr>
              <w:pStyle w:val="Compact"/>
            </w:pPr>
            <w:r>
              <w:t xml:space="preserve">Escrow funding</w:t>
            </w:r>
          </w:p>
        </w:tc>
        <w:tc>
          <w:tcPr/>
          <w:p>
            <w:pPr>
              <w:pStyle w:val="Compact"/>
            </w:pPr>
            <w:r>
              <w:t xml:space="preserve">Licensed partner receives and confirms buyer funds.</w:t>
            </w:r>
          </w:p>
        </w:tc>
      </w:tr>
      <w:tr>
        <w:tc>
          <w:tcPr/>
          <w:p>
            <w:pPr>
              <w:pStyle w:val="Compact"/>
            </w:pPr>
            <w:r>
              <w:t xml:space="preserve">Verification</w:t>
            </w:r>
          </w:p>
        </w:tc>
        <w:tc>
          <w:tcPr/>
          <w:p>
            <w:pPr>
              <w:pStyle w:val="Compact"/>
            </w:pPr>
            <w:r>
              <w:t xml:space="preserve">Independent provider accesses full evidence and inspects the selected machine if ordered.</w:t>
            </w:r>
          </w:p>
        </w:tc>
      </w:tr>
      <w:tr>
        <w:tc>
          <w:tcPr/>
          <w:p>
            <w:pPr>
              <w:pStyle w:val="Compact"/>
            </w:pPr>
            <w:r>
              <w:t xml:space="preserve">Milestone release</w:t>
            </w:r>
          </w:p>
        </w:tc>
        <w:tc>
          <w:tcPr/>
          <w:p>
            <w:pPr>
              <w:pStyle w:val="Compact"/>
            </w:pPr>
            <w:r>
              <w:t xml:space="preserve">Licensed partner releases funds against agreed inspection, documentation and delivery events.</w:t>
            </w:r>
          </w:p>
        </w:tc>
      </w:tr>
      <w:tr>
        <w:tc>
          <w:tcPr/>
          <w:p>
            <w:pPr>
              <w:pStyle w:val="Compact"/>
            </w:pPr>
            <w:r>
              <w:t xml:space="preserve">Completion</w:t>
            </w:r>
          </w:p>
        </w:tc>
        <w:tc>
          <w:tcPr/>
          <w:p>
            <w:pPr>
              <w:pStyle w:val="Compact"/>
            </w:pPr>
            <w:r>
              <w:t xml:space="preserve">Buyer closes the transaction, provides outcome feedback and receives the RFQ deposit refund.</w:t>
            </w:r>
          </w:p>
        </w:tc>
      </w:tr>
    </w:tbl>
    <w:bookmarkEnd w:id="53"/>
    <w:bookmarkStart w:id="54" w:name="X02b36af65426df6fb459b36869f104b617cda0f"/>
    <w:p>
      <w:pPr>
        <w:pStyle w:val="Heading2"/>
      </w:pPr>
      <w:r>
        <w:t xml:space="preserve">Appendix B: Heavy-Equipment Inspection Baseline</w:t>
      </w:r>
    </w:p>
    <w:p>
      <w:pPr>
        <w:pStyle w:val="FirstParagraph"/>
      </w:pPr>
      <w:r>
        <w:t xml:space="preserve">The exact checklist depends on machine type. A baseline inspection should consider:</w:t>
      </w:r>
    </w:p>
    <w:p>
      <w:pPr>
        <w:pStyle w:val="Compact"/>
        <w:numPr>
          <w:ilvl w:val="0"/>
          <w:numId w:val="1019"/>
        </w:numPr>
      </w:pPr>
      <w:r>
        <w:t xml:space="preserve">Identity: make, model, serial number, year and configuration</w:t>
      </w:r>
    </w:p>
    <w:p>
      <w:pPr>
        <w:pStyle w:val="Compact"/>
        <w:numPr>
          <w:ilvl w:val="0"/>
          <w:numId w:val="1019"/>
        </w:numPr>
      </w:pPr>
      <w:r>
        <w:t xml:space="preserve">Hours: dashboard reading, control-module reading where accessible and consistency with wear</w:t>
      </w:r>
    </w:p>
    <w:p>
      <w:pPr>
        <w:pStyle w:val="Compact"/>
        <w:numPr>
          <w:ilvl w:val="0"/>
          <w:numId w:val="1019"/>
        </w:numPr>
      </w:pPr>
      <w:r>
        <w:t xml:space="preserve">Engine: cold start, smoke, noise, leaks, fault codes and fluid condition</w:t>
      </w:r>
    </w:p>
    <w:p>
      <w:pPr>
        <w:pStyle w:val="Compact"/>
        <w:numPr>
          <w:ilvl w:val="0"/>
          <w:numId w:val="1019"/>
        </w:numPr>
      </w:pPr>
      <w:r>
        <w:t xml:space="preserve">Hydraulics: cylinders, pumps, hoses, leaks, pressure and functional movement</w:t>
      </w:r>
    </w:p>
    <w:p>
      <w:pPr>
        <w:pStyle w:val="Compact"/>
        <w:numPr>
          <w:ilvl w:val="0"/>
          <w:numId w:val="1019"/>
        </w:numPr>
      </w:pPr>
      <w:r>
        <w:t xml:space="preserve">Powertrain: transmission, axles, final drives and operating behaviour</w:t>
      </w:r>
    </w:p>
    <w:p>
      <w:pPr>
        <w:pStyle w:val="Compact"/>
        <w:numPr>
          <w:ilvl w:val="0"/>
          <w:numId w:val="1019"/>
        </w:numPr>
      </w:pPr>
      <w:r>
        <w:t xml:space="preserve">Structure: frame, boom, stick, bucket, welds, cracks, repairs and corrosion</w:t>
      </w:r>
    </w:p>
    <w:p>
      <w:pPr>
        <w:pStyle w:val="Compact"/>
        <w:numPr>
          <w:ilvl w:val="0"/>
          <w:numId w:val="1019"/>
        </w:numPr>
      </w:pPr>
      <w:r>
        <w:t xml:space="preserve">Undercarriage or tyres: remaining life, uneven wear and damage</w:t>
      </w:r>
    </w:p>
    <w:p>
      <w:pPr>
        <w:pStyle w:val="Compact"/>
        <w:numPr>
          <w:ilvl w:val="0"/>
          <w:numId w:val="1019"/>
        </w:numPr>
      </w:pPr>
      <w:r>
        <w:t xml:space="preserve">Cabin and safety: controls, gauges, alarms, glass, seat belt, ROPS/FOPS and emergency systems</w:t>
      </w:r>
    </w:p>
    <w:p>
      <w:pPr>
        <w:pStyle w:val="Compact"/>
        <w:numPr>
          <w:ilvl w:val="0"/>
          <w:numId w:val="1019"/>
        </w:numPr>
      </w:pPr>
      <w:r>
        <w:t xml:space="preserve">Attachments: identity, wear, operation and fit</w:t>
      </w:r>
    </w:p>
    <w:p>
      <w:pPr>
        <w:pStyle w:val="Compact"/>
        <w:numPr>
          <w:ilvl w:val="0"/>
          <w:numId w:val="1019"/>
        </w:numPr>
      </w:pPr>
      <w:r>
        <w:t xml:space="preserve">Records: service, repair, ownership, accident and available lien information</w:t>
      </w:r>
    </w:p>
    <w:p>
      <w:pPr>
        <w:pStyle w:val="Compact"/>
        <w:numPr>
          <w:ilvl w:val="0"/>
          <w:numId w:val="1019"/>
        </w:numPr>
      </w:pPr>
      <w:r>
        <w:t xml:space="preserve">Operation: safe functional test under the limitations stated in the report</w:t>
      </w:r>
    </w:p>
    <w:p>
      <w:pPr>
        <w:pStyle w:val="Compact"/>
        <w:numPr>
          <w:ilvl w:val="0"/>
          <w:numId w:val="1019"/>
        </w:numPr>
      </w:pPr>
      <w:r>
        <w:t xml:space="preserve">Evidence: dated photographs, video, inspector identity, location and report limitations</w:t>
      </w:r>
    </w:p>
    <w:p>
      <w:pPr>
        <w:pStyle w:val="FirstParagraph"/>
      </w:pPr>
      <w:r>
        <w:t xml:space="preserve">Manufacturer-certified programs can inform the checklist, but an independent inspection must not be described as manufacturer certification unless the provider is authorised to make that claim.</w:t>
      </w:r>
    </w:p>
    <w:bookmarkEnd w:id="54"/>
    <w:bookmarkStart w:id="63" w:name="appendix-c-partner-research-and-outreach"/>
    <w:p>
      <w:pPr>
        <w:pStyle w:val="Heading2"/>
      </w:pPr>
      <w:r>
        <w:t xml:space="preserve">Appendix C: Partner Research and Outreach</w:t>
      </w:r>
    </w:p>
    <w:p>
      <w:pPr>
        <w:pStyle w:val="FirstParagraph"/>
      </w:pPr>
      <w:r>
        <w:t xml:space="preserve">The following organisations are research candidates only. TradeOS has no partnership with them unless and until a written agreement is signed.</w:t>
      </w:r>
    </w:p>
    <w:bookmarkStart w:id="56" w:name="inspection-candidate-sgs-korea"/>
    <w:p>
      <w:pPr>
        <w:pStyle w:val="Heading3"/>
      </w:pPr>
      <w:r>
        <w:t xml:space="preserve">Inspection Candidate: SGS Korea</w:t>
      </w:r>
    </w:p>
    <w:p>
      <w:pPr>
        <w:pStyle w:val="FirstParagraph"/>
      </w:pPr>
      <w:r>
        <w:t xml:space="preserve">SGS operates equipment-inspection services in Korea and lists offices in Seoul and other Korean locations. Initial outreach should ask:</w:t>
      </w:r>
    </w:p>
    <w:p>
      <w:pPr>
        <w:pStyle w:val="Compact"/>
        <w:numPr>
          <w:ilvl w:val="0"/>
          <w:numId w:val="1020"/>
        </w:numPr>
      </w:pPr>
      <w:r>
        <w:t xml:space="preserve">Can SGS inspect individual used excavators, loaders, bulldozers and generators at dealer yards?</w:t>
      </w:r>
    </w:p>
    <w:p>
      <w:pPr>
        <w:pStyle w:val="Compact"/>
        <w:numPr>
          <w:ilvl w:val="0"/>
          <w:numId w:val="1020"/>
        </w:numPr>
      </w:pPr>
      <w:r>
        <w:t xml:space="preserve">Can it confirm serial number, hours, basic operation, wear and visible defects?</w:t>
      </w:r>
    </w:p>
    <w:p>
      <w:pPr>
        <w:pStyle w:val="Compact"/>
        <w:numPr>
          <w:ilvl w:val="0"/>
          <w:numId w:val="1020"/>
        </w:numPr>
      </w:pPr>
      <w:r>
        <w:t xml:space="preserve">Can it perform electronic diagnostics or fluid analysis by machine brand?</w:t>
      </w:r>
    </w:p>
    <w:p>
      <w:pPr>
        <w:pStyle w:val="Compact"/>
        <w:numPr>
          <w:ilvl w:val="0"/>
          <w:numId w:val="1020"/>
        </w:numPr>
      </w:pPr>
      <w:r>
        <w:t xml:space="preserve">What are the price, lead time, travel charges and report format?</w:t>
      </w:r>
    </w:p>
    <w:p>
      <w:pPr>
        <w:pStyle w:val="Compact"/>
        <w:numPr>
          <w:ilvl w:val="0"/>
          <w:numId w:val="1020"/>
        </w:numPr>
      </w:pPr>
      <w:r>
        <w:t xml:space="preserve">What professional liability and dispute terms apply?</w:t>
      </w:r>
    </w:p>
    <w:p>
      <w:pPr>
        <w:pStyle w:val="Compact"/>
        <w:numPr>
          <w:ilvl w:val="0"/>
          <w:numId w:val="1020"/>
        </w:numPr>
      </w:pPr>
      <w:r>
        <w:t xml:space="preserve">Can TradeOS order inspections through an API or managed account?</w:t>
      </w:r>
    </w:p>
    <w:p>
      <w:pPr>
        <w:pStyle w:val="FirstParagraph"/>
      </w:pPr>
      <w:r>
        <w:t xml:space="preserve">Reference:</w:t>
      </w:r>
      <w:r>
        <w:t xml:space="preserve"> </w:t>
      </w:r>
      <w:hyperlink r:id="rId55">
        <w:r>
          <w:rPr>
            <w:rStyle w:val="Hyperlink"/>
          </w:rPr>
          <w:t xml:space="preserve">SGS Korea equipment inspection services</w:t>
        </w:r>
      </w:hyperlink>
    </w:p>
    <w:bookmarkEnd w:id="56"/>
    <w:bookmarkStart w:id="60" w:name="escrow-candidate-escrowcom"/>
    <w:p>
      <w:pPr>
        <w:pStyle w:val="Heading3"/>
      </w:pPr>
      <w:r>
        <w:t xml:space="preserve">Escrow Candidate: Escrow.com</w:t>
      </w:r>
    </w:p>
    <w:p>
      <w:pPr>
        <w:pStyle w:val="FirstParagraph"/>
      </w:pPr>
      <w:r>
        <w:t xml:space="preserve">Escrow.com publishes support for factory machinery, heavy equipment, broker transactions and platform API integrations. Initial outreach must confirm actual coverage for each Korea-ASEAN country pair, transaction value, currency and settlement structure.</w:t>
      </w:r>
    </w:p>
    <w:p>
      <w:pPr>
        <w:pStyle w:val="BodyText"/>
      </w:pPr>
      <w:r>
        <w:t xml:space="preserve">Questions for outreach:</w:t>
      </w:r>
    </w:p>
    <w:p>
      <w:pPr>
        <w:pStyle w:val="Compact"/>
        <w:numPr>
          <w:ilvl w:val="0"/>
          <w:numId w:val="1021"/>
        </w:numPr>
      </w:pPr>
      <w:r>
        <w:t xml:space="preserve">Are Korean middlemen and buyers in the initial ASEAN countries eligible?</w:t>
      </w:r>
    </w:p>
    <w:p>
      <w:pPr>
        <w:pStyle w:val="Compact"/>
        <w:numPr>
          <w:ilvl w:val="0"/>
          <w:numId w:val="1021"/>
        </w:numPr>
      </w:pPr>
      <w:r>
        <w:t xml:space="preserve">Can the middleman act as seller, broker or both under the proposed contract?</w:t>
      </w:r>
    </w:p>
    <w:p>
      <w:pPr>
        <w:pStyle w:val="Compact"/>
        <w:numPr>
          <w:ilvl w:val="0"/>
          <w:numId w:val="1021"/>
        </w:numPr>
      </w:pPr>
      <w:r>
        <w:t xml:space="preserve">Which currencies, banks and transaction limits are supported?</w:t>
      </w:r>
    </w:p>
    <w:p>
      <w:pPr>
        <w:pStyle w:val="Compact"/>
        <w:numPr>
          <w:ilvl w:val="0"/>
          <w:numId w:val="1021"/>
        </w:numPr>
      </w:pPr>
      <w:r>
        <w:t xml:space="preserve">Can payment release depend on inspection, loading documents and delivery milestones?</w:t>
      </w:r>
    </w:p>
    <w:p>
      <w:pPr>
        <w:pStyle w:val="Compact"/>
        <w:numPr>
          <w:ilvl w:val="0"/>
          <w:numId w:val="1021"/>
        </w:numPr>
      </w:pPr>
      <w:r>
        <w:t xml:space="preserve">How are broker commissions, refunds, disputes and partial releases handled?</w:t>
      </w:r>
    </w:p>
    <w:p>
      <w:pPr>
        <w:pStyle w:val="Compact"/>
        <w:numPr>
          <w:ilvl w:val="0"/>
          <w:numId w:val="1021"/>
        </w:numPr>
      </w:pPr>
      <w:r>
        <w:t xml:space="preserve">What KYC, sanctions, beneficial-ownership and source-of-funds checks apply?</w:t>
      </w:r>
    </w:p>
    <w:p>
      <w:pPr>
        <w:pStyle w:val="Compact"/>
        <w:numPr>
          <w:ilvl w:val="0"/>
          <w:numId w:val="1021"/>
        </w:numPr>
      </w:pPr>
      <w:r>
        <w:t xml:space="preserve">What fees and integration requirements apply to TradeOS?</w:t>
      </w:r>
    </w:p>
    <w:p>
      <w:pPr>
        <w:pStyle w:val="FirstParagraph"/>
      </w:pPr>
      <w:r>
        <w:t xml:space="preserve">References:</w:t>
      </w:r>
      <w:r>
        <w:t xml:space="preserve"> </w:t>
      </w:r>
      <w:hyperlink r:id="rId57">
        <w:r>
          <w:rPr>
            <w:rStyle w:val="Hyperlink"/>
          </w:rPr>
          <w:t xml:space="preserve">Escrow.com factory machinery</w:t>
        </w:r>
      </w:hyperlink>
      <w:r>
        <w:t xml:space="preserve">,</w:t>
      </w:r>
      <w:r>
        <w:t xml:space="preserve"> </w:t>
      </w:r>
      <w:hyperlink r:id="rId58">
        <w:r>
          <w:rPr>
            <w:rStyle w:val="Hyperlink"/>
          </w:rPr>
          <w:t xml:space="preserve">broker transactions</w:t>
        </w:r>
      </w:hyperlink>
      <w:r>
        <w:t xml:space="preserve">, and</w:t>
      </w:r>
      <w:r>
        <w:t xml:space="preserve"> </w:t>
      </w:r>
      <w:hyperlink r:id="rId59">
        <w:r>
          <w:rPr>
            <w:rStyle w:val="Hyperlink"/>
          </w:rPr>
          <w:t xml:space="preserve">API transaction categories</w:t>
        </w:r>
      </w:hyperlink>
    </w:p>
    <w:bookmarkEnd w:id="60"/>
    <w:bookmarkStart w:id="62" w:name="inspection-standard-research"/>
    <w:p>
      <w:pPr>
        <w:pStyle w:val="Heading3"/>
      </w:pPr>
      <w:r>
        <w:t xml:space="preserve">Inspection Standard Research</w:t>
      </w:r>
    </w:p>
    <w:p>
      <w:pPr>
        <w:pStyle w:val="FirstParagraph"/>
      </w:pPr>
      <w:r>
        <w:t xml:space="preserve">Caterpillar states that its Certified Used inspection reviews configuration, service and repair history, fluid sampling, fault codes, operational performance and component condition, with photographs for material issues. This is a useful benchmark for checklist depth but does not make TradeOS inspections Cat Certified.</w:t>
      </w:r>
    </w:p>
    <w:p>
      <w:pPr>
        <w:pStyle w:val="BodyText"/>
      </w:pPr>
      <w:r>
        <w:t xml:space="preserve">Reference:</w:t>
      </w:r>
      <w:r>
        <w:t xml:space="preserve"> </w:t>
      </w:r>
      <w:hyperlink r:id="rId61">
        <w:r>
          <w:rPr>
            <w:rStyle w:val="Hyperlink"/>
          </w:rPr>
          <w:t xml:space="preserve">Caterpillar Certified Used inspection</w:t>
        </w:r>
      </w:hyperlink>
    </w:p>
    <w:bookmarkEnd w:id="62"/>
    <w:bookmarkEnd w:id="63"/>
    <w:bookmarkStart w:id="64" w:name="appendix-d-pilot-kpis"/>
    <w:p>
      <w:pPr>
        <w:pStyle w:val="Heading2"/>
      </w:pPr>
      <w:r>
        <w:t xml:space="preserve">Appendix D: Pilot KPIs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Area</w:t>
            </w:r>
          </w:p>
        </w:tc>
        <w:tc>
          <w:tcPr/>
          <w:p>
            <w:pPr>
              <w:pStyle w:val="Compact"/>
            </w:pPr>
            <w:r>
              <w:rPr>
                <w:b/>
                <w:bCs/>
              </w:rPr>
              <w:t xml:space="preserve">KPI</w:t>
            </w:r>
          </w:p>
        </w:tc>
        <w:tc>
          <w:tcPr/>
          <w:p>
            <w:pPr>
              <w:pStyle w:val="Compact"/>
            </w:pPr>
            <w:r>
              <w:rPr>
                <w:b/>
                <w:bCs/>
              </w:rPr>
              <w:t xml:space="preserve">Question answered</w:t>
            </w:r>
          </w:p>
        </w:tc>
      </w:tr>
      <w:tr>
        <w:tc>
          <w:tcPr/>
          <w:p>
            <w:pPr>
              <w:pStyle w:val="Compact"/>
            </w:pPr>
            <w:r>
              <w:t xml:space="preserve">Buyer demand</w:t>
            </w:r>
          </w:p>
        </w:tc>
        <w:tc>
          <w:tcPr/>
          <w:p>
            <w:pPr>
              <w:pStyle w:val="Compact"/>
            </w:pPr>
            <w:r>
              <w:t xml:space="preserve">Qualified RFQs, deposits funded and repeat RFQ rate</w:t>
            </w:r>
          </w:p>
        </w:tc>
        <w:tc>
          <w:tcPr/>
          <w:p>
            <w:pPr>
              <w:pStyle w:val="Compact"/>
            </w:pPr>
            <w:r>
              <w:t xml:space="preserve">Are buyers serious and recurring?</w:t>
            </w:r>
          </w:p>
        </w:tc>
      </w:tr>
      <w:tr>
        <w:tc>
          <w:tcPr/>
          <w:p>
            <w:pPr>
              <w:pStyle w:val="Compact"/>
            </w:pPr>
            <w:r>
              <w:t xml:space="preserve">Middleman liquidity</w:t>
            </w:r>
          </w:p>
        </w:tc>
        <w:tc>
          <w:tcPr/>
          <w:p>
            <w:pPr>
              <w:pStyle w:val="Compact"/>
            </w:pPr>
            <w:r>
              <w:t xml:space="preserve">Active middlemen and percentage submitting a bid</w:t>
            </w:r>
          </w:p>
        </w:tc>
        <w:tc>
          <w:tcPr/>
          <w:p>
            <w:pPr>
              <w:pStyle w:val="Compact"/>
            </w:pPr>
            <w:r>
              <w:t xml:space="preserve">Is the supply side engaged?</w:t>
            </w:r>
          </w:p>
        </w:tc>
      </w:tr>
      <w:tr>
        <w:tc>
          <w:tcPr/>
          <w:p>
            <w:pPr>
              <w:pStyle w:val="Compact"/>
            </w:pPr>
            <w:r>
              <w:t xml:space="preserve">Bid coverage</w:t>
            </w:r>
          </w:p>
        </w:tc>
        <w:tc>
          <w:tcPr/>
          <w:p>
            <w:pPr>
              <w:pStyle w:val="Compact"/>
            </w:pPr>
            <w:r>
              <w:t xml:space="preserve">Percentage of eligible RFQs receiving at least three credible bids</w:t>
            </w:r>
          </w:p>
        </w:tc>
        <w:tc>
          <w:tcPr/>
          <w:p>
            <w:pPr>
              <w:pStyle w:val="Compact"/>
            </w:pPr>
            <w:r>
              <w:t xml:space="preserve">Does TradeOS create real choice?</w:t>
            </w:r>
          </w:p>
        </w:tc>
      </w:tr>
      <w:tr>
        <w:tc>
          <w:tcPr/>
          <w:p>
            <w:pPr>
              <w:pStyle w:val="Compact"/>
            </w:pPr>
            <w:r>
              <w:t xml:space="preserve">Responsiveness</w:t>
            </w:r>
          </w:p>
        </w:tc>
        <w:tc>
          <w:tcPr/>
          <w:p>
            <w:pPr>
              <w:pStyle w:val="Compact"/>
            </w:pPr>
            <w:r>
              <w:t xml:space="preserve">Time to first bid and time to three bids</w:t>
            </w:r>
          </w:p>
        </w:tc>
        <w:tc>
          <w:tcPr/>
          <w:p>
            <w:pPr>
              <w:pStyle w:val="Compact"/>
            </w:pPr>
            <w:r>
              <w:t xml:space="preserve">Is sourcing faster?</w:t>
            </w:r>
          </w:p>
        </w:tc>
      </w:tr>
      <w:tr>
        <w:tc>
          <w:tcPr/>
          <w:p>
            <w:pPr>
              <w:pStyle w:val="Compact"/>
            </w:pPr>
            <w:r>
              <w:t xml:space="preserve">Evidence quality</w:t>
            </w:r>
          </w:p>
        </w:tc>
        <w:tc>
          <w:tcPr/>
          <w:p>
            <w:pPr>
              <w:pStyle w:val="Compact"/>
            </w:pPr>
            <w:r>
              <w:t xml:space="preserve">Percentage of bids passing the minimum standard</w:t>
            </w:r>
          </w:p>
        </w:tc>
        <w:tc>
          <w:tcPr/>
          <w:p>
            <w:pPr>
              <w:pStyle w:val="Compact"/>
            </w:pPr>
            <w:r>
              <w:t xml:space="preserve">Can buyers trust the comparison?</w:t>
            </w:r>
          </w:p>
        </w:tc>
      </w:tr>
      <w:tr>
        <w:tc>
          <w:tcPr/>
          <w:p>
            <w:pPr>
              <w:pStyle w:val="Compact"/>
            </w:pPr>
            <w:r>
              <w:t xml:space="preserve">Conversion</w:t>
            </w:r>
          </w:p>
        </w:tc>
        <w:tc>
          <w:tcPr/>
          <w:p>
            <w:pPr>
              <w:pStyle w:val="Compact"/>
            </w:pPr>
            <w:r>
              <w:t xml:space="preserve">RFQ-to-bid, bid-to-selection, escrow-funded and completed rates</w:t>
            </w:r>
          </w:p>
        </w:tc>
        <w:tc>
          <w:tcPr/>
          <w:p>
            <w:pPr>
              <w:pStyle w:val="Compact"/>
            </w:pPr>
            <w:r>
              <w:t xml:space="preserve">Where does the funnel fail?</w:t>
            </w:r>
          </w:p>
        </w:tc>
      </w:tr>
      <w:tr>
        <w:tc>
          <w:tcPr/>
          <w:p>
            <w:pPr>
              <w:pStyle w:val="Compact"/>
            </w:pPr>
            <w:r>
              <w:t xml:space="preserve">Verification</w:t>
            </w:r>
          </w:p>
        </w:tc>
        <w:tc>
          <w:tcPr/>
          <w:p>
            <w:pPr>
              <w:pStyle w:val="Compact"/>
            </w:pPr>
            <w:r>
              <w:t xml:space="preserve">Inspection usage, completion time and buyer satisfaction</w:t>
            </w:r>
          </w:p>
        </w:tc>
        <w:tc>
          <w:tcPr/>
          <w:p>
            <w:pPr>
              <w:pStyle w:val="Compact"/>
            </w:pPr>
            <w:r>
              <w:t xml:space="preserve">Does verification change buyer confidence?</w:t>
            </w:r>
          </w:p>
        </w:tc>
      </w:tr>
      <w:tr>
        <w:tc>
          <w:tcPr/>
          <w:p>
            <w:pPr>
              <w:pStyle w:val="Compact"/>
            </w:pPr>
            <w:r>
              <w:t xml:space="preserve">Payment</w:t>
            </w:r>
          </w:p>
        </w:tc>
        <w:tc>
          <w:tcPr/>
          <w:p>
            <w:pPr>
              <w:pStyle w:val="Compact"/>
            </w:pPr>
            <w:r>
              <w:t xml:space="preserve">Escrow funding, milestone completion, refund and dispute rates</w:t>
            </w:r>
          </w:p>
        </w:tc>
        <w:tc>
          <w:tcPr/>
          <w:p>
            <w:pPr>
              <w:pStyle w:val="Compact"/>
            </w:pPr>
            <w:r>
              <w:t xml:space="preserve">Does protected payment work?</w:t>
            </w:r>
          </w:p>
        </w:tc>
      </w:tr>
      <w:tr>
        <w:tc>
          <w:tcPr/>
          <w:p>
            <w:pPr>
              <w:pStyle w:val="Compact"/>
            </w:pPr>
            <w:r>
              <w:t xml:space="preserve">Retention</w:t>
            </w:r>
          </w:p>
        </w:tc>
        <w:tc>
          <w:tcPr/>
          <w:p>
            <w:pPr>
              <w:pStyle w:val="Compact"/>
            </w:pPr>
            <w:r>
              <w:t xml:space="preserve">Repeat buyers, repeat bidders and middleman renewal</w:t>
            </w:r>
          </w:p>
        </w:tc>
        <w:tc>
          <w:tcPr/>
          <w:p>
            <w:pPr>
              <w:pStyle w:val="Compact"/>
            </w:pPr>
            <w:r>
              <w:t xml:space="preserve">Is value recurring?</w:t>
            </w:r>
          </w:p>
        </w:tc>
      </w:tr>
      <w:tr>
        <w:tc>
          <w:tcPr/>
          <w:p>
            <w:pPr>
              <w:pStyle w:val="Compact"/>
            </w:pPr>
            <w:r>
              <w:t xml:space="preserve">Economics</w:t>
            </w:r>
          </w:p>
        </w:tc>
        <w:tc>
          <w:tcPr/>
          <w:p>
            <w:pPr>
              <w:pStyle w:val="Compact"/>
            </w:pPr>
            <w:r>
              <w:t xml:space="preserve">Acquisition cost, support cost, gross margin and payback</w:t>
            </w:r>
          </w:p>
        </w:tc>
        <w:tc>
          <w:tcPr/>
          <w:p>
            <w:pPr>
              <w:pStyle w:val="Compact"/>
            </w:pPr>
            <w:r>
              <w:t xml:space="preserve">Can the marketplace scale sustainably?</w:t>
            </w:r>
          </w:p>
        </w:tc>
      </w:tr>
    </w:tbl>
    <w:bookmarkEnd w:id="64"/>
    <w:bookmarkStart w:id="65" w:name="Xfd72688cdb891452851f7e506e5b86d2c975c40"/>
    <w:p>
      <w:pPr>
        <w:pStyle w:val="Heading2"/>
      </w:pPr>
      <w:r>
        <w:t xml:space="preserve">Appendix E: Technology and Governance Priorities</w:t>
      </w:r>
    </w:p>
    <w:p>
      <w:pPr>
        <w:pStyle w:val="Compact"/>
        <w:numPr>
          <w:ilvl w:val="0"/>
          <w:numId w:val="1022"/>
        </w:numPr>
      </w:pPr>
      <w:r>
        <w:t xml:space="preserve">Role-based access for RFQs, bids, evidence, contracts and reports</w:t>
      </w:r>
    </w:p>
    <w:p>
      <w:pPr>
        <w:pStyle w:val="Compact"/>
        <w:numPr>
          <w:ilvl w:val="0"/>
          <w:numId w:val="1022"/>
        </w:numPr>
      </w:pPr>
      <w:r>
        <w:t xml:space="preserve">Separation of marketplace administration from founder-affiliated bidding</w:t>
      </w:r>
    </w:p>
    <w:p>
      <w:pPr>
        <w:pStyle w:val="Compact"/>
        <w:numPr>
          <w:ilvl w:val="0"/>
          <w:numId w:val="1022"/>
        </w:numPr>
      </w:pPr>
      <w:r>
        <w:t xml:space="preserve">Encryption and restricted access for the confidential evidence vault</w:t>
      </w:r>
    </w:p>
    <w:p>
      <w:pPr>
        <w:pStyle w:val="Compact"/>
        <w:numPr>
          <w:ilvl w:val="0"/>
          <w:numId w:val="1022"/>
        </w:numPr>
      </w:pPr>
      <w:r>
        <w:t xml:space="preserve">Buyer-specific watermarking and removal of photograph metadata</w:t>
      </w:r>
    </w:p>
    <w:p>
      <w:pPr>
        <w:pStyle w:val="Compact"/>
        <w:numPr>
          <w:ilvl w:val="0"/>
          <w:numId w:val="1022"/>
        </w:numPr>
      </w:pPr>
      <w:r>
        <w:t xml:space="preserve">Immutable timestamps and version history for bids and material documents</w:t>
      </w:r>
    </w:p>
    <w:p>
      <w:pPr>
        <w:pStyle w:val="Compact"/>
        <w:numPr>
          <w:ilvl w:val="0"/>
          <w:numId w:val="1022"/>
        </w:numPr>
      </w:pPr>
      <w:r>
        <w:t xml:space="preserve">Audit logs for every view or download of sensitive evidence</w:t>
      </w:r>
    </w:p>
    <w:p>
      <w:pPr>
        <w:pStyle w:val="Compact"/>
        <w:numPr>
          <w:ilvl w:val="0"/>
          <w:numId w:val="1022"/>
        </w:numPr>
      </w:pPr>
      <w:r>
        <w:t xml:space="preserve">Clear retention and deletion periods for confidential supplier information</w:t>
      </w:r>
    </w:p>
    <w:p>
      <w:pPr>
        <w:pStyle w:val="Compact"/>
        <w:numPr>
          <w:ilvl w:val="0"/>
          <w:numId w:val="1022"/>
        </w:numPr>
      </w:pPr>
      <w:r>
        <w:t xml:space="preserve">Marketplace rules for false evidence, fake demand, spam and repeated non-performance</w:t>
      </w:r>
    </w:p>
    <w:p>
      <w:pPr>
        <w:pStyle w:val="Compact"/>
        <w:numPr>
          <w:ilvl w:val="0"/>
          <w:numId w:val="1022"/>
        </w:numPr>
      </w:pPr>
      <w:r>
        <w:t xml:space="preserve">Partner-held funds and explicit prohibition on TradeOS custody</w:t>
      </w:r>
    </w:p>
    <w:p>
      <w:pPr>
        <w:pStyle w:val="Compact"/>
        <w:numPr>
          <w:ilvl w:val="0"/>
          <w:numId w:val="1022"/>
        </w:numPr>
      </w:pPr>
      <w:r>
        <w:t xml:space="preserve">Sanctions, export-control, privacy and cross-border legal review before launch</w:t>
      </w:r>
    </w:p>
    <w:p>
      <w:pPr>
        <w:pStyle w:val="Compact"/>
        <w:numPr>
          <w:ilvl w:val="0"/>
          <w:numId w:val="1022"/>
        </w:numPr>
      </w:pPr>
      <w:r>
        <w:t xml:space="preserve">Clear dispute boundaries between TradeOS, middleman, buyer, inspector and payment provider</w:t>
      </w:r>
    </w:p>
    <w:bookmarkEnd w:id="65"/>
    <w:bookmarkStart w:id="66" w:name="closing-proposition"/>
    <w:p>
      <w:pPr>
        <w:pStyle w:val="Heading2"/>
      </w:pPr>
      <w:r>
        <w:t xml:space="preserve">Closing Proposition</w:t>
      </w:r>
    </w:p>
    <w:p>
      <w:pPr>
        <w:pStyle w:val="FirstParagraph"/>
      </w:pPr>
      <w:r>
        <w:t xml:space="preserve">TradeOS does not try to replace middlemen or become another machinery catalogue. It converts a fragmented sourcing process into a protected reverse marketplace: serious buyers post funded RFQs, specialised middlemen compete with evidence-backed bids, sensitive supplier information is disclosed in stages, independent experts verify the selected machine, and a licensed partner protects payment. The immediate objective is not global scale. It is proving that one Korea-to-ASEAN heavy-equipment category can produce repeat buyer demand, credible bids, protected transactions and paid middleman retention.</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1" Target="https://www.cat.com/en_US/products/used/certified-used-equipment-NEW/certified-used-inspection.html" TargetMode="External" /><Relationship Type="http://schemas.openxmlformats.org/officeDocument/2006/relationships/hyperlink" Id="rId59" Target="https://www.escrow.com/api/docs/create-transaction" TargetMode="External" /><Relationship Type="http://schemas.openxmlformats.org/officeDocument/2006/relationships/hyperlink" Id="rId57" Target="https://www.escrow.com/buy/factory-machinery" TargetMode="External" /><Relationship Type="http://schemas.openxmlformats.org/officeDocument/2006/relationships/hyperlink" Id="rId58" Target="https://www.escrow.com/support/faqs/what-is-a-broker-transaction" TargetMode="External" /><Relationship Type="http://schemas.openxmlformats.org/officeDocument/2006/relationships/hyperlink" Id="rId55" Target="https://www.sgs.com/en-kr/service-groups/equipment-inspection-services" TargetMode="External" /><Relationship Type="http://schemas.openxmlformats.org/officeDocument/2006/relationships/hyperlink" Id="rId9" Target="mailto:weekunfong@gmail.com" TargetMode="External" /></Relationships>
</file>

<file path=word/_rels/footnotes.xml.rels><?xml version="1.0" encoding="UTF-8"?><Relationships xmlns="http://schemas.openxmlformats.org/package/2006/relationships"><Relationship Type="http://schemas.openxmlformats.org/officeDocument/2006/relationships/hyperlink" Id="rId61" Target="https://www.cat.com/en_US/products/used/certified-used-equipment-NEW/certified-used-inspection.html" TargetMode="External" /><Relationship Type="http://schemas.openxmlformats.org/officeDocument/2006/relationships/hyperlink" Id="rId59" Target="https://www.escrow.com/api/docs/create-transaction" TargetMode="External" /><Relationship Type="http://schemas.openxmlformats.org/officeDocument/2006/relationships/hyperlink" Id="rId57" Target="https://www.escrow.com/buy/factory-machinery" TargetMode="External" /><Relationship Type="http://schemas.openxmlformats.org/officeDocument/2006/relationships/hyperlink" Id="rId58" Target="https://www.escrow.com/support/faqs/what-is-a-broker-transaction" TargetMode="External" /><Relationship Type="http://schemas.openxmlformats.org/officeDocument/2006/relationships/hyperlink" Id="rId55" Target="https://www.sgs.com/en-kr/service-groups/equipment-inspection-services" TargetMode="External" /><Relationship Type="http://schemas.openxmlformats.org/officeDocument/2006/relationships/hyperlink" Id="rId9" Target="mailto:weekunfong@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2026-08-23T13:18:22Z</dcterms:created>
  <dcterms:modified xsi:type="dcterms:W3CDTF">2026-08-23T13:18:22Z</dcterms:modified>
</cp:coreProperties>
</file>

<file path=docProps/custom.xml><?xml version="1.0" encoding="utf-8"?>
<Properties xmlns="http://schemas.openxmlformats.org/officeDocument/2006/custom-properties" xmlns:vt="http://schemas.openxmlformats.org/officeDocument/2006/docPropsVTypes"/>
</file>