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3864"/>
          <w:sz w:val="52"/>
          <w:szCs w:val="52"/>
        </w:rPr>
        <w:t xml:space="preserve">ORBlate</w:t>
      </w:r>
    </w:p>
    <w:p>
      <w:pPr>
        <w:spacing w:after="40"/>
      </w:pPr>
      <w:r>
        <w:rPr>
          <w:b/>
          <w:bCs/>
          <w:color w:val="2E7D6F"/>
          <w:sz w:val="26"/>
          <w:szCs w:val="26"/>
        </w:rPr>
        <w:t xml:space="preserve">Late-Morning Opening-Range Breakout — Screener &amp; Trading Playbook</w:t>
      </w:r>
    </w:p>
    <w:p>
      <w:pPr>
        <w:spacing w:after="160"/>
      </w:pPr>
      <w:r>
        <w:rPr>
          <w:i/>
          <w:iCs/>
          <w:color w:val="595959"/>
          <w:sz w:val="19"/>
          <w:szCs w:val="19"/>
        </w:rPr>
        <w:t xml:space="preserve">A vault-confirmed intraday edge · SELVI / SPS_V3 · Indian equities (NSE), MIS intraday</w:t>
      </w:r>
    </w:p>
    <w:p>
      <w:pPr>
        <w:pBdr>
          <w:bottom w:val="single" w:color="2E7D6F" w:sz="6"/>
        </w:pBdr>
        <w:spacing w:after="160"/>
      </w:pPr>
    </w:p>
    <w:p>
      <w:pPr>
        <w:pStyle w:val="Heading1"/>
        <w:spacing w:after="120" w:before="260"/>
      </w:pPr>
      <w:r>
        <w:rPr>
          <w:b/>
          <w:bCs/>
          <w:color w:val="1F3864"/>
        </w:rPr>
        <w:t xml:space="preserve">1. What ORBlate is — in one paragraph</w:t>
      </w:r>
    </w:p>
    <w:p>
      <w:pPr>
        <w:spacing w:after="120" w:line="276"/>
      </w:pPr>
      <w:r>
        <w:t xml:space="preserve">ORBlate is a rules-based </w:t>
      </w:r>
      <w:r>
        <w:rPr>
          <w:b/>
          <w:bCs/>
        </w:rPr>
        <w:t xml:space="preserve">intraday breakout screener</w:t>
      </w:r>
      <w:r>
        <w:t xml:space="preserve">. Each morning it flags a basket of stocks; for each, you wait for the price to break its </w:t>
      </w:r>
      <w:r>
        <w:rPr>
          <w:b/>
          <w:bCs/>
        </w:rPr>
        <w:t xml:space="preserve">opening range</w:t>
      </w:r>
      <w:r>
        <w:t xml:space="preserve"> — but only during a </w:t>
      </w:r>
      <w:r>
        <w:rPr>
          <w:b/>
          <w:bCs/>
        </w:rPr>
        <w:t xml:space="preserve">late-morning window</w:t>
      </w:r>
      <w:r>
        <w:t xml:space="preserve">, not the noisy first few minutes. You take the breakout in its direction (long on an upside break, short on a downside break), aim for a fixed 1–2% target, and are flat by the close. Direction is decided by the market, not by you.</w:t>
      </w:r>
    </w:p>
    <w:p>
      <w:pPr>
        <w:spacing w:after="120" w:line="276"/>
      </w:pPr>
      <w:r>
        <w:t xml:space="preserve">It was discovered and validated by an automated research engine and — critically — it </w:t>
      </w:r>
      <w:r>
        <w:rPr>
          <w:b/>
          <w:bCs/>
        </w:rPr>
        <w:t xml:space="preserve">held up on a sealed 2026 test year the engine never saw</w:t>
      </w:r>
      <w:r>
        <w:t xml:space="preserve">. That is what separates it from a curve-fit: the numbers below are out-of-sample.</w:t>
      </w:r>
    </w:p>
    <w:p>
      <w:pPr>
        <w:pStyle w:val="Heading1"/>
        <w:spacing w:after="120" w:before="260"/>
      </w:pPr>
      <w:r>
        <w:rPr>
          <w:b/>
          <w:bCs/>
          <w:color w:val="1F3864"/>
        </w:rPr>
        <w:t xml:space="preserve">2. Why it works (the idea)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t xml:space="preserve">The first ~30 minutes set the day's initial balance. Early breakouts are noisy — full of fake-outs and wide spreads.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t xml:space="preserve">By mid-morning (~10:15 onward), a clean break of that range reflects </w:t>
      </w:r>
      <w:r>
        <w:rPr>
          <w:b/>
          <w:bCs/>
        </w:rPr>
        <w:t xml:space="preserve">genuine directional conviction</w:t>
      </w:r>
      <w:r>
        <w:t xml:space="preserve">, not opening chaos — so continuation is more likely.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t xml:space="preserve">Trading </w:t>
      </w:r>
      <w:r>
        <w:rPr>
          <w:b/>
          <w:bCs/>
        </w:rPr>
        <w:t xml:space="preserve">with VWAP</w:t>
      </w:r>
      <w:r>
        <w:t xml:space="preserve"> (longs above it, shorts below it) and only on </w:t>
      </w:r>
      <w:r>
        <w:rPr>
          <w:b/>
          <w:bCs/>
        </w:rPr>
        <w:t xml:space="preserve">high-volatility days</w:t>
      </w:r>
      <w:r>
        <w:t xml:space="preserve"> filters out the low-odds, chop-prone setups.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t xml:space="preserve">A fixed profit target banks the move before it fades; a hard stop and the EOD square-off cap the loss. The edge is the </w:t>
      </w:r>
      <w:r>
        <w:rPr>
          <w:b/>
          <w:bCs/>
        </w:rPr>
        <w:t xml:space="preserve">asymmetry</w:t>
      </w:r>
      <w:r>
        <w:t xml:space="preserve">, repeated across a diversified basket.</w:t>
      </w:r>
    </w:p>
    <w:p>
      <w:pPr>
        <w:pStyle w:val="Heading1"/>
        <w:spacing w:after="120" w:before="260"/>
      </w:pPr>
      <w:r>
        <w:rPr>
          <w:b/>
          <w:bCs/>
          <w:color w:val="1F3864"/>
        </w:rPr>
        <w:t xml:space="preserve">3. The daily screener — building your candidate list</w:t>
      </w:r>
    </w:p>
    <w:p>
      <w:pPr>
        <w:spacing w:after="120" w:line="276"/>
      </w:pPr>
      <w:r>
        <w:t xml:space="preserve">Trade only the </w:t>
      </w:r>
      <w:r>
        <w:rPr>
          <w:b/>
          <w:bCs/>
        </w:rPr>
        <w:t xml:space="preserve">pre-vetted 56-stock basket</w:t>
      </w:r>
      <w:r>
        <w:t xml:space="preserve"> (a representative 26 are listed in Section 8; the full list is in </w:t>
      </w:r>
      <w:r>
        <w:rPr>
          <w:rFonts w:ascii="Consolas" w:cs="Consolas" w:eastAsia="Consolas" w:hAnsi="Consolas"/>
          <w:sz w:val="18"/>
          <w:szCs w:val="18"/>
        </w:rPr>
        <w:t xml:space="preserve">SELVI/SPS_V3/tradeable_list.md</w:t>
      </w:r>
      <w:r>
        <w:t xml:space="preserve">). Each stock carries its own tuned parameters. Every morning, for each stock in the basket: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t xml:space="preserve">Record the </w:t>
      </w:r>
      <w:r>
        <w:rPr>
          <w:b/>
          <w:bCs/>
        </w:rPr>
        <w:t xml:space="preserve">opening range</w:t>
      </w:r>
      <w:r>
        <w:t xml:space="preserve">: the highest high and lowest low of the first 30 minutes (09:15–09:45).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t xml:space="preserve">Note the stock's </w:t>
      </w:r>
      <w:r>
        <w:rPr>
          <w:b/>
          <w:bCs/>
        </w:rPr>
        <w:t xml:space="preserve">VWAP</w:t>
      </w:r>
      <w:r>
        <w:t xml:space="preserve"> line and whether the day qualifies as </w:t>
      </w:r>
      <w:r>
        <w:rPr>
          <w:b/>
          <w:bCs/>
        </w:rPr>
        <w:t xml:space="preserve">high-ATR</w:t>
      </w:r>
      <w:r>
        <w:t xml:space="preserve"> (elevated volatility) — needed for the per-stock filters.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t xml:space="preserve">Arm a </w:t>
      </w:r>
      <w:r>
        <w:rPr>
          <w:b/>
          <w:bCs/>
        </w:rPr>
        <w:t xml:space="preserve">buy-stop at the range high</w:t>
      </w:r>
      <w:r>
        <w:t xml:space="preserve"> and a </w:t>
      </w:r>
      <w:r>
        <w:rPr>
          <w:b/>
          <w:bCs/>
        </w:rPr>
        <w:t xml:space="preserve">sell-stop at the range low</w:t>
      </w:r>
      <w:r>
        <w:t xml:space="preserve">, active only during the late window (Section 4).</w:t>
      </w:r>
    </w:p>
    <w:p>
      <w:pPr>
        <w:spacing w:after="120" w:line="276"/>
      </w:pPr>
      <w:r>
        <w:t xml:space="preserve">That's the screen: a watchlist of 56 names, each with its range levels and filter status ready by ~10:00.</w:t>
      </w:r>
    </w:p>
    <w:p>
      <w:pPr>
        <w:pStyle w:val="Heading1"/>
        <w:spacing w:after="120" w:before="260"/>
      </w:pPr>
      <w:r>
        <w:rPr>
          <w:b/>
          <w:bCs/>
          <w:color w:val="1F3864"/>
        </w:rPr>
        <w:t xml:space="preserve">4. The setup: opening range + the late window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6760"/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Opening range</w:t>
            </w:r>
          </w:p>
        </w:tc>
        <w:tc>
          <w:tcPr>
            <w:tcW w:type="dxa" w:w="67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High &amp; low of the first 30 minutes (09:15–09:45)</w:t>
            </w:r>
          </w:p>
        </w:tc>
      </w:tr>
      <w:tr>
        <w:tc>
          <w:tcPr>
            <w:tcW w:type="dxa" w:w="2600"/>
            <w:shd w:fill="EAF1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Entry window</w:t>
            </w:r>
          </w:p>
        </w:tc>
        <w:tc>
          <w:tcPr>
            <w:tcW w:type="dxa" w:w="6760"/>
            <w:shd w:fill="EAF1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Minute 60 to 210 after open ≈ 10:15 AM – 12:45 PM</w:t>
            </w:r>
          </w:p>
        </w:tc>
      </w:tr>
      <w:tr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Long trigger</w:t>
            </w:r>
          </w:p>
        </w:tc>
        <w:tc>
          <w:tcPr>
            <w:tcW w:type="dxa" w:w="67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Price trades above the opening-range HIGH inside the window</w:t>
            </w:r>
          </w:p>
        </w:tc>
      </w:tr>
      <w:tr>
        <w:tc>
          <w:tcPr>
            <w:tcW w:type="dxa" w:w="2600"/>
            <w:shd w:fill="EAF1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Short trigger</w:t>
            </w:r>
          </w:p>
        </w:tc>
        <w:tc>
          <w:tcPr>
            <w:tcW w:type="dxa" w:w="6760"/>
            <w:shd w:fill="EAF1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Price trades below the opening-range LOW inside the window</w:t>
            </w:r>
          </w:p>
        </w:tc>
      </w:tr>
      <w:tr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Trades per day</w:t>
            </w:r>
          </w:p>
        </w:tc>
        <w:tc>
          <w:tcPr>
            <w:tcW w:type="dxa" w:w="67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Only the FIRST break each stock makes (no re-entries)</w:t>
            </w:r>
          </w:p>
        </w:tc>
      </w:tr>
      <w:tr>
        <w:tc>
          <w:tcPr>
            <w:tcW w:type="dxa" w:w="2600"/>
            <w:shd w:fill="EAF1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 break by 12:45</w:t>
            </w:r>
          </w:p>
        </w:tc>
        <w:tc>
          <w:tcPr>
            <w:tcW w:type="dxa" w:w="6760"/>
            <w:shd w:fill="EAF1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Skip that stock for the day</w:t>
            </w:r>
          </w:p>
        </w:tc>
      </w:tr>
    </w:tbl>
    <w:p>
      <w:pPr>
        <w:pStyle w:val="Heading1"/>
        <w:spacing w:after="120" w:before="260"/>
      </w:pPr>
      <w:r>
        <w:rPr>
          <w:b/>
          <w:bCs/>
          <w:color w:val="1F3864"/>
        </w:rPr>
        <w:t xml:space="preserve">5. Entry rules (step by step)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t xml:space="preserve">Wait for the late window to open (~10:15 AM).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t xml:space="preserve">If price crosses </w:t>
      </w:r>
      <w:r>
        <w:rPr>
          <w:b/>
          <w:bCs/>
        </w:rPr>
        <w:t xml:space="preserve">above</w:t>
      </w:r>
      <w:r>
        <w:t xml:space="preserve"> the opening-range high → go </w:t>
      </w:r>
      <w:r>
        <w:rPr>
          <w:b/>
          <w:bCs/>
        </w:rPr>
        <w:t xml:space="preserve">LONG</w:t>
      </w:r>
      <w:r>
        <w:t xml:space="preserve"> at that level (buy-stop fills).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t xml:space="preserve">If price crosses </w:t>
      </w:r>
      <w:r>
        <w:rPr>
          <w:b/>
          <w:bCs/>
        </w:rPr>
        <w:t xml:space="preserve">below</w:t>
      </w:r>
      <w:r>
        <w:t xml:space="preserve"> the opening-range low → go </w:t>
      </w:r>
      <w:r>
        <w:rPr>
          <w:b/>
          <w:bCs/>
        </w:rPr>
        <w:t xml:space="preserve">SHORT</w:t>
      </w:r>
      <w:r>
        <w:t xml:space="preserve"> at that level (sell-stop fills).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t xml:space="preserve">Apply the stock's filter (Section 6). If the filter fails, </w:t>
      </w:r>
      <w:r>
        <w:rPr>
          <w:b/>
          <w:bCs/>
        </w:rPr>
        <w:t xml:space="preserve">do not take the trade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t xml:space="preserve">Take only the first valid break; cancel the opposite stop order.</w:t>
      </w:r>
    </w:p>
    <w:p>
      <w:pPr>
        <w:spacing w:after="120" w:line="276"/>
      </w:pPr>
      <w:r>
        <w:t xml:space="preserve">Tip (execution): a breakout entry pays the spread and slips against you. Where a stock's edge came from pull-back entries, a </w:t>
      </w:r>
      <w:r>
        <w:rPr>
          <w:b/>
          <w:bCs/>
        </w:rPr>
        <w:t xml:space="preserve">limit order just inside the level</w:t>
      </w:r>
      <w:r>
        <w:t xml:space="preserve"> (buy the small dip back to the breakout) reduces slippage materially — see Section 11.</w:t>
      </w:r>
    </w:p>
    <w:p>
      <w:pPr>
        <w:pStyle w:val="Heading1"/>
        <w:spacing w:after="120" w:before="260"/>
      </w:pPr>
      <w:r>
        <w:rPr>
          <w:b/>
          <w:bCs/>
          <w:color w:val="1F3864"/>
        </w:rPr>
        <w:t xml:space="preserve">6. The filters — per-stock conditioning</w:t>
      </w:r>
    </w:p>
    <w:p>
      <w:pPr>
        <w:spacing w:after="120" w:line="276"/>
      </w:pPr>
      <w:r>
        <w:t xml:space="preserve">Each stock in the basket was tuned to one of these filters. Only take its break when the filter is satisfied: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Filter</w:t>
            </w:r>
          </w:p>
        </w:tc>
        <w:tc>
          <w:tcPr>
            <w:tcW w:type="dxa" w:w="6760"/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Meaning — take the break only if…</w:t>
            </w:r>
          </w:p>
        </w:tc>
      </w:tr>
      <w:tr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none</w:t>
            </w:r>
          </w:p>
        </w:tc>
        <w:tc>
          <w:tcPr>
            <w:tcW w:type="dxa" w:w="67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…it breaks (no extra condition)</w:t>
            </w:r>
          </w:p>
        </w:tc>
      </w:tr>
      <w:tr>
        <w:tc>
          <w:tcPr>
            <w:tcW w:type="dxa" w:w="2600"/>
            <w:shd w:fill="EAF1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with-VWAP</w:t>
            </w:r>
          </w:p>
        </w:tc>
        <w:tc>
          <w:tcPr>
            <w:tcW w:type="dxa" w:w="6760"/>
            <w:shd w:fill="EAF1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…LONG only when price is above VWAP; SHORT only when below VWAP</w:t>
            </w:r>
          </w:p>
        </w:tc>
      </w:tr>
      <w:tr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AM</w:t>
            </w:r>
          </w:p>
        </w:tc>
        <w:tc>
          <w:tcPr>
            <w:tcW w:type="dxa" w:w="67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…the break happens in the morning part of the window (before ~11:00)</w:t>
            </w:r>
          </w:p>
        </w:tc>
      </w:tr>
      <w:tr>
        <w:tc>
          <w:tcPr>
            <w:tcW w:type="dxa" w:w="2600"/>
            <w:shd w:fill="EAF1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ATR-hi</w:t>
            </w:r>
          </w:p>
        </w:tc>
        <w:tc>
          <w:tcPr>
            <w:tcW w:type="dxa" w:w="6760"/>
            <w:shd w:fill="EAF1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…the day is high-volatility (ATR% elevated vs the stock's normal)</w:t>
            </w:r>
          </w:p>
        </w:tc>
      </w:tr>
      <w:tr>
        <w:tc>
          <w:tcPr>
            <w:tcW w:type="dxa" w:w="2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ATR-hi + VWAP</w:t>
            </w:r>
          </w:p>
        </w:tc>
        <w:tc>
          <w:tcPr>
            <w:tcW w:type="dxa" w:w="67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…both conditions above hold together</w:t>
            </w:r>
          </w:p>
        </w:tc>
      </w:tr>
    </w:tbl>
    <w:p>
      <w:pPr>
        <w:pStyle w:val="Heading1"/>
        <w:spacing w:after="120" w:before="260"/>
      </w:pPr>
      <w:r>
        <w:rPr>
          <w:b/>
          <w:bCs/>
          <w:color w:val="1F3864"/>
        </w:rPr>
        <w:t xml:space="preserve">7. Exit rules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</w:rPr>
        <w:t xml:space="preserve">Profit target</w:t>
      </w:r>
      <w:r>
        <w:t xml:space="preserve">: exit at the stock's fixed target — </w:t>
      </w:r>
      <w:r>
        <w:rPr>
          <w:b/>
          <w:bCs/>
        </w:rPr>
        <w:t xml:space="preserve">1.0%, 1.5%, or 2.0%</w:t>
      </w:r>
      <w:r>
        <w:t xml:space="preserve"> from entry (per Section 8).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</w:rPr>
        <w:t xml:space="preserve">Stop-loss</w:t>
      </w:r>
      <w:r>
        <w:t xml:space="preserve">: exit at the stock's stop — </w:t>
      </w:r>
      <w:r>
        <w:rPr>
          <w:b/>
          <w:bCs/>
        </w:rPr>
        <w:t xml:space="preserve">1.0%</w:t>
      </w:r>
      <w:r>
        <w:t xml:space="preserve"> from entry, or </w:t>
      </w:r>
      <w:r>
        <w:rPr>
          <w:b/>
          <w:bCs/>
        </w:rPr>
        <w:t xml:space="preserve">none</w:t>
      </w:r>
      <w:r>
        <w:t xml:space="preserve"> for the few names tuned without one.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</w:rPr>
        <w:t xml:space="preserve">Time exit</w:t>
      </w:r>
      <w:r>
        <w:t xml:space="preserve">: if neither target nor stop is hit, </w:t>
      </w:r>
      <w:r>
        <w:rPr>
          <w:b/>
          <w:bCs/>
        </w:rPr>
        <w:t xml:space="preserve">square off at 15:29</w:t>
      </w:r>
      <w:r>
        <w:t xml:space="preserve"> — no overnight carry (MIS intraday).</w:t>
      </w:r>
    </w:p>
    <w:p>
      <w:pPr>
        <w:spacing w:after="120" w:line="276"/>
      </w:pPr>
      <w:r>
        <w:t xml:space="preserve">Note: at 5× leverage a 1.0% price stop ≈ a 5% loss on the margin deployed for that position — size accordingly.</w:t>
      </w:r>
    </w:p>
    <w:p>
      <w:pPr>
        <w:pStyle w:val="Heading1"/>
        <w:spacing w:after="120" w:before="260"/>
      </w:pPr>
      <w:r>
        <w:rPr>
          <w:b/>
          <w:bCs/>
          <w:color w:val="1F3864"/>
        </w:rPr>
        <w:t xml:space="preserve">8. The stock universe (representative 26 of 56)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640"/>
        <w:gridCol w:w="2200"/>
        <w:gridCol w:w="2280"/>
        <w:gridCol w:w="1200"/>
        <w:gridCol w:w="1120"/>
        <w:gridCol w:w="1920"/>
      </w:tblGrid>
      <w:tr>
        <w:trPr>
          <w:tblHeader/>
        </w:trPr>
        <w:tc>
          <w:tcPr>
            <w:tcW w:type="dxa" w:w="640"/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Stock</w:t>
            </w:r>
          </w:p>
        </w:tc>
        <w:tc>
          <w:tcPr>
            <w:tcW w:type="dxa" w:w="2280"/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Filter</w:t>
            </w:r>
          </w:p>
        </w:tc>
        <w:tc>
          <w:tcPr>
            <w:tcW w:type="dxa" w:w="1200"/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1120"/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Stop</w:t>
            </w:r>
          </w:p>
        </w:tc>
        <w:tc>
          <w:tcPr>
            <w:tcW w:type="dxa" w:w="1920"/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Vault win%</w:t>
            </w:r>
          </w:p>
        </w:tc>
      </w:tr>
      <w:tr>
        <w:tc>
          <w:tcPr>
            <w:tcW w:type="dxa" w:w="6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FORCEMOT</w:t>
            </w:r>
          </w:p>
        </w:tc>
        <w:tc>
          <w:tcPr>
            <w:tcW w:type="dxa" w:w="22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none</w:t>
            </w:r>
          </w:p>
        </w:tc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2.0%</w:t>
            </w:r>
          </w:p>
        </w:tc>
        <w:tc>
          <w:tcPr>
            <w:tcW w:type="dxa" w:w="11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1.0%</w:t>
            </w:r>
          </w:p>
        </w:tc>
        <w:tc>
          <w:tcPr>
            <w:tcW w:type="dxa" w:w="19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61%</w:t>
            </w:r>
          </w:p>
        </w:tc>
      </w:tr>
      <w:tr>
        <w:tc>
          <w:tcPr>
            <w:tcW w:type="dxa" w:w="640"/>
            <w:shd w:fill="EAF1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shd w:fill="EAF1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TEJASNET</w:t>
            </w:r>
          </w:p>
        </w:tc>
        <w:tc>
          <w:tcPr>
            <w:tcW w:type="dxa" w:w="2280"/>
            <w:shd w:fill="EAF1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AM</w:t>
            </w:r>
          </w:p>
        </w:tc>
        <w:tc>
          <w:tcPr>
            <w:tcW w:type="dxa" w:w="1200"/>
            <w:shd w:fill="EAF1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1.5%</w:t>
            </w:r>
          </w:p>
        </w:tc>
        <w:tc>
          <w:tcPr>
            <w:tcW w:type="dxa" w:w="1120"/>
            <w:shd w:fill="EAF1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1.0%</w:t>
            </w:r>
          </w:p>
        </w:tc>
        <w:tc>
          <w:tcPr>
            <w:tcW w:type="dxa" w:w="1920"/>
            <w:shd w:fill="EAF1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59%</w:t>
            </w:r>
          </w:p>
        </w:tc>
      </w:tr>
      <w:tr>
        <w:tc>
          <w:tcPr>
            <w:tcW w:type="dxa" w:w="6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CARTRADE</w:t>
            </w:r>
          </w:p>
        </w:tc>
        <w:tc>
          <w:tcPr>
            <w:tcW w:type="dxa" w:w="22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with-VWAP</w:t>
            </w:r>
          </w:p>
        </w:tc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1.5%</w:t>
            </w:r>
          </w:p>
        </w:tc>
        <w:tc>
          <w:tcPr>
            <w:tcW w:type="dxa" w:w="11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none</w:t>
            </w:r>
          </w:p>
        </w:tc>
        <w:tc>
          <w:tcPr>
            <w:tcW w:type="dxa" w:w="19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68%</w:t>
            </w:r>
          </w:p>
        </w:tc>
      </w:tr>
      <w:tr>
        <w:tc>
          <w:tcPr>
            <w:tcW w:type="dxa" w:w="640"/>
            <w:shd w:fill="EAF1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shd w:fill="EAF1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OLECTRA</w:t>
            </w:r>
          </w:p>
        </w:tc>
        <w:tc>
          <w:tcPr>
            <w:tcW w:type="dxa" w:w="2280"/>
            <w:shd w:fill="EAF1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none</w:t>
            </w:r>
          </w:p>
        </w:tc>
        <w:tc>
          <w:tcPr>
            <w:tcW w:type="dxa" w:w="1200"/>
            <w:shd w:fill="EAF1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1.5%</w:t>
            </w:r>
          </w:p>
        </w:tc>
        <w:tc>
          <w:tcPr>
            <w:tcW w:type="dxa" w:w="1120"/>
            <w:shd w:fill="EAF1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1.0%</w:t>
            </w:r>
          </w:p>
        </w:tc>
        <w:tc>
          <w:tcPr>
            <w:tcW w:type="dxa" w:w="1920"/>
            <w:shd w:fill="EAF1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61%</w:t>
            </w:r>
          </w:p>
        </w:tc>
      </w:tr>
      <w:tr>
        <w:tc>
          <w:tcPr>
            <w:tcW w:type="dxa" w:w="6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DATAPATTNS</w:t>
            </w:r>
          </w:p>
        </w:tc>
        <w:tc>
          <w:tcPr>
            <w:tcW w:type="dxa" w:w="22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none</w:t>
            </w:r>
          </w:p>
        </w:tc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1.5%</w:t>
            </w:r>
          </w:p>
        </w:tc>
        <w:tc>
          <w:tcPr>
            <w:tcW w:type="dxa" w:w="11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1.0%</w:t>
            </w:r>
          </w:p>
        </w:tc>
        <w:tc>
          <w:tcPr>
            <w:tcW w:type="dxa" w:w="19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59%</w:t>
            </w:r>
          </w:p>
        </w:tc>
      </w:tr>
      <w:tr>
        <w:tc>
          <w:tcPr>
            <w:tcW w:type="dxa" w:w="640"/>
            <w:shd w:fill="EAF1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shd w:fill="EAF1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MRPL</w:t>
            </w:r>
          </w:p>
        </w:tc>
        <w:tc>
          <w:tcPr>
            <w:tcW w:type="dxa" w:w="2280"/>
            <w:shd w:fill="EAF1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with-VWAP</w:t>
            </w:r>
          </w:p>
        </w:tc>
        <w:tc>
          <w:tcPr>
            <w:tcW w:type="dxa" w:w="1200"/>
            <w:shd w:fill="EAF1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1.5%</w:t>
            </w:r>
          </w:p>
        </w:tc>
        <w:tc>
          <w:tcPr>
            <w:tcW w:type="dxa" w:w="1120"/>
            <w:shd w:fill="EAF1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1.0%</w:t>
            </w:r>
          </w:p>
        </w:tc>
        <w:tc>
          <w:tcPr>
            <w:tcW w:type="dxa" w:w="1920"/>
            <w:shd w:fill="EAF1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60%</w:t>
            </w:r>
          </w:p>
        </w:tc>
      </w:tr>
      <w:tr>
        <w:tc>
          <w:tcPr>
            <w:tcW w:type="dxa" w:w="6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ZEEL</w:t>
            </w:r>
          </w:p>
        </w:tc>
        <w:tc>
          <w:tcPr>
            <w:tcW w:type="dxa" w:w="22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with-VWAP</w:t>
            </w:r>
          </w:p>
        </w:tc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2.0%</w:t>
            </w:r>
          </w:p>
        </w:tc>
        <w:tc>
          <w:tcPr>
            <w:tcW w:type="dxa" w:w="11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1.0%</w:t>
            </w:r>
          </w:p>
        </w:tc>
        <w:tc>
          <w:tcPr>
            <w:tcW w:type="dxa" w:w="19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49%</w:t>
            </w:r>
          </w:p>
        </w:tc>
      </w:tr>
      <w:tr>
        <w:tc>
          <w:tcPr>
            <w:tcW w:type="dxa" w:w="640"/>
            <w:shd w:fill="EAF1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shd w:fill="EAF1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APARINDS</w:t>
            </w:r>
          </w:p>
        </w:tc>
        <w:tc>
          <w:tcPr>
            <w:tcW w:type="dxa" w:w="2280"/>
            <w:shd w:fill="EAF1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AM</w:t>
            </w:r>
          </w:p>
        </w:tc>
        <w:tc>
          <w:tcPr>
            <w:tcW w:type="dxa" w:w="1200"/>
            <w:shd w:fill="EAF1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1.0%</w:t>
            </w:r>
          </w:p>
        </w:tc>
        <w:tc>
          <w:tcPr>
            <w:tcW w:type="dxa" w:w="1120"/>
            <w:shd w:fill="EAF1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1.0%</w:t>
            </w:r>
          </w:p>
        </w:tc>
        <w:tc>
          <w:tcPr>
            <w:tcW w:type="dxa" w:w="1920"/>
            <w:shd w:fill="EAF1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67%</w:t>
            </w:r>
          </w:p>
        </w:tc>
      </w:tr>
      <w:tr>
        <w:tc>
          <w:tcPr>
            <w:tcW w:type="dxa" w:w="6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CHENNPETRO</w:t>
            </w:r>
          </w:p>
        </w:tc>
        <w:tc>
          <w:tcPr>
            <w:tcW w:type="dxa" w:w="22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AM</w:t>
            </w:r>
          </w:p>
        </w:tc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2.0%</w:t>
            </w:r>
          </w:p>
        </w:tc>
        <w:tc>
          <w:tcPr>
            <w:tcW w:type="dxa" w:w="11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1.0%</w:t>
            </w:r>
          </w:p>
        </w:tc>
        <w:tc>
          <w:tcPr>
            <w:tcW w:type="dxa" w:w="19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53%</w:t>
            </w:r>
          </w:p>
        </w:tc>
      </w:tr>
      <w:tr>
        <w:tc>
          <w:tcPr>
            <w:tcW w:type="dxa" w:w="640"/>
            <w:shd w:fill="EAF1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2200"/>
            <w:shd w:fill="EAF1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KAYNES</w:t>
            </w:r>
          </w:p>
        </w:tc>
        <w:tc>
          <w:tcPr>
            <w:tcW w:type="dxa" w:w="2280"/>
            <w:shd w:fill="EAF1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none</w:t>
            </w:r>
          </w:p>
        </w:tc>
        <w:tc>
          <w:tcPr>
            <w:tcW w:type="dxa" w:w="1200"/>
            <w:shd w:fill="EAF1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1.5%</w:t>
            </w:r>
          </w:p>
        </w:tc>
        <w:tc>
          <w:tcPr>
            <w:tcW w:type="dxa" w:w="1120"/>
            <w:shd w:fill="EAF1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1.0%</w:t>
            </w:r>
          </w:p>
        </w:tc>
        <w:tc>
          <w:tcPr>
            <w:tcW w:type="dxa" w:w="1920"/>
            <w:shd w:fill="EAF1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55%</w:t>
            </w:r>
          </w:p>
        </w:tc>
      </w:tr>
      <w:tr>
        <w:tc>
          <w:tcPr>
            <w:tcW w:type="dxa" w:w="6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ELECON</w:t>
            </w:r>
          </w:p>
        </w:tc>
        <w:tc>
          <w:tcPr>
            <w:tcW w:type="dxa" w:w="22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AM</w:t>
            </w:r>
          </w:p>
        </w:tc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2.0%</w:t>
            </w:r>
          </w:p>
        </w:tc>
        <w:tc>
          <w:tcPr>
            <w:tcW w:type="dxa" w:w="11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1.0%</w:t>
            </w:r>
          </w:p>
        </w:tc>
        <w:tc>
          <w:tcPr>
            <w:tcW w:type="dxa" w:w="19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51%</w:t>
            </w:r>
          </w:p>
        </w:tc>
      </w:tr>
      <w:tr>
        <w:tc>
          <w:tcPr>
            <w:tcW w:type="dxa" w:w="640"/>
            <w:shd w:fill="EAF1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2200"/>
            <w:shd w:fill="EAF1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MMTC</w:t>
            </w:r>
          </w:p>
        </w:tc>
        <w:tc>
          <w:tcPr>
            <w:tcW w:type="dxa" w:w="2280"/>
            <w:shd w:fill="EAF1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none</w:t>
            </w:r>
          </w:p>
        </w:tc>
        <w:tc>
          <w:tcPr>
            <w:tcW w:type="dxa" w:w="1200"/>
            <w:shd w:fill="EAF1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1.0%</w:t>
            </w:r>
          </w:p>
        </w:tc>
        <w:tc>
          <w:tcPr>
            <w:tcW w:type="dxa" w:w="1120"/>
            <w:shd w:fill="EAF1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none</w:t>
            </w:r>
          </w:p>
        </w:tc>
        <w:tc>
          <w:tcPr>
            <w:tcW w:type="dxa" w:w="1920"/>
            <w:shd w:fill="EAF1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69%</w:t>
            </w:r>
          </w:p>
        </w:tc>
      </w:tr>
      <w:tr>
        <w:tc>
          <w:tcPr>
            <w:tcW w:type="dxa" w:w="6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LEMONTREE</w:t>
            </w:r>
          </w:p>
        </w:tc>
        <w:tc>
          <w:tcPr>
            <w:tcW w:type="dxa" w:w="22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AM</w:t>
            </w:r>
          </w:p>
        </w:tc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1.5%</w:t>
            </w:r>
          </w:p>
        </w:tc>
        <w:tc>
          <w:tcPr>
            <w:tcW w:type="dxa" w:w="11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1.0%</w:t>
            </w:r>
          </w:p>
        </w:tc>
        <w:tc>
          <w:tcPr>
            <w:tcW w:type="dxa" w:w="19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55%</w:t>
            </w:r>
          </w:p>
        </w:tc>
      </w:tr>
      <w:tr>
        <w:tc>
          <w:tcPr>
            <w:tcW w:type="dxa" w:w="640"/>
            <w:shd w:fill="EAF1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2200"/>
            <w:shd w:fill="EAF1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AEGISLOG</w:t>
            </w:r>
          </w:p>
        </w:tc>
        <w:tc>
          <w:tcPr>
            <w:tcW w:type="dxa" w:w="2280"/>
            <w:shd w:fill="EAF1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with-VWAP</w:t>
            </w:r>
          </w:p>
        </w:tc>
        <w:tc>
          <w:tcPr>
            <w:tcW w:type="dxa" w:w="1200"/>
            <w:shd w:fill="EAF1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1.5%</w:t>
            </w:r>
          </w:p>
        </w:tc>
        <w:tc>
          <w:tcPr>
            <w:tcW w:type="dxa" w:w="1120"/>
            <w:shd w:fill="EAF1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1.0%</w:t>
            </w:r>
          </w:p>
        </w:tc>
        <w:tc>
          <w:tcPr>
            <w:tcW w:type="dxa" w:w="1920"/>
            <w:shd w:fill="EAF1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54%</w:t>
            </w:r>
          </w:p>
        </w:tc>
      </w:tr>
      <w:tr>
        <w:tc>
          <w:tcPr>
            <w:tcW w:type="dxa" w:w="6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AFFLE</w:t>
            </w:r>
          </w:p>
        </w:tc>
        <w:tc>
          <w:tcPr>
            <w:tcW w:type="dxa" w:w="22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AM</w:t>
            </w:r>
          </w:p>
        </w:tc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2.0%</w:t>
            </w:r>
          </w:p>
        </w:tc>
        <w:tc>
          <w:tcPr>
            <w:tcW w:type="dxa" w:w="11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1.0%</w:t>
            </w:r>
          </w:p>
        </w:tc>
        <w:tc>
          <w:tcPr>
            <w:tcW w:type="dxa" w:w="19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52%</w:t>
            </w:r>
          </w:p>
        </w:tc>
      </w:tr>
      <w:tr>
        <w:tc>
          <w:tcPr>
            <w:tcW w:type="dxa" w:w="640"/>
            <w:shd w:fill="EAF1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2200"/>
            <w:shd w:fill="EAF1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BSE</w:t>
            </w:r>
          </w:p>
        </w:tc>
        <w:tc>
          <w:tcPr>
            <w:tcW w:type="dxa" w:w="2280"/>
            <w:shd w:fill="EAF1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none</w:t>
            </w:r>
          </w:p>
        </w:tc>
        <w:tc>
          <w:tcPr>
            <w:tcW w:type="dxa" w:w="1200"/>
            <w:shd w:fill="EAF1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2.0%</w:t>
            </w:r>
          </w:p>
        </w:tc>
        <w:tc>
          <w:tcPr>
            <w:tcW w:type="dxa" w:w="1120"/>
            <w:shd w:fill="EAF1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1.0%</w:t>
            </w:r>
          </w:p>
        </w:tc>
        <w:tc>
          <w:tcPr>
            <w:tcW w:type="dxa" w:w="1920"/>
            <w:shd w:fill="EAF1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53%</w:t>
            </w:r>
          </w:p>
        </w:tc>
      </w:tr>
      <w:tr>
        <w:tc>
          <w:tcPr>
            <w:tcW w:type="dxa" w:w="6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IDBI</w:t>
            </w:r>
          </w:p>
        </w:tc>
        <w:tc>
          <w:tcPr>
            <w:tcW w:type="dxa" w:w="22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none</w:t>
            </w:r>
          </w:p>
        </w:tc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2.0%</w:t>
            </w:r>
          </w:p>
        </w:tc>
        <w:tc>
          <w:tcPr>
            <w:tcW w:type="dxa" w:w="11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1.0%</w:t>
            </w:r>
          </w:p>
        </w:tc>
        <w:tc>
          <w:tcPr>
            <w:tcW w:type="dxa" w:w="19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53%</w:t>
            </w:r>
          </w:p>
        </w:tc>
      </w:tr>
      <w:tr>
        <w:tc>
          <w:tcPr>
            <w:tcW w:type="dxa" w:w="640"/>
            <w:shd w:fill="EAF1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dxa" w:w="2200"/>
            <w:shd w:fill="EAF1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HFCL</w:t>
            </w:r>
          </w:p>
        </w:tc>
        <w:tc>
          <w:tcPr>
            <w:tcW w:type="dxa" w:w="2280"/>
            <w:shd w:fill="EAF1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none</w:t>
            </w:r>
          </w:p>
        </w:tc>
        <w:tc>
          <w:tcPr>
            <w:tcW w:type="dxa" w:w="1200"/>
            <w:shd w:fill="EAF1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1.5%</w:t>
            </w:r>
          </w:p>
        </w:tc>
        <w:tc>
          <w:tcPr>
            <w:tcW w:type="dxa" w:w="1120"/>
            <w:shd w:fill="EAF1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1.0%</w:t>
            </w:r>
          </w:p>
        </w:tc>
        <w:tc>
          <w:tcPr>
            <w:tcW w:type="dxa" w:w="1920"/>
            <w:shd w:fill="EAF1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51%</w:t>
            </w:r>
          </w:p>
        </w:tc>
      </w:tr>
      <w:tr>
        <w:tc>
          <w:tcPr>
            <w:tcW w:type="dxa" w:w="6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</w:t>
            </w:r>
          </w:p>
        </w:tc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WOCKPHARMA</w:t>
            </w:r>
          </w:p>
        </w:tc>
        <w:tc>
          <w:tcPr>
            <w:tcW w:type="dxa" w:w="22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AM</w:t>
            </w:r>
          </w:p>
        </w:tc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1.5%</w:t>
            </w:r>
          </w:p>
        </w:tc>
        <w:tc>
          <w:tcPr>
            <w:tcW w:type="dxa" w:w="11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1.0%</w:t>
            </w:r>
          </w:p>
        </w:tc>
        <w:tc>
          <w:tcPr>
            <w:tcW w:type="dxa" w:w="19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52%</w:t>
            </w:r>
          </w:p>
        </w:tc>
      </w:tr>
      <w:tr>
        <w:tc>
          <w:tcPr>
            <w:tcW w:type="dxa" w:w="640"/>
            <w:shd w:fill="EAF1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2200"/>
            <w:shd w:fill="EAF1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SOLARINDS</w:t>
            </w:r>
          </w:p>
        </w:tc>
        <w:tc>
          <w:tcPr>
            <w:tcW w:type="dxa" w:w="2280"/>
            <w:shd w:fill="EAF1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with-VWAP</w:t>
            </w:r>
          </w:p>
        </w:tc>
        <w:tc>
          <w:tcPr>
            <w:tcW w:type="dxa" w:w="1200"/>
            <w:shd w:fill="EAF1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2.0%</w:t>
            </w:r>
          </w:p>
        </w:tc>
        <w:tc>
          <w:tcPr>
            <w:tcW w:type="dxa" w:w="1120"/>
            <w:shd w:fill="EAF1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1.0%</w:t>
            </w:r>
          </w:p>
        </w:tc>
        <w:tc>
          <w:tcPr>
            <w:tcW w:type="dxa" w:w="1920"/>
            <w:shd w:fill="EAF1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53%</w:t>
            </w:r>
          </w:p>
        </w:tc>
      </w:tr>
      <w:tr>
        <w:tc>
          <w:tcPr>
            <w:tcW w:type="dxa" w:w="6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</w:t>
            </w:r>
          </w:p>
        </w:tc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GPIL</w:t>
            </w:r>
          </w:p>
        </w:tc>
        <w:tc>
          <w:tcPr>
            <w:tcW w:type="dxa" w:w="22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AM</w:t>
            </w:r>
          </w:p>
        </w:tc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1.5%</w:t>
            </w:r>
          </w:p>
        </w:tc>
        <w:tc>
          <w:tcPr>
            <w:tcW w:type="dxa" w:w="11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1.0%</w:t>
            </w:r>
          </w:p>
        </w:tc>
        <w:tc>
          <w:tcPr>
            <w:tcW w:type="dxa" w:w="19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54%</w:t>
            </w:r>
          </w:p>
        </w:tc>
      </w:tr>
      <w:tr>
        <w:tc>
          <w:tcPr>
            <w:tcW w:type="dxa" w:w="640"/>
            <w:shd w:fill="EAF1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</w:t>
            </w:r>
          </w:p>
        </w:tc>
        <w:tc>
          <w:tcPr>
            <w:tcW w:type="dxa" w:w="2200"/>
            <w:shd w:fill="EAF1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SUNDARMFIN</w:t>
            </w:r>
          </w:p>
        </w:tc>
        <w:tc>
          <w:tcPr>
            <w:tcW w:type="dxa" w:w="2280"/>
            <w:shd w:fill="EAF1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ATR-hi+VWAP</w:t>
            </w:r>
          </w:p>
        </w:tc>
        <w:tc>
          <w:tcPr>
            <w:tcW w:type="dxa" w:w="1200"/>
            <w:shd w:fill="EAF1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1.0%</w:t>
            </w:r>
          </w:p>
        </w:tc>
        <w:tc>
          <w:tcPr>
            <w:tcW w:type="dxa" w:w="1120"/>
            <w:shd w:fill="EAF1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1.0%</w:t>
            </w:r>
          </w:p>
        </w:tc>
        <w:tc>
          <w:tcPr>
            <w:tcW w:type="dxa" w:w="1920"/>
            <w:shd w:fill="EAF1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65%</w:t>
            </w:r>
          </w:p>
        </w:tc>
      </w:tr>
      <w:tr>
        <w:tc>
          <w:tcPr>
            <w:tcW w:type="dxa" w:w="6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23</w:t>
            </w:r>
          </w:p>
        </w:tc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HSCL</w:t>
            </w:r>
          </w:p>
        </w:tc>
        <w:tc>
          <w:tcPr>
            <w:tcW w:type="dxa" w:w="22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ATR-hi</w:t>
            </w:r>
          </w:p>
        </w:tc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1.5%</w:t>
            </w:r>
          </w:p>
        </w:tc>
        <w:tc>
          <w:tcPr>
            <w:tcW w:type="dxa" w:w="11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none</w:t>
            </w:r>
          </w:p>
        </w:tc>
        <w:tc>
          <w:tcPr>
            <w:tcW w:type="dxa" w:w="19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63%</w:t>
            </w:r>
          </w:p>
        </w:tc>
      </w:tr>
      <w:tr>
        <w:tc>
          <w:tcPr>
            <w:tcW w:type="dxa" w:w="640"/>
            <w:shd w:fill="EAF1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24</w:t>
            </w:r>
          </w:p>
        </w:tc>
        <w:tc>
          <w:tcPr>
            <w:tcW w:type="dxa" w:w="2200"/>
            <w:shd w:fill="EAF1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GMDCLTD</w:t>
            </w:r>
          </w:p>
        </w:tc>
        <w:tc>
          <w:tcPr>
            <w:tcW w:type="dxa" w:w="2280"/>
            <w:shd w:fill="EAF1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none</w:t>
            </w:r>
          </w:p>
        </w:tc>
        <w:tc>
          <w:tcPr>
            <w:tcW w:type="dxa" w:w="1200"/>
            <w:shd w:fill="EAF1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1.5%</w:t>
            </w:r>
          </w:p>
        </w:tc>
        <w:tc>
          <w:tcPr>
            <w:tcW w:type="dxa" w:w="1120"/>
            <w:shd w:fill="EAF1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1.0%</w:t>
            </w:r>
          </w:p>
        </w:tc>
        <w:tc>
          <w:tcPr>
            <w:tcW w:type="dxa" w:w="1920"/>
            <w:shd w:fill="EAF1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54%</w:t>
            </w:r>
          </w:p>
        </w:tc>
      </w:tr>
      <w:tr>
        <w:tc>
          <w:tcPr>
            <w:tcW w:type="dxa" w:w="64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25</w:t>
            </w:r>
          </w:p>
        </w:tc>
        <w:tc>
          <w:tcPr>
            <w:tcW w:type="dxa" w:w="2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DEEPAKFERT</w:t>
            </w:r>
          </w:p>
        </w:tc>
        <w:tc>
          <w:tcPr>
            <w:tcW w:type="dxa" w:w="228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ATR-hi+VWAP</w:t>
            </w:r>
          </w:p>
        </w:tc>
        <w:tc>
          <w:tcPr>
            <w:tcW w:type="dxa" w:w="12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1.0%</w:t>
            </w:r>
          </w:p>
        </w:tc>
        <w:tc>
          <w:tcPr>
            <w:tcW w:type="dxa" w:w="11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1.0%</w:t>
            </w:r>
          </w:p>
        </w:tc>
        <w:tc>
          <w:tcPr>
            <w:tcW w:type="dxa" w:w="19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61%</w:t>
            </w:r>
          </w:p>
        </w:tc>
      </w:tr>
      <w:tr>
        <w:tc>
          <w:tcPr>
            <w:tcW w:type="dxa" w:w="640"/>
            <w:shd w:fill="EAF1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26</w:t>
            </w:r>
          </w:p>
        </w:tc>
        <w:tc>
          <w:tcPr>
            <w:tcW w:type="dxa" w:w="2200"/>
            <w:shd w:fill="EAF1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ECLERX</w:t>
            </w:r>
          </w:p>
        </w:tc>
        <w:tc>
          <w:tcPr>
            <w:tcW w:type="dxa" w:w="2280"/>
            <w:shd w:fill="EAF1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with-VWAP</w:t>
            </w:r>
          </w:p>
        </w:tc>
        <w:tc>
          <w:tcPr>
            <w:tcW w:type="dxa" w:w="1200"/>
            <w:shd w:fill="EAF1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1.0%</w:t>
            </w:r>
          </w:p>
        </w:tc>
        <w:tc>
          <w:tcPr>
            <w:tcW w:type="dxa" w:w="1120"/>
            <w:shd w:fill="EAF1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1.0%</w:t>
            </w:r>
          </w:p>
        </w:tc>
        <w:tc>
          <w:tcPr>
            <w:tcW w:type="dxa" w:w="1920"/>
            <w:shd w:fill="EAF1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61%</w:t>
            </w:r>
          </w:p>
        </w:tc>
      </w:tr>
    </w:tbl>
    <w:p>
      <w:pPr>
        <w:spacing w:after="120" w:line="276"/>
      </w:pPr>
      <w:r>
        <w:rPr>
          <w:sz w:val="19"/>
          <w:szCs w:val="19"/>
        </w:rPr>
        <w:t xml:space="preserve">Full 56-name basket with all parameters: </w:t>
      </w:r>
      <w:r>
        <w:rPr>
          <w:rFonts w:ascii="Consolas" w:cs="Consolas" w:eastAsia="Consolas" w:hAnsi="Consolas"/>
          <w:sz w:val="18"/>
          <w:szCs w:val="18"/>
        </w:rPr>
        <w:t xml:space="preserve">SELVI/SPS_V3/tradeable_list.md</w:t>
      </w:r>
      <w:r>
        <w:rPr>
          <w:sz w:val="19"/>
          <w:szCs w:val="19"/>
        </w:rPr>
        <w:t xml:space="preserve">.</w:t>
      </w:r>
    </w:p>
    <w:p>
      <w:r>
        <w:br w:type="page"/>
      </w:r>
    </w:p>
    <w:p>
      <w:pPr>
        <w:pStyle w:val="Heading1"/>
        <w:spacing w:after="120" w:before="260"/>
      </w:pPr>
      <w:r>
        <w:rPr>
          <w:b/>
          <w:bCs/>
          <w:color w:val="1F3864"/>
        </w:rPr>
        <w:t xml:space="preserve">9. Position sizing &amp; leverage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</w:rPr>
        <w:t xml:space="preserve">Equal-weight sleeves</w:t>
      </w:r>
      <w:r>
        <w:t xml:space="preserve">: allocate the same capital (the research used ₹30,000) to each stock's trade.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</w:rPr>
        <w:t xml:space="preserve">Product</w:t>
      </w:r>
      <w:r>
        <w:t xml:space="preserve">: MIS intraday, squared off same day. Runs at 1× (unlevered) or up to 5× (MIS margin).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t xml:space="preserve">Only a subset of the basket signals on any given day, so capital-at-work is a fraction of the full allocation; idle sleeves stay in cash.</w:t>
      </w:r>
    </w:p>
    <w:p>
      <w:pPr>
        <w:pStyle w:val="Heading1"/>
        <w:spacing w:after="120" w:before="260"/>
      </w:pPr>
      <w:r>
        <w:rPr>
          <w:b/>
          <w:bCs/>
          <w:color w:val="1F3864"/>
        </w:rPr>
        <w:t xml:space="preserve">10. Performance — sealed 2026 vault (out-of-sample)</w:t>
      </w:r>
    </w:p>
    <w:p>
      <w:pPr>
        <w:spacing w:after="120" w:line="276"/>
      </w:pPr>
      <w:r>
        <w:t xml:space="preserve">Equal-weight 56-stock basket, on the held-out 2026 year (141 trading days) the engine never trained on:</w:t>
      </w:r>
    </w:p>
    <w:tbl>
      <w:tblPr>
        <w:tblW w:type="dxa" w:w="936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4560"/>
        <w:gridCol w:w="2400"/>
        <w:gridCol w:w="2400"/>
      </w:tblGrid>
      <w:tr>
        <w:trPr>
          <w:tblHeader/>
        </w:trPr>
        <w:tc>
          <w:tcPr>
            <w:tcW w:type="dxa" w:w="4560"/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400"/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1× (unlevered)</w:t>
            </w:r>
          </w:p>
        </w:tc>
        <w:tc>
          <w:tcPr>
            <w:tcW w:type="dxa" w:w="2400"/>
            <w:shd w:fill="1F386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5× (MIS)</w:t>
            </w:r>
          </w:p>
        </w:tc>
      </w:tr>
      <w:tr>
        <w:tc>
          <w:tcPr>
            <w:tcW w:type="dxa" w:w="4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Average return / day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+0.155%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+0.777%</w:t>
            </w:r>
          </w:p>
        </w:tc>
      </w:tr>
      <w:tr>
        <w:tc>
          <w:tcPr>
            <w:tcW w:type="dxa" w:w="4560"/>
            <w:shd w:fill="EAF1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Positive-day rate</w:t>
            </w:r>
          </w:p>
        </w:tc>
        <w:tc>
          <w:tcPr>
            <w:tcW w:type="dxa" w:w="2400"/>
            <w:shd w:fill="EAF1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67.4%</w:t>
            </w:r>
          </w:p>
        </w:tc>
        <w:tc>
          <w:tcPr>
            <w:tcW w:type="dxa" w:w="2400"/>
            <w:shd w:fill="EAF1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67.4%</w:t>
            </w:r>
          </w:p>
        </w:tc>
      </w:tr>
      <w:tr>
        <w:tc>
          <w:tcPr>
            <w:tcW w:type="dxa" w:w="4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Sharpe / day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0.485</w:t>
            </w:r>
          </w:p>
        </w:tc>
        <w:tc>
          <w:tcPr>
            <w:tcW w:type="dxa" w:w="2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0.485</w:t>
            </w:r>
          </w:p>
        </w:tc>
      </w:tr>
      <w:tr>
        <w:tc>
          <w:tcPr>
            <w:tcW w:type="dxa" w:w="4560"/>
            <w:shd w:fill="EAF1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Max drawdown</w:t>
            </w:r>
          </w:p>
        </w:tc>
        <w:tc>
          <w:tcPr>
            <w:tcW w:type="dxa" w:w="2400"/>
            <w:shd w:fill="EAF1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-1.13%</w:t>
            </w:r>
          </w:p>
        </w:tc>
        <w:tc>
          <w:tcPr>
            <w:tcW w:type="dxa" w:w="2400"/>
            <w:shd w:fill="EAF1F0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4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-5.64%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 w:line="268"/>
      </w:pPr>
      <w:r>
        <w:t xml:space="preserve">Per-stock win rates ran ~47–69%; net per trade ~+0.07% to +0.45% (1×).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t xml:space="preserve">This is a </w:t>
      </w:r>
      <w:r>
        <w:rPr>
          <w:b/>
          <w:bCs/>
        </w:rPr>
        <w:t xml:space="preserve">real but modest</w:t>
      </w:r>
      <w:r>
        <w:t xml:space="preserve"> edge: ~+0.16%/day at 1× (≈ high-double-digit %/yr, un-compounded), reaching toward ~+0.78%/day at 5× — with proportionally larger drawdown.</w:t>
      </w:r>
    </w:p>
    <w:p>
      <w:pPr>
        <w:pStyle w:val="Heading1"/>
        <w:spacing w:after="120" w:before="260"/>
      </w:pPr>
      <w:r>
        <w:rPr>
          <w:b/>
          <w:bCs/>
          <w:color w:val="1F3864"/>
        </w:rPr>
        <w:t xml:space="preserve">11. Risk management &amp; honest caveats</w:t>
      </w:r>
    </w:p>
    <w:p>
      <w:pPr>
        <w:spacing w:after="120" w:line="276"/>
      </w:pPr>
      <w:r>
        <w:t xml:space="preserve">Read these before risking money — they decide whether the edge survives in reality: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b/>
          <w:bCs/>
        </w:rPr>
        <w:t xml:space="preserve">Slippage is the #1 risk.</w:t>
      </w:r>
      <w:r>
        <w:t xml:space="preserve"> The edge is thin relative to costs. A stress test showed it breaks even at ~+0.16% extra round-trip slippage, and roughly </w:t>
      </w:r>
      <w:r>
        <w:rPr>
          <w:b/>
          <w:bCs/>
        </w:rPr>
        <w:t xml:space="preserve">halves</w:t>
      </w:r>
      <w:r>
        <w:t xml:space="preserve"> under realistic breakout fills. Validate fills at your size before scaling, and prefer limit/pull-back entries.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b/>
          <w:bCs/>
        </w:rPr>
        <w:t xml:space="preserve">One vault year.</w:t>
      </w:r>
      <w:r>
        <w:t xml:space="preserve"> Confirmed on 2026 only (141 days). Forward paper-trade before going live.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b/>
          <w:bCs/>
        </w:rPr>
        <w:t xml:space="preserve">Single setup family.</w:t>
      </w:r>
      <w:r>
        <w:t xml:space="preserve"> All 56 names share the same ORBlate logic, so they can lose together on market-wide chop days. Use a daily loss limit / basket kill-switch.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b/>
          <w:bCs/>
        </w:rPr>
        <w:t xml:space="preserve">Leverage cuts both ways.</w:t>
      </w:r>
      <w:r>
        <w:t xml:space="preserve"> 5× is where the return approaches +0.78%/day, but a bad cluster of days is 5× as painful (max DD −5.6% on the vault, worse live).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b/>
          <w:bCs/>
        </w:rPr>
        <w:t xml:space="preserve">Liquidity.</w:t>
      </w:r>
      <w:r>
        <w:t xml:space="preserve"> Size within each name's turnover; the basket was screened for tradeability but confirm at your capital.</w:t>
      </w:r>
    </w:p>
    <w:p>
      <w:pPr>
        <w:pStyle w:val="Heading1"/>
        <w:spacing w:after="120" w:before="260"/>
      </w:pPr>
      <w:r>
        <w:rPr>
          <w:b/>
          <w:bCs/>
          <w:color w:val="1F3864"/>
        </w:rPr>
        <w:t xml:space="preserve">12. Daily workflow — quick checklist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t xml:space="preserve">09:45 — record each basket stock's 30-min opening-range high/low; mark VWAP and ATR-hi status.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t xml:space="preserve">10:00 — arm buy-stops at range highs, sell-stops at range lows (window: 10:15–12:45).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t xml:space="preserve">On a break — verify the stock's filter (VWAP side / AM / ATR-hi); if it passes, take the first break; cancel the other side.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t xml:space="preserve">In-trade — bracket the position with its fixed target and stop.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t xml:space="preserve">15:29 — square off anything still open. Log every fill (entry, exit, slippage) to track live-vs-backtest.</w:t>
      </w:r>
    </w:p>
    <w:p>
      <w:pPr>
        <w:pBdr>
          <w:bottom w:val="single" w:color="2E7D6F" w:sz="6"/>
        </w:pBdr>
        <w:spacing w:after="160"/>
      </w:pPr>
    </w:p>
    <w:p>
      <w:pPr>
        <w:spacing w:before="80"/>
      </w:pPr>
      <w:r>
        <w:rPr>
          <w:i/>
          <w:iCs/>
          <w:color w:val="595959"/>
          <w:sz w:val="19"/>
          <w:szCs w:val="19"/>
        </w:rPr>
        <w:t xml:space="preserve">Honest note: ORBlate is a genuine, out-of-sample-validated edge — modest, not a get-rich system. Its return depends on disciplined execution and on slippage being controlled. Paper-trade it, measure your real fills, and size for the drawdown before committing capital.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  <w:rPr>
        <w:color w:val="2E7D6F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2026-07-31T14:29:44.226Z</dcterms:created>
  <dcterms:modified xsi:type="dcterms:W3CDTF">2026-07-31T14:29:44.227Z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