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D1DB" w14:textId="77777777" w:rsidR="005F71FF" w:rsidRPr="005F71FF" w:rsidRDefault="005F71FF" w:rsidP="005F71FF">
      <w:pPr>
        <w:jc w:val="center"/>
        <w:rPr>
          <w:rFonts w:ascii="Times New Roman" w:hAnsi="Times New Roman" w:cs="Times New Roman"/>
          <w:b/>
          <w:bCs/>
          <w:sz w:val="24"/>
          <w:szCs w:val="24"/>
          <w:u w:val="single"/>
        </w:rPr>
      </w:pPr>
      <w:r w:rsidRPr="005F71FF">
        <w:rPr>
          <w:rFonts w:ascii="Times New Roman" w:hAnsi="Times New Roman" w:cs="Times New Roman"/>
          <w:b/>
          <w:bCs/>
          <w:sz w:val="24"/>
          <w:szCs w:val="24"/>
          <w:u w:val="single"/>
        </w:rPr>
        <w:t>MEMORANDUM OF UNDERSTANDING</w:t>
      </w:r>
    </w:p>
    <w:p w14:paraId="7DC5D85B" w14:textId="16E55BF3"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This Memorandum of Understanding (the “Agreement” or “MOU”) is entered into in the</w:t>
      </w:r>
      <w:r>
        <w:rPr>
          <w:rFonts w:ascii="Times New Roman" w:hAnsi="Times New Roman" w:cs="Times New Roman"/>
          <w:sz w:val="24"/>
          <w:szCs w:val="24"/>
        </w:rPr>
        <w:t xml:space="preserve"> </w:t>
      </w:r>
      <w:r w:rsidRPr="005F71FF">
        <w:rPr>
          <w:rFonts w:ascii="Times New Roman" w:hAnsi="Times New Roman" w:cs="Times New Roman"/>
          <w:sz w:val="24"/>
          <w:szCs w:val="24"/>
        </w:rPr>
        <w:t xml:space="preserve">City of Buenos Aires, Argentina, on March 10, 2026 (the “Effective Date”), by and between </w:t>
      </w:r>
      <w:r w:rsidRPr="005F71FF">
        <w:rPr>
          <w:rFonts w:ascii="Times New Roman" w:hAnsi="Times New Roman" w:cs="Times New Roman"/>
          <w:b/>
          <w:bCs/>
          <w:sz w:val="24"/>
          <w:szCs w:val="24"/>
        </w:rPr>
        <w:t>INTERMEPRO S.A.</w:t>
      </w:r>
      <w:r w:rsidRPr="005F71FF">
        <w:rPr>
          <w:rFonts w:ascii="Times New Roman" w:hAnsi="Times New Roman" w:cs="Times New Roman"/>
          <w:sz w:val="24"/>
          <w:szCs w:val="24"/>
        </w:rPr>
        <w:t>, a company duly incorporated under the laws of the Argentin</w:t>
      </w:r>
      <w:r>
        <w:rPr>
          <w:rFonts w:ascii="Times New Roman" w:hAnsi="Times New Roman" w:cs="Times New Roman"/>
          <w:sz w:val="24"/>
          <w:szCs w:val="24"/>
        </w:rPr>
        <w:t>a</w:t>
      </w:r>
      <w:r w:rsidRPr="005F71FF">
        <w:rPr>
          <w:rFonts w:ascii="Times New Roman" w:hAnsi="Times New Roman" w:cs="Times New Roman"/>
          <w:sz w:val="24"/>
          <w:szCs w:val="24"/>
        </w:rPr>
        <w:t xml:space="preserve">, with registered address at Báez 121, City of Buenos Aires, represented herein by Adrián Gustavo Kolonski, ID No. 14.866.962, in his capacity as President (hereinafter “INTERMEPRO”); and, on the other hand,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xml:space="preserve">, a company incorporated under the laws of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xml:space="preserve">, with registered address at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xml:space="preserve">, represented herein by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xml:space="preserve">, ID No.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xml:space="preserve">, in his/her capacity as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xml:space="preserve"> (hereinafter “</w:t>
      </w:r>
      <w:r w:rsidRPr="005F71FF">
        <w:rPr>
          <w:rFonts w:ascii="Times New Roman" w:hAnsi="Times New Roman" w:cs="Times New Roman"/>
          <w:sz w:val="24"/>
          <w:szCs w:val="24"/>
          <w:highlight w:val="yellow"/>
        </w:rPr>
        <w:t>KANIEL TORD</w:t>
      </w:r>
      <w:r w:rsidRPr="005F71FF">
        <w:rPr>
          <w:rFonts w:ascii="Times New Roman" w:hAnsi="Times New Roman" w:cs="Times New Roman"/>
          <w:sz w:val="24"/>
          <w:szCs w:val="24"/>
        </w:rPr>
        <w:t>”); both jointly referred to as the “Parties” and individually as a “Party”, as applicable.</w:t>
      </w:r>
    </w:p>
    <w:p w14:paraId="2A0A24DA"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WHEREAS</w:t>
      </w:r>
    </w:p>
    <w:p w14:paraId="62349A88" w14:textId="70406352" w:rsidR="005F71FF" w:rsidRPr="005F71FF" w:rsidRDefault="005F71FF" w:rsidP="005F71FF">
      <w:pPr>
        <w:pStyle w:val="Prrafodelista"/>
        <w:numPr>
          <w:ilvl w:val="0"/>
          <w:numId w:val="1"/>
        </w:numPr>
        <w:jc w:val="both"/>
        <w:rPr>
          <w:rFonts w:ascii="Times New Roman" w:hAnsi="Times New Roman" w:cs="Times New Roman"/>
          <w:sz w:val="24"/>
          <w:szCs w:val="24"/>
        </w:rPr>
      </w:pPr>
      <w:r w:rsidRPr="005F71FF">
        <w:rPr>
          <w:rFonts w:ascii="Times New Roman" w:hAnsi="Times New Roman" w:cs="Times New Roman"/>
          <w:sz w:val="24"/>
          <w:szCs w:val="24"/>
        </w:rPr>
        <w:t>The Parties are interested in establishing a collaboration to promote joint projects;</w:t>
      </w:r>
    </w:p>
    <w:p w14:paraId="17193D5C" w14:textId="03473BB1" w:rsidR="005F71FF" w:rsidRPr="005F71FF" w:rsidRDefault="005F71FF" w:rsidP="005F71FF">
      <w:pPr>
        <w:pStyle w:val="Prrafodelista"/>
        <w:numPr>
          <w:ilvl w:val="0"/>
          <w:numId w:val="1"/>
        </w:numPr>
        <w:jc w:val="both"/>
        <w:rPr>
          <w:rFonts w:ascii="Times New Roman" w:hAnsi="Times New Roman" w:cs="Times New Roman"/>
          <w:sz w:val="24"/>
          <w:szCs w:val="24"/>
        </w:rPr>
      </w:pPr>
      <w:r w:rsidRPr="005F71FF">
        <w:rPr>
          <w:rFonts w:ascii="Times New Roman" w:hAnsi="Times New Roman" w:cs="Times New Roman"/>
          <w:sz w:val="24"/>
          <w:szCs w:val="24"/>
        </w:rPr>
        <w:t>The Parties have previously entered into a Confidentiality Agreement for the exchange of information.</w:t>
      </w:r>
    </w:p>
    <w:p w14:paraId="292484D5" w14:textId="3067B6FA"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Therefore, the Parties agree to enter into this Agreement, which shall be governed by the following terms and conditions:</w:t>
      </w:r>
    </w:p>
    <w:p w14:paraId="7908B16C"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FIRST – PURPOSE</w:t>
      </w:r>
    </w:p>
    <w:p w14:paraId="5D8B7877"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 The purpose of this Agreement is to establish a general framework of cooperation between the Parties to evaluate, analyze and potentially develop business opportunities and joint projects related to the renewable energy sector, including the technical, commercial and operational analysis of such initiatives (the “Project”).</w:t>
      </w:r>
    </w:p>
    <w:p w14:paraId="7639C458" w14:textId="11941C2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1.2. The activities described above are merely illustrative and non-limiting, and the Parties may agree on any other actions they deem appropriate for the development of the Project.</w:t>
      </w:r>
    </w:p>
    <w:p w14:paraId="212E62D3"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SECOND – FRAMEWORK OF COLLABORATION</w:t>
      </w:r>
    </w:p>
    <w:p w14:paraId="0B920010"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2.1. The Parties agree to cooperate in good faith in the analysis and development of the Project, including but not limited to the following activities:</w:t>
      </w:r>
    </w:p>
    <w:p w14:paraId="7B191D4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a) exchange of relevant technical, commercial and operational information;</w:t>
      </w:r>
    </w:p>
    <w:p w14:paraId="0D8456B4"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b) evaluation of the technical and economic feasibility of the Project;</w:t>
      </w:r>
    </w:p>
    <w:p w14:paraId="28FEF64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c) identification of potential clients, suppliers or strategic partners;</w:t>
      </w:r>
    </w:p>
    <w:p w14:paraId="583A04A9"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d) analysis of possible commercial or contractual structures for the development of the Project.</w:t>
      </w:r>
    </w:p>
    <w:p w14:paraId="3CEEE0C2" w14:textId="3D68705F"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2.2. The Parties undertake to act in good faith in carrying out the activities contemplated under this MOU.</w:t>
      </w:r>
    </w:p>
    <w:p w14:paraId="33314007"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THIRD – INTELLECTUAL PROPERTY</w:t>
      </w:r>
    </w:p>
    <w:p w14:paraId="03722650"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3.1. All information, documentation, know-how, technology, materials or developments provided by each Party shall remain the exclusive property of such Party.</w:t>
      </w:r>
    </w:p>
    <w:p w14:paraId="6FA29FED" w14:textId="581C5C70"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lastRenderedPageBreak/>
        <w:t>3.2. This MOU does not imply any assignment, license or transfer of intellectual property rights between the Parties, unless expressly agreed in writing.</w:t>
      </w:r>
    </w:p>
    <w:p w14:paraId="4CDE3B50"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FOURTH – CONFIDENTIALITY AGREEMENT</w:t>
      </w:r>
    </w:p>
    <w:p w14:paraId="04963B6A" w14:textId="19B1CDD6"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4.1. The Parties expressly acknowledge that on March 10, 2026 they entered into a Confidentiality Agreement (“NDA”) governing the treatment of confidential information exchanged between them.</w:t>
      </w:r>
    </w:p>
    <w:p w14:paraId="3D44118D" w14:textId="20BEB913"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4.2. Any information exchanged within the framework of this MOU shall be subject to the terms and conditions established in such NDA, which shall be deemed fully applicable to this Agreement.</w:t>
      </w:r>
    </w:p>
    <w:p w14:paraId="776234B9"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FIFTH – DEVELOPMENT OF SPECIFIC AGREEMENTS</w:t>
      </w:r>
    </w:p>
    <w:p w14:paraId="0D8D89A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5.1. Should the Parties decide to proceed with the implementation of the Project or with any of the business opportunities identified, the specific terms and conditions shall be set forth in particular contracts or agreements to be negotiated and executed by the Parties.</w:t>
      </w:r>
    </w:p>
    <w:p w14:paraId="4CF8560D" w14:textId="4C27DD8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5.2. This MOU constitutes a general framework of cooperation, without prejudice to the subsequent execution of the specific agreements that may be necessary.</w:t>
      </w:r>
    </w:p>
    <w:p w14:paraId="6E0A0B02"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SIXTH – NON-CIRCUMVENTION AND NON-COMPETITION</w:t>
      </w:r>
    </w:p>
    <w:p w14:paraId="12554736"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6.1. The Parties agree that during the term of this MOU and for a period of two (2) years following its termination or expiration, neither Party shall circumvent, avoid, or attempt to circumvent the participation of the other Party in business opportunities, projects, clients, suppliers, investors or contacts that have been introduced or disclosed within the framework of this Agreement.</w:t>
      </w:r>
    </w:p>
    <w:p w14:paraId="6C99A347"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6.2. In particular, neither Party shall, directly or indirectly, negotiate, contract or conduct business with such Introduced end-clients without the participation or prior written consent of the Party that made the introduction.</w:t>
      </w:r>
    </w:p>
    <w:p w14:paraId="5D19D1A1"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6.3. Furthermore, the Parties undertake not to use confidential information, commercial contacts, business structures or strategic information obtained under this Agreement to compete or independently develop opportunities that were originated or presented by the other Party. For the avoidance of doubt, this clause does not restrict either Party from independently sourcing equipment, components, engineering services, electrical design, construction services, or any other goods and services from any supplier or service provider in Argentina or elsewhere.</w:t>
      </w:r>
    </w:p>
    <w:p w14:paraId="0CB4CD80" w14:textId="7C0DB3DB"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6.4. For the purposes of this Agreement, “Introduced Party” shall mean any individual or legal entity, client, supplier, investor, developer or organization whose identity and contact details were first disclosed by one Party to the other within the framework of this MOU, and who was not previously known to the Receiving Party. Equipment suppliers, manufacturers, distributors, engineering firms, electrical contractors, and service providers are expressly excluded from this definition.</w:t>
      </w:r>
    </w:p>
    <w:p w14:paraId="0F3C6505"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color w:val="FF0000"/>
          <w:sz w:val="24"/>
          <w:szCs w:val="24"/>
        </w:rPr>
        <w:t>[DELETED — SEVENTH – RIGHT OF FIRST NEGOTIATION]</w:t>
      </w:r>
    </w:p>
    <w:p w14:paraId="1AFC292A"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 7.1. If during the term of this Agreement either Party identifies, develops or participates in business opportunities, projects or transactions within the scope of this Agreement, such Party shall grant the other Party a preferential right of first negotiation and shall negotiate in good faith with the latter for a period of fifteen (15) business days regarding the terms of joint participation in such project or opportunity.]</w:t>
      </w:r>
    </w:p>
    <w:p w14:paraId="376E4DA8" w14:textId="583388CB"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 7.2. Only if the Parties fail to reach an agreement within such period, the Party that identified the opportunity may freely negotiate with third parties, provided that the confidentiality and non-circumvention obligations established in this Agreement are respected.]</w:t>
      </w:r>
    </w:p>
    <w:p w14:paraId="1DA5E63F"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color w:val="FF0000"/>
          <w:sz w:val="24"/>
          <w:szCs w:val="24"/>
        </w:rPr>
        <w:t>[DELETED — EIGHTH – COMMISSION ENTITLEMENT]</w:t>
      </w:r>
    </w:p>
    <w:p w14:paraId="007ECBEB"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 8.1. In the event that, as a result of the introduction of a business opportunity, project, client, supplier, investor or strategic partner made by INTERMEPRO under this MOU, a transaction, contract, investment or business operation related to such opportunity is subsequently executed, INTERMEPRO shall be entitled to receive a commission, the terms and conditions of which shall be agreed by the Parties in a specific agreement.]</w:t>
      </w:r>
    </w:p>
    <w:p w14:paraId="0B2B4D9D" w14:textId="2BD72F91"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color w:val="FF0000"/>
          <w:sz w:val="24"/>
          <w:szCs w:val="24"/>
        </w:rPr>
        <w:t>[DELETED — 8.2. The Parties expressly acknowledge that the introduction of business opportunities and commercial contacts constitutes a valuable contribution to the development of potential transactions arising from this MOU and agree to negotiate in good faith the applicable economic conditions in such cases.]</w:t>
      </w:r>
    </w:p>
    <w:p w14:paraId="174D4010"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NINTH – COSTS AND EXPENSES</w:t>
      </w:r>
    </w:p>
    <w:p w14:paraId="4548FE6A" w14:textId="73972164"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9.1. Unless otherwise expressly agreed in writing, each Party shall bear its own costs and expenses arising from the activities carried out within the framework of this MOU.</w:t>
      </w:r>
    </w:p>
    <w:p w14:paraId="1C550F20"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TENTH – NO PARTNERSHIP OR REPRESENTATION</w:t>
      </w:r>
    </w:p>
    <w:p w14:paraId="0631FBEC"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10.1. This MOU does not create or imply the formation of a partnership, joint venture, association, agency relationship or employment relationship between the Parties.</w:t>
      </w:r>
    </w:p>
    <w:p w14:paraId="469A302D"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10.2. Neither Party shall have the authority to bind or commit the other Party vis-à-vis third parties without the prior written authorization of the other Party.</w:t>
      </w:r>
    </w:p>
    <w:p w14:paraId="6DC650AB" w14:textId="0BBA5632"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10.3. Neither Party shall act as agent, representative or attorney-in-fact of the other Party unless expressly agreed in writing.</w:t>
      </w:r>
    </w:p>
    <w:p w14:paraId="6C11A143"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ELEVENTH – TERM</w:t>
      </w:r>
    </w:p>
    <w:p w14:paraId="7B646BF7"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11.1. This MOU shall remain in force for a period of twelve (12) months from the Effective Date and may be renewed by written agreement between the Parties.</w:t>
      </w:r>
    </w:p>
    <w:p w14:paraId="568EE0D5"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11.2. Either Party may terminate this MOU by providing written notice to the other Party at least thirty (30) days in advance.</w:t>
      </w:r>
    </w:p>
    <w:p w14:paraId="352F7876" w14:textId="63EB3CF6"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11.3. Notwithstanding the foregoing, the confidentiality obligations shall remain in force in accordance with the provisions set forth in the NDA.</w:t>
      </w:r>
    </w:p>
    <w:p w14:paraId="792D067A"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TWELFTH – GOOD FAITH NEGOTIATION</w:t>
      </w:r>
    </w:p>
    <w:p w14:paraId="772F1641" w14:textId="4226A496"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12.1. The Parties undertake to negotiate in good faith any specific agreement necessary for the implementation of the Project.</w:t>
      </w:r>
    </w:p>
    <w:p w14:paraId="6475A02A"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THIRTEENTH – FORCE MAJEURE</w:t>
      </w:r>
    </w:p>
    <w:p w14:paraId="64646F0E" w14:textId="0A55E518"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lastRenderedPageBreak/>
        <w:t>13.1. Neither Party shall be liable for failure to perform its obligations when such failure results from force majeure events, understood as unforeseeable or unavoidable events beyond the reasonable control of the Parties.</w:t>
      </w:r>
    </w:p>
    <w:p w14:paraId="7C0567A4"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FOURTEENTH – NOTICES</w:t>
      </w:r>
    </w:p>
    <w:p w14:paraId="7665EC92"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14.1. Any notice, request, communication or other message related to this Agreement shall be made in writing and shall be deemed validly given when sent by registered mail or by email to the addresses indicated below:</w:t>
      </w:r>
    </w:p>
    <w:p w14:paraId="3F318FC1" w14:textId="20B58415" w:rsidR="005F71FF" w:rsidRDefault="005F71FF" w:rsidP="005F71FF">
      <w:pPr>
        <w:ind w:firstLine="708"/>
        <w:jc w:val="both"/>
        <w:rPr>
          <w:rFonts w:ascii="Times New Roman" w:hAnsi="Times New Roman" w:cs="Times New Roman"/>
          <w:sz w:val="24"/>
          <w:szCs w:val="24"/>
        </w:rPr>
      </w:pPr>
      <w:r>
        <w:rPr>
          <w:rFonts w:ascii="Times New Roman" w:hAnsi="Times New Roman" w:cs="Times New Roman"/>
          <w:sz w:val="24"/>
          <w:szCs w:val="24"/>
        </w:rPr>
        <w:t>14.1.1.</w:t>
      </w:r>
      <w:r w:rsidRPr="005F71FF">
        <w:rPr>
          <w:rFonts w:ascii="Times New Roman" w:hAnsi="Times New Roman" w:cs="Times New Roman"/>
          <w:b/>
          <w:bCs/>
          <w:sz w:val="24"/>
          <w:szCs w:val="24"/>
        </w:rPr>
        <w:t xml:space="preserve"> INTERMEPRO S.A.</w:t>
      </w:r>
      <w:r>
        <w:rPr>
          <w:rFonts w:ascii="Times New Roman" w:hAnsi="Times New Roman" w:cs="Times New Roman"/>
          <w:sz w:val="24"/>
          <w:szCs w:val="24"/>
        </w:rPr>
        <w:t>:</w:t>
      </w:r>
    </w:p>
    <w:p w14:paraId="12B8C012" w14:textId="77777777" w:rsid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Registered address: Báez 121, Autonomous City of Buenos Aires</w:t>
      </w:r>
    </w:p>
    <w:p w14:paraId="6B64BC8C" w14:textId="54AD1D66" w:rsid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 xml:space="preserve">Email: </w:t>
      </w:r>
      <w:hyperlink r:id="rId5" w:history="1">
        <w:r w:rsidRPr="005F71FF">
          <w:rPr>
            <w:rFonts w:ascii="Times New Roman" w:hAnsi="Times New Roman" w:cs="Times New Roman"/>
            <w:sz w:val="24"/>
            <w:szCs w:val="24"/>
          </w:rPr>
          <w:t>info@intermepro.com</w:t>
        </w:r>
      </w:hyperlink>
    </w:p>
    <w:p w14:paraId="12A2341C" w14:textId="4DD425B4" w:rsidR="005F71FF" w:rsidRDefault="005F71FF" w:rsidP="005F71FF">
      <w:pPr>
        <w:ind w:firstLine="708"/>
        <w:jc w:val="both"/>
        <w:rPr>
          <w:rFonts w:ascii="Times New Roman" w:hAnsi="Times New Roman" w:cs="Times New Roman"/>
          <w:sz w:val="24"/>
          <w:szCs w:val="24"/>
        </w:rPr>
      </w:pPr>
      <w:r>
        <w:rPr>
          <w:rFonts w:ascii="Times New Roman" w:hAnsi="Times New Roman" w:cs="Times New Roman"/>
          <w:sz w:val="24"/>
          <w:szCs w:val="24"/>
        </w:rPr>
        <w:t xml:space="preserve">14.1.2. </w:t>
      </w:r>
      <w:r w:rsidRPr="005F71FF">
        <w:rPr>
          <w:rFonts w:ascii="Times New Roman" w:hAnsi="Times New Roman" w:cs="Times New Roman"/>
          <w:b/>
          <w:bCs/>
          <w:sz w:val="24"/>
          <w:szCs w:val="24"/>
          <w:highlight w:val="yellow"/>
        </w:rPr>
        <w:t>KANIEL TORDX</w:t>
      </w:r>
      <w:r>
        <w:rPr>
          <w:rFonts w:ascii="Times New Roman" w:hAnsi="Times New Roman" w:cs="Times New Roman"/>
          <w:sz w:val="24"/>
          <w:szCs w:val="24"/>
        </w:rPr>
        <w:t>:</w:t>
      </w:r>
    </w:p>
    <w:p w14:paraId="4560ACE0" w14:textId="77777777" w:rsid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 xml:space="preserve">Registered address: </w:t>
      </w:r>
      <w:r w:rsidRPr="005F71FF">
        <w:rPr>
          <w:rFonts w:ascii="Times New Roman" w:hAnsi="Times New Roman" w:cs="Times New Roman"/>
          <w:sz w:val="24"/>
          <w:szCs w:val="24"/>
          <w:highlight w:val="yellow"/>
        </w:rPr>
        <w:t>KANIEL TORDX</w:t>
      </w:r>
    </w:p>
    <w:p w14:paraId="73B5C35A" w14:textId="28D4D994" w:rsidR="005F71FF" w:rsidRPr="005F71FF" w:rsidRDefault="005F71FF" w:rsidP="005F71FF">
      <w:pPr>
        <w:ind w:firstLine="708"/>
        <w:jc w:val="both"/>
        <w:rPr>
          <w:rFonts w:ascii="Times New Roman" w:hAnsi="Times New Roman" w:cs="Times New Roman"/>
          <w:sz w:val="24"/>
          <w:szCs w:val="24"/>
        </w:rPr>
      </w:pPr>
      <w:r w:rsidRPr="005F71FF">
        <w:rPr>
          <w:rFonts w:ascii="Times New Roman" w:hAnsi="Times New Roman" w:cs="Times New Roman"/>
          <w:sz w:val="24"/>
          <w:szCs w:val="24"/>
        </w:rPr>
        <w:t xml:space="preserve">Email: </w:t>
      </w:r>
      <w:r w:rsidRPr="005F71FF">
        <w:rPr>
          <w:rFonts w:ascii="Times New Roman" w:hAnsi="Times New Roman" w:cs="Times New Roman"/>
          <w:sz w:val="24"/>
          <w:szCs w:val="24"/>
          <w:highlight w:val="yellow"/>
        </w:rPr>
        <w:t>KANIEL TORDX</w:t>
      </w:r>
    </w:p>
    <w:p w14:paraId="1F1441D8"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14.2. Communications sent by email shall be deemed validly delivered on the date of transmission, unless an error notice is received.</w:t>
      </w:r>
    </w:p>
    <w:p w14:paraId="05114A8E" w14:textId="2A5008FB"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14.3. Either Party may change its address or email by giving prior written notice to the other Party at least five (5) business days in advance.</w:t>
      </w:r>
    </w:p>
    <w:p w14:paraId="0365E203"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FIFTEENTH – GOVERNING LAW AND DISPUTE RESOLUTION</w:t>
      </w:r>
    </w:p>
    <w:p w14:paraId="769C37F2" w14:textId="5F235D11"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15.1. This Agreement shall be governed by and construed in accordance with the laws of the Argenti</w:t>
      </w:r>
      <w:r>
        <w:rPr>
          <w:rFonts w:ascii="Times New Roman" w:hAnsi="Times New Roman" w:cs="Times New Roman"/>
          <w:sz w:val="24"/>
          <w:szCs w:val="24"/>
        </w:rPr>
        <w:t>na</w:t>
      </w:r>
      <w:r w:rsidRPr="005F71FF">
        <w:rPr>
          <w:rFonts w:ascii="Times New Roman" w:hAnsi="Times New Roman" w:cs="Times New Roman"/>
          <w:sz w:val="24"/>
          <w:szCs w:val="24"/>
        </w:rPr>
        <w:t>.</w:t>
      </w:r>
    </w:p>
    <w:p w14:paraId="621B3B38"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15.2. Any dispute, controversy or claim arising out of or in connection with this Agreement, including its interpretation, breach or validity, shall first be resolved through good faith negotiations between the Parties within a period of thirty (30) days from the first written notice informing the dispute.</w:t>
      </w:r>
    </w:p>
    <w:p w14:paraId="41E99EFC" w14:textId="22CE005C"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15.3. If the dispute cannot be resolved within such thirty (30) day period, either Party may submit the matter to the competent courts of the City of Buenos Aires,</w:t>
      </w:r>
      <w:r>
        <w:rPr>
          <w:rFonts w:ascii="Times New Roman" w:hAnsi="Times New Roman" w:cs="Times New Roman"/>
          <w:sz w:val="24"/>
          <w:szCs w:val="24"/>
        </w:rPr>
        <w:t xml:space="preserve"> Argentina,</w:t>
      </w:r>
      <w:r w:rsidRPr="005F71FF">
        <w:rPr>
          <w:rFonts w:ascii="Times New Roman" w:hAnsi="Times New Roman" w:cs="Times New Roman"/>
          <w:sz w:val="24"/>
          <w:szCs w:val="24"/>
        </w:rPr>
        <w:t xml:space="preserve"> expressly waiving any other jurisdiction that may apply.</w:t>
      </w:r>
    </w:p>
    <w:p w14:paraId="3A850689" w14:textId="77777777" w:rsidR="005F71FF" w:rsidRPr="005F71FF" w:rsidRDefault="005F71FF" w:rsidP="005F71FF">
      <w:pPr>
        <w:jc w:val="both"/>
        <w:rPr>
          <w:rFonts w:ascii="Times New Roman" w:hAnsi="Times New Roman" w:cs="Times New Roman"/>
          <w:b/>
          <w:bCs/>
          <w:sz w:val="24"/>
          <w:szCs w:val="24"/>
        </w:rPr>
      </w:pPr>
      <w:r w:rsidRPr="005F71FF">
        <w:rPr>
          <w:rFonts w:ascii="Times New Roman" w:hAnsi="Times New Roman" w:cs="Times New Roman"/>
          <w:b/>
          <w:bCs/>
          <w:sz w:val="24"/>
          <w:szCs w:val="24"/>
        </w:rPr>
        <w:t>SIXTEENTH – MISCELLANEOUS</w:t>
      </w:r>
    </w:p>
    <w:p w14:paraId="1C587935"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16.1. This Agreement constitutes the entire agreement between the Parties regarding the subject matter hereof and supersedes any prior agreement or understanding.</w:t>
      </w:r>
    </w:p>
    <w:p w14:paraId="092EAC04"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16.2. Any modification of this Agreement must be made in writing and signed by both Parties.</w:t>
      </w:r>
    </w:p>
    <w:p w14:paraId="5E89CD0C"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16.3. The invalidity of any provision of this Agreement shall not affect the remaining provisions, which shall remain in full force and effect.</w:t>
      </w:r>
    </w:p>
    <w:p w14:paraId="678C3D05"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lastRenderedPageBreak/>
        <w:t>16.4. The obligations relating to confidentiality, non-use, intellectual property, non-circumvention and dispute resolution shall survive the termination or expiration of this Agreement for the periods established herein.</w:t>
      </w:r>
    </w:p>
    <w:p w14:paraId="0A0DC5BB" w14:textId="77777777"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16.5. Neither Party may assign or transfer, in whole or in part, the rights or obligations arising from this Agreement without the prior written consent of the other Party, except in favor of affiliated companies or within the framework of a corporate reorganization.</w:t>
      </w:r>
    </w:p>
    <w:p w14:paraId="0FF7604D" w14:textId="4C5330F5"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16.6. The failure or delay of either Party in exercising any right, power or remedy provided in this Agreement shall not be construed as a waiver thereof nor prevent its subsequent exercise.</w:t>
      </w:r>
    </w:p>
    <w:p w14:paraId="20362132" w14:textId="58092DAA" w:rsidR="005F71FF" w:rsidRPr="005F71FF" w:rsidRDefault="005F71FF" w:rsidP="005F71FF">
      <w:pPr>
        <w:jc w:val="both"/>
        <w:rPr>
          <w:rFonts w:ascii="Times New Roman" w:hAnsi="Times New Roman" w:cs="Times New Roman"/>
          <w:sz w:val="24"/>
          <w:szCs w:val="24"/>
        </w:rPr>
      </w:pPr>
      <w:r w:rsidRPr="005F71FF">
        <w:rPr>
          <w:rFonts w:ascii="Times New Roman" w:hAnsi="Times New Roman" w:cs="Times New Roman"/>
          <w:sz w:val="24"/>
          <w:szCs w:val="24"/>
        </w:rPr>
        <w:t>IN WITNESS WHEREOF, the Parties execute two (2) counterparts of the same tenor and effect in the City of Buenos Aires</w:t>
      </w:r>
      <w:r>
        <w:rPr>
          <w:rFonts w:ascii="Times New Roman" w:hAnsi="Times New Roman" w:cs="Times New Roman"/>
          <w:sz w:val="24"/>
          <w:szCs w:val="24"/>
        </w:rPr>
        <w:t>, Argentina,</w:t>
      </w:r>
      <w:r w:rsidRPr="005F71FF">
        <w:rPr>
          <w:rFonts w:ascii="Times New Roman" w:hAnsi="Times New Roman" w:cs="Times New Roman"/>
          <w:sz w:val="24"/>
          <w:szCs w:val="24"/>
        </w:rPr>
        <w:t xml:space="preserve"> on the Effective Date.</w:t>
      </w:r>
    </w:p>
    <w:tbl>
      <w:tblPr>
        <w:tblW w:w="97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962"/>
        <w:gridCol w:w="4770"/>
      </w:tblGrid>
      <w:tr w:rsidR="005F71FF" w:rsidRPr="00771311" w14:paraId="4A1580CF" w14:textId="77777777" w:rsidTr="007773C0">
        <w:trPr>
          <w:trHeight w:val="275"/>
        </w:trPr>
        <w:tc>
          <w:tcPr>
            <w:tcW w:w="4962" w:type="dxa"/>
          </w:tcPr>
          <w:p w14:paraId="0010E45D"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bookmarkStart w:id="0" w:name="_Hlk214016606"/>
            <w:r w:rsidRPr="00B918E4">
              <w:rPr>
                <w:rFonts w:ascii="Times New Roman" w:eastAsia="Times New Roman" w:hAnsi="Times New Roman" w:cs="Times New Roman"/>
                <w:b/>
                <w:bCs/>
                <w:sz w:val="24"/>
                <w:szCs w:val="24"/>
              </w:rPr>
              <w:t>INTERMEPRO S.A.</w:t>
            </w:r>
            <w:r>
              <w:rPr>
                <w:rFonts w:ascii="Times New Roman" w:eastAsia="Times New Roman" w:hAnsi="Times New Roman" w:cs="Times New Roman"/>
                <w:b/>
                <w:bCs/>
                <w:sz w:val="24"/>
                <w:szCs w:val="24"/>
              </w:rPr>
              <w:t>:</w:t>
            </w:r>
          </w:p>
        </w:tc>
        <w:tc>
          <w:tcPr>
            <w:tcW w:w="4770" w:type="dxa"/>
          </w:tcPr>
          <w:p w14:paraId="231565A8" w14:textId="77777777" w:rsidR="005F71FF" w:rsidRDefault="005F71FF" w:rsidP="007773C0">
            <w:pPr>
              <w:spacing w:after="200" w:line="276" w:lineRule="auto"/>
              <w:jc w:val="both"/>
              <w:rPr>
                <w:rFonts w:ascii="Times New Roman" w:eastAsia="Times New Roman" w:hAnsi="Times New Roman" w:cs="Times New Roman"/>
                <w:b/>
                <w:bCs/>
                <w:sz w:val="24"/>
                <w:szCs w:val="24"/>
              </w:rPr>
            </w:pPr>
            <w:r w:rsidRPr="00E17F3E">
              <w:rPr>
                <w:rFonts w:ascii="Times New Roman" w:eastAsia="Times New Roman" w:hAnsi="Times New Roman" w:cs="Times New Roman"/>
                <w:b/>
                <w:bCs/>
                <w:sz w:val="24"/>
                <w:szCs w:val="24"/>
                <w:highlight w:val="yellow"/>
              </w:rPr>
              <w:t>XXXXXXX</w:t>
            </w:r>
            <w:r w:rsidRPr="008D4C71">
              <w:rPr>
                <w:rFonts w:ascii="Times New Roman" w:eastAsia="Times New Roman" w:hAnsi="Times New Roman" w:cs="Times New Roman"/>
                <w:b/>
                <w:bCs/>
                <w:sz w:val="24"/>
                <w:szCs w:val="24"/>
              </w:rPr>
              <w:t>:</w:t>
            </w:r>
          </w:p>
          <w:p w14:paraId="06E99569"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p>
        </w:tc>
      </w:tr>
      <w:tr w:rsidR="005F71FF" w:rsidRPr="00771311" w14:paraId="10BC2BED" w14:textId="77777777" w:rsidTr="007773C0">
        <w:tc>
          <w:tcPr>
            <w:tcW w:w="4962" w:type="dxa"/>
          </w:tcPr>
          <w:p w14:paraId="35FB70B9"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p>
        </w:tc>
        <w:tc>
          <w:tcPr>
            <w:tcW w:w="4770" w:type="dxa"/>
          </w:tcPr>
          <w:p w14:paraId="0A2035CA"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p>
        </w:tc>
      </w:tr>
      <w:tr w:rsidR="005F71FF" w:rsidRPr="00B918E4" w14:paraId="51EFF72F" w14:textId="77777777" w:rsidTr="007773C0">
        <w:tc>
          <w:tcPr>
            <w:tcW w:w="4962" w:type="dxa"/>
          </w:tcPr>
          <w:p w14:paraId="1DEDD6A7"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sidRPr="00B918E4">
              <w:rPr>
                <w:rFonts w:ascii="Times New Roman" w:eastAsia="Times New Roman" w:hAnsi="Times New Roman" w:cs="Times New Roman"/>
                <w:sz w:val="24"/>
                <w:szCs w:val="24"/>
              </w:rPr>
              <w:t>______________________________</w:t>
            </w:r>
          </w:p>
        </w:tc>
        <w:tc>
          <w:tcPr>
            <w:tcW w:w="4770" w:type="dxa"/>
          </w:tcPr>
          <w:p w14:paraId="485076F2"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sidRPr="00B918E4">
              <w:rPr>
                <w:rFonts w:ascii="Times New Roman" w:eastAsia="Times New Roman" w:hAnsi="Times New Roman" w:cs="Times New Roman"/>
                <w:sz w:val="24"/>
                <w:szCs w:val="24"/>
              </w:rPr>
              <w:t>______________________________</w:t>
            </w:r>
          </w:p>
        </w:tc>
      </w:tr>
      <w:tr w:rsidR="005F71FF" w:rsidRPr="00771311" w14:paraId="2F6FD201" w14:textId="77777777" w:rsidTr="007773C0">
        <w:tc>
          <w:tcPr>
            <w:tcW w:w="4962" w:type="dxa"/>
          </w:tcPr>
          <w:p w14:paraId="7DEA94AC"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B918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Adrián Gustavo Kolonski</w:t>
            </w:r>
          </w:p>
        </w:tc>
        <w:tc>
          <w:tcPr>
            <w:tcW w:w="4770" w:type="dxa"/>
          </w:tcPr>
          <w:p w14:paraId="2B567915" w14:textId="77777777" w:rsidR="005F71FF" w:rsidRPr="00B918E4" w:rsidRDefault="005F71FF"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B918E4">
              <w:rPr>
                <w:rFonts w:ascii="Times New Roman" w:eastAsia="Times New Roman" w:hAnsi="Times New Roman" w:cs="Times New Roman"/>
                <w:sz w:val="24"/>
                <w:szCs w:val="24"/>
              </w:rPr>
              <w:t xml:space="preserve">: </w:t>
            </w:r>
            <w:r w:rsidRPr="00E17F3E">
              <w:rPr>
                <w:rFonts w:ascii="Times New Roman" w:eastAsia="Times New Roman" w:hAnsi="Times New Roman" w:cs="Times New Roman"/>
                <w:sz w:val="24"/>
                <w:szCs w:val="24"/>
                <w:highlight w:val="yellow"/>
              </w:rPr>
              <w:t>XXXXXX</w:t>
            </w:r>
          </w:p>
        </w:tc>
      </w:tr>
      <w:tr w:rsidR="005F71FF" w:rsidRPr="00B918E4" w14:paraId="6C22A4BE" w14:textId="77777777" w:rsidTr="007773C0">
        <w:tc>
          <w:tcPr>
            <w:tcW w:w="4962" w:type="dxa"/>
          </w:tcPr>
          <w:p w14:paraId="6FD82CC1" w14:textId="49AE32FC" w:rsidR="005F71FF" w:rsidRPr="00B918E4" w:rsidRDefault="001C763D"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r w:rsidR="005F71FF" w:rsidRPr="00B918E4">
              <w:rPr>
                <w:rFonts w:ascii="Times New Roman" w:eastAsia="Times New Roman" w:hAnsi="Times New Roman" w:cs="Times New Roman"/>
                <w:sz w:val="24"/>
                <w:szCs w:val="24"/>
              </w:rPr>
              <w:t xml:space="preserve">: </w:t>
            </w:r>
            <w:r w:rsidR="005F71FF">
              <w:rPr>
                <w:rFonts w:ascii="Times New Roman" w:eastAsia="Times New Roman" w:hAnsi="Times New Roman" w:cs="Times New Roman"/>
                <w:sz w:val="24"/>
                <w:szCs w:val="24"/>
              </w:rPr>
              <w:t>President</w:t>
            </w:r>
          </w:p>
        </w:tc>
        <w:tc>
          <w:tcPr>
            <w:tcW w:w="4770" w:type="dxa"/>
          </w:tcPr>
          <w:p w14:paraId="5339D163" w14:textId="07451F66" w:rsidR="005F71FF" w:rsidRPr="00B918E4" w:rsidRDefault="001C763D" w:rsidP="007773C0">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r w:rsidR="005F71FF" w:rsidRPr="00B918E4">
              <w:rPr>
                <w:rFonts w:ascii="Times New Roman" w:eastAsia="Times New Roman" w:hAnsi="Times New Roman" w:cs="Times New Roman"/>
                <w:sz w:val="24"/>
                <w:szCs w:val="24"/>
              </w:rPr>
              <w:t xml:space="preserve">: </w:t>
            </w:r>
            <w:r w:rsidR="005F71FF" w:rsidRPr="00E17F3E">
              <w:rPr>
                <w:rFonts w:ascii="Times New Roman" w:eastAsia="Times New Roman" w:hAnsi="Times New Roman" w:cs="Times New Roman"/>
                <w:sz w:val="24"/>
                <w:szCs w:val="24"/>
                <w:highlight w:val="yellow"/>
              </w:rPr>
              <w:t>XXXXXX</w:t>
            </w:r>
          </w:p>
        </w:tc>
      </w:tr>
      <w:bookmarkEnd w:id="0"/>
    </w:tbl>
    <w:p w14:paraId="12E1E23F" w14:textId="77777777" w:rsidR="0048109C" w:rsidRPr="005F71FF" w:rsidRDefault="0048109C" w:rsidP="005F71FF">
      <w:pPr>
        <w:jc w:val="both"/>
        <w:rPr>
          <w:rFonts w:ascii="Times New Roman" w:hAnsi="Times New Roman" w:cs="Times New Roman"/>
          <w:sz w:val="24"/>
          <w:szCs w:val="24"/>
        </w:rPr>
      </w:pPr>
    </w:p>
    <w:sectPr w:rsidR="0048109C" w:rsidRPr="005F71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E3D89"/>
    <w:multiLevelType w:val="hybridMultilevel"/>
    <w:tmpl w:val="10F25924"/>
    <w:lvl w:ilvl="0" w:tplc="17208000">
      <w:start w:val="1"/>
      <w:numFmt w:val="lowerRoman"/>
      <w:lvlText w:val="(%1)"/>
      <w:lvlJc w:val="left"/>
      <w:pPr>
        <w:ind w:left="1080" w:hanging="72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03122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FF"/>
    <w:rsid w:val="00044A0F"/>
    <w:rsid w:val="001C763D"/>
    <w:rsid w:val="00436C37"/>
    <w:rsid w:val="0048109C"/>
    <w:rsid w:val="004A6E9E"/>
    <w:rsid w:val="005F71FF"/>
    <w:rsid w:val="00F24C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EC90"/>
  <w15:chartTrackingRefBased/>
  <w15:docId w15:val="{E1682543-8BAC-4CD7-B3B2-4007D06A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7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7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71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1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1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1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1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1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1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71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71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71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1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1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1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1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1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1FF"/>
    <w:rPr>
      <w:rFonts w:eastAsiaTheme="majorEastAsia" w:cstheme="majorBidi"/>
      <w:color w:val="272727" w:themeColor="text1" w:themeTint="D8"/>
    </w:rPr>
  </w:style>
  <w:style w:type="paragraph" w:styleId="Ttulo">
    <w:name w:val="Title"/>
    <w:basedOn w:val="Normal"/>
    <w:next w:val="Normal"/>
    <w:link w:val="TtuloCar"/>
    <w:uiPriority w:val="10"/>
    <w:qFormat/>
    <w:rsid w:val="005F7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1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1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1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1FF"/>
    <w:pPr>
      <w:spacing w:before="160"/>
      <w:jc w:val="center"/>
    </w:pPr>
    <w:rPr>
      <w:i/>
      <w:iCs/>
      <w:color w:val="404040" w:themeColor="text1" w:themeTint="BF"/>
    </w:rPr>
  </w:style>
  <w:style w:type="character" w:customStyle="1" w:styleId="CitaCar">
    <w:name w:val="Cita Car"/>
    <w:basedOn w:val="Fuentedeprrafopredeter"/>
    <w:link w:val="Cita"/>
    <w:uiPriority w:val="29"/>
    <w:rsid w:val="005F71FF"/>
    <w:rPr>
      <w:i/>
      <w:iCs/>
      <w:color w:val="404040" w:themeColor="text1" w:themeTint="BF"/>
    </w:rPr>
  </w:style>
  <w:style w:type="paragraph" w:styleId="Prrafodelista">
    <w:name w:val="List Paragraph"/>
    <w:basedOn w:val="Normal"/>
    <w:uiPriority w:val="34"/>
    <w:qFormat/>
    <w:rsid w:val="005F71FF"/>
    <w:pPr>
      <w:ind w:left="720"/>
      <w:contextualSpacing/>
    </w:pPr>
  </w:style>
  <w:style w:type="character" w:styleId="nfasisintenso">
    <w:name w:val="Intense Emphasis"/>
    <w:basedOn w:val="Fuentedeprrafopredeter"/>
    <w:uiPriority w:val="21"/>
    <w:qFormat/>
    <w:rsid w:val="005F71FF"/>
    <w:rPr>
      <w:i/>
      <w:iCs/>
      <w:color w:val="0F4761" w:themeColor="accent1" w:themeShade="BF"/>
    </w:rPr>
  </w:style>
  <w:style w:type="paragraph" w:styleId="Citadestacada">
    <w:name w:val="Intense Quote"/>
    <w:basedOn w:val="Normal"/>
    <w:next w:val="Normal"/>
    <w:link w:val="CitadestacadaCar"/>
    <w:uiPriority w:val="30"/>
    <w:qFormat/>
    <w:rsid w:val="005F7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1FF"/>
    <w:rPr>
      <w:i/>
      <w:iCs/>
      <w:color w:val="0F4761" w:themeColor="accent1" w:themeShade="BF"/>
    </w:rPr>
  </w:style>
  <w:style w:type="character" w:styleId="Referenciaintensa">
    <w:name w:val="Intense Reference"/>
    <w:basedOn w:val="Fuentedeprrafopredeter"/>
    <w:uiPriority w:val="32"/>
    <w:qFormat/>
    <w:rsid w:val="005F71FF"/>
    <w:rPr>
      <w:b/>
      <w:bCs/>
      <w:smallCaps/>
      <w:color w:val="0F4761" w:themeColor="accent1" w:themeShade="BF"/>
      <w:spacing w:val="5"/>
    </w:rPr>
  </w:style>
  <w:style w:type="character" w:styleId="Hipervnculo">
    <w:name w:val="Hyperlink"/>
    <w:basedOn w:val="Fuentedeprrafopredeter"/>
    <w:uiPriority w:val="99"/>
    <w:unhideWhenUsed/>
    <w:rsid w:val="005F71FF"/>
    <w:rPr>
      <w:color w:val="467886" w:themeColor="hyperlink"/>
      <w:u w:val="single"/>
    </w:rPr>
  </w:style>
  <w:style w:type="character" w:styleId="Mencinsinresolver">
    <w:name w:val="Unresolved Mention"/>
    <w:basedOn w:val="Fuentedeprrafopredeter"/>
    <w:uiPriority w:val="99"/>
    <w:semiHidden/>
    <w:unhideWhenUsed/>
    <w:rsid w:val="005F7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intermepr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1629</Words>
  <Characters>8960</Characters>
  <Application>Microsoft Office Word</Application>
  <DocSecurity>0</DocSecurity>
  <Lines>74</Lines>
  <Paragraphs>21</Paragraphs>
  <ScaleCrop>false</ScaleCrop>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Sotz</dc:creator>
  <cp:keywords/>
  <dc:description/>
  <cp:lastModifiedBy>Catalina Sotz</cp:lastModifiedBy>
  <cp:revision>2</cp:revision>
  <dcterms:created xsi:type="dcterms:W3CDTF">2026-03-10T16:06:00Z</dcterms:created>
  <dcterms:modified xsi:type="dcterms:W3CDTF">2026-03-10T16:17:00Z</dcterms:modified>
</cp:coreProperties>
</file>