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D1DB" w14:textId="77777777" w:rsidR="005F71FF" w:rsidRPr="005F71FF" w:rsidRDefault="005F71FF" w:rsidP="005F71FF">
      <w:pPr>
        <w:jc w:val="center"/>
        <w:rPr>
          <w:rFonts w:ascii="Times New Roman" w:hAnsi="Times New Roman" w:cs="Times New Roman"/>
          <w:b/>
          <w:bCs/>
          <w:sz w:val="24"/>
          <w:szCs w:val="24"/>
          <w:u w:val="single"/>
        </w:rPr>
      </w:pPr>
      <w:r w:rsidRPr="005F71FF">
        <w:rPr>
          <w:rFonts w:ascii="Times New Roman" w:hAnsi="Times New Roman" w:cs="Times New Roman"/>
          <w:b/>
          <w:bCs/>
          <w:sz w:val="24"/>
          <w:szCs w:val="24"/>
          <w:u w:val="single"/>
        </w:rPr>
        <w:t>MEMORANDUM OF UNDERSTANDING</w:t>
      </w:r>
    </w:p>
    <w:p w14:paraId="7DC5D85B" w14:textId="16E55BF3"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This Memorandum of Understanding (the “Agreement” or “MOU”) is entered into in the City of Buenos Aires, Argentina, on March 10, 2026 (the “Effective Date”), by and between INTERMEPRO S.A., a company duly incorporated under the laws of the Argentina, with registered address at Báez 121, City of Buenos Aires, represented herein by Adrián Gustavo Kolonski, ID No. 14.866.962, in his capacity as President (hereinafter “INTERMEPRO”); and, on the other hand, SOLARIS, a company incorporated under the laws of SOLARIS, with registered address at SOLARIS, represented herein by SOLARIS, ID No. SOLARIS, in his/her capacity as SOLARIS (hereinafter “SOLARIS”); both jointly referred to as the “Parties” and individually as a “Party”, as applicable.</w:t>
      </w:r>
      <w:r>
        <w:rPr>
          <w:rFonts w:ascii="Times New Roman" w:hAnsi="Times New Roman" w:cs="Times New Roman"/>
          <w:sz w:val="24"/>
          <w:szCs w:val="24"/>
        </w:rPr>
      </w:r>
      <w:r w:rsidRPr="005F71FF">
        <w:rPr>
          <w:rFonts w:ascii="Times New Roman" w:hAnsi="Times New Roman" w:cs="Times New Roman"/>
          <w:sz w:val="24"/>
          <w:szCs w:val="24"/>
        </w:rPr>
      </w:r>
      <w:r w:rsidRPr="005F71FF">
        <w:rPr>
          <w:rFonts w:ascii="Times New Roman" w:hAnsi="Times New Roman" w:cs="Times New Roman"/>
          <w:b/>
          <w:bCs/>
          <w:sz w:val="24"/>
          <w:szCs w:val="24"/>
        </w:rPr>
      </w:r>
      <w:r w:rsidRPr="005F71FF">
        <w:rPr>
          <w:rFonts w:ascii="Times New Roman" w:hAnsi="Times New Roman" w:cs="Times New Roman"/>
          <w:sz w:val="24"/>
          <w:szCs w:val="24"/>
        </w:rPr>
      </w:r>
      <w:r>
        <w:rPr>
          <w:rFonts w:ascii="Times New Roman" w:hAnsi="Times New Roman" w:cs="Times New Roman"/>
          <w:sz w:val="24"/>
          <w:szCs w:val="24"/>
        </w:rPr>
      </w:r>
      <w:r w:rsidRPr="005F71FF">
        <w:rPr>
          <w:rFonts w:ascii="Times New Roman" w:hAnsi="Times New Roman" w:cs="Times New Roman"/>
          <w:sz w:val="24"/>
          <w:szCs w:val="24"/>
        </w:rPr>
      </w:r>
      <w:r w:rsidRPr="005F71FF">
        <w:rPr>
          <w:rFonts w:ascii="Times New Roman" w:hAnsi="Times New Roman" w:cs="Times New Roman"/>
          <w:sz w:val="24"/>
          <w:szCs w:val="24"/>
          <w:highlight w:val="yellow"/>
        </w:rPr>
      </w:r>
      <w:r w:rsidRPr="005F71FF">
        <w:rPr>
          <w:rFonts w:ascii="Times New Roman" w:hAnsi="Times New Roman" w:cs="Times New Roman"/>
          <w:sz w:val="24"/>
          <w:szCs w:val="24"/>
        </w:rPr>
      </w:r>
      <w:r w:rsidRPr="005F71FF">
        <w:rPr>
          <w:rFonts w:ascii="Times New Roman" w:hAnsi="Times New Roman" w:cs="Times New Roman"/>
          <w:sz w:val="24"/>
          <w:szCs w:val="24"/>
          <w:highlight w:val="yellow"/>
        </w:rPr>
      </w:r>
      <w:r w:rsidRPr="005F71FF">
        <w:rPr>
          <w:rFonts w:ascii="Times New Roman" w:hAnsi="Times New Roman" w:cs="Times New Roman"/>
          <w:sz w:val="24"/>
          <w:szCs w:val="24"/>
        </w:rPr>
      </w:r>
      <w:r w:rsidRPr="005F71FF">
        <w:rPr>
          <w:rFonts w:ascii="Times New Roman" w:hAnsi="Times New Roman" w:cs="Times New Roman"/>
          <w:sz w:val="24"/>
          <w:szCs w:val="24"/>
          <w:highlight w:val="yellow"/>
        </w:rPr>
      </w:r>
      <w:r w:rsidRPr="005F71FF">
        <w:rPr>
          <w:rFonts w:ascii="Times New Roman" w:hAnsi="Times New Roman" w:cs="Times New Roman"/>
          <w:sz w:val="24"/>
          <w:szCs w:val="24"/>
        </w:rPr>
      </w:r>
      <w:r w:rsidRPr="005F71FF">
        <w:rPr>
          <w:rFonts w:ascii="Times New Roman" w:hAnsi="Times New Roman" w:cs="Times New Roman"/>
          <w:sz w:val="24"/>
          <w:szCs w:val="24"/>
          <w:highlight w:val="yellow"/>
        </w:rPr>
      </w:r>
      <w:r w:rsidRPr="005F71FF">
        <w:rPr>
          <w:rFonts w:ascii="Times New Roman" w:hAnsi="Times New Roman" w:cs="Times New Roman"/>
          <w:sz w:val="24"/>
          <w:szCs w:val="24"/>
        </w:rPr>
      </w:r>
      <w:r w:rsidRPr="005F71FF">
        <w:rPr>
          <w:rFonts w:ascii="Times New Roman" w:hAnsi="Times New Roman" w:cs="Times New Roman"/>
          <w:sz w:val="24"/>
          <w:szCs w:val="24"/>
          <w:highlight w:val="yellow"/>
        </w:rPr>
      </w:r>
      <w:r w:rsidRPr="005F71FF">
        <w:rPr>
          <w:rFonts w:ascii="Times New Roman" w:hAnsi="Times New Roman" w:cs="Times New Roman"/>
          <w:sz w:val="24"/>
          <w:szCs w:val="24"/>
        </w:rPr>
      </w:r>
      <w:r w:rsidRPr="005F71FF">
        <w:rPr>
          <w:rFonts w:ascii="Times New Roman" w:hAnsi="Times New Roman" w:cs="Times New Roman"/>
          <w:sz w:val="24"/>
          <w:szCs w:val="24"/>
          <w:highlight w:val="yellow"/>
        </w:rPr>
      </w:r>
      <w:r w:rsidRPr="005F71FF">
        <w:rPr>
          <w:rFonts w:ascii="Times New Roman" w:hAnsi="Times New Roman" w:cs="Times New Roman"/>
          <w:sz w:val="24"/>
          <w:szCs w:val="24"/>
        </w:rPr>
      </w:r>
      <w:r w:rsidRPr="005F71FF">
        <w:rPr>
          <w:rFonts w:ascii="Times New Roman" w:hAnsi="Times New Roman" w:cs="Times New Roman"/>
          <w:sz w:val="24"/>
          <w:szCs w:val="24"/>
          <w:highlight w:val="yellow"/>
        </w:rPr>
      </w:r>
      <w:r w:rsidRPr="005F71FF">
        <w:rPr>
          <w:rFonts w:ascii="Times New Roman" w:hAnsi="Times New Roman" w:cs="Times New Roman"/>
          <w:sz w:val="24"/>
          <w:szCs w:val="24"/>
        </w:rPr>
      </w:r>
    </w:p>
    <w:p w14:paraId="2A0A24DA"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WHEREAS</w:t>
      </w:r>
    </w:p>
    <w:p w14:paraId="62349A88" w14:textId="70406352" w:rsidR="005F71FF" w:rsidRPr="005F71FF" w:rsidRDefault="005F71FF" w:rsidP="005F71FF">
      <w:pPr>
        <w:pStyle w:val="Prrafodelista"/>
        <w:numPr>
          <w:ilvl w:val="0"/>
          <w:numId w:val="1"/>
        </w:numPr>
        <w:jc w:val="both"/>
        <w:rPr>
          <w:rFonts w:ascii="Times New Roman" w:hAnsi="Times New Roman" w:cs="Times New Roman"/>
          <w:sz w:val="24"/>
          <w:szCs w:val="24"/>
        </w:rPr>
      </w:pPr>
      <w:r w:rsidRPr="005F71FF">
        <w:rPr>
          <w:rFonts w:ascii="Times New Roman" w:hAnsi="Times New Roman" w:cs="Times New Roman"/>
          <w:sz w:val="24"/>
          <w:szCs w:val="24"/>
        </w:rPr>
        <w:t>The Parties are interested in establishing a collaboration to promote joint projects;</w:t>
      </w:r>
    </w:p>
    <w:p w14:paraId="17193D5C" w14:textId="03473BB1" w:rsidR="005F71FF" w:rsidRPr="005F71FF" w:rsidRDefault="005F71FF" w:rsidP="005F71FF">
      <w:pPr>
        <w:pStyle w:val="Prrafodelista"/>
        <w:numPr>
          <w:ilvl w:val="0"/>
          <w:numId w:val="1"/>
        </w:numPr>
        <w:jc w:val="both"/>
        <w:rPr>
          <w:rFonts w:ascii="Times New Roman" w:hAnsi="Times New Roman" w:cs="Times New Roman"/>
          <w:sz w:val="24"/>
          <w:szCs w:val="24"/>
        </w:rPr>
      </w:pPr>
      <w:r w:rsidRPr="005F71FF">
        <w:rPr>
          <w:rFonts w:ascii="Times New Roman" w:hAnsi="Times New Roman" w:cs="Times New Roman"/>
          <w:sz w:val="24"/>
          <w:szCs w:val="24"/>
        </w:rPr>
        <w:t>The Parties have previously entered into a Confidentiality Agreement for the exchange of information.</w:t>
      </w:r>
    </w:p>
    <w:p w14:paraId="292484D5" w14:textId="3067B6FA"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Therefore, the Parties agree to enter into this Agreement, which shall be governed by the following terms and conditions:</w:t>
      </w:r>
    </w:p>
    <w:p w14:paraId="7908B16C"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FIRST – PURPOSE</w:t>
      </w:r>
    </w:p>
    <w:p w14:paraId="5D8B7877"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1.1. The purpose of this Agreement is to establish a general framework of cooperation between the Parties to evaluate, analyze and potentially develop business opportunities and joint projects related to the renewable energy sector, including the technical, commercial and operational analysis of such initiatives (the “Project”).</w:t>
      </w:r>
    </w:p>
    <w:p w14:paraId="7639C458" w14:textId="11941C2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1.2. The activities described above are merely illustrative and non-limiting, and the Parties may agree on any other actions they deem appropriate for the development of the Project.</w:t>
      </w:r>
    </w:p>
    <w:p w14:paraId="212E62D3"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SECOND – FRAMEWORK OF COLLABORATION</w:t>
      </w:r>
    </w:p>
    <w:p w14:paraId="0B920010"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2.1. The Parties agree to cooperate in good faith in the analysis and development of the Project, including but not limited to the following activities:</w:t>
      </w:r>
    </w:p>
    <w:p w14:paraId="7B191D42"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a) exchange of relevant technical, commercial and operational information;</w:t>
      </w:r>
    </w:p>
    <w:p w14:paraId="0D8456B4"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b) evaluation of the technical and economic feasibility of the Project;</w:t>
      </w:r>
    </w:p>
    <w:p w14:paraId="28FEF642"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c) identification of potential clients, suppliers or strategic partners;</w:t>
      </w:r>
    </w:p>
    <w:p w14:paraId="583A04A9"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d) analysis of possible commercial or contractual structures for the development of the Project.</w:t>
      </w:r>
    </w:p>
    <w:p w14:paraId="3CEEE0C2" w14:textId="3D68705F"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2.2. The Parties undertake to act in good faith in carrying out the activities contemplated under this MOU.</w:t>
      </w:r>
    </w:p>
    <w:p w14:paraId="33314007"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THIRD – INTELLECTUAL PROPERTY</w:t>
      </w:r>
    </w:p>
    <w:p w14:paraId="03722650"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3.1. All information, documentation, know-how, technology, materials or developments provided by each Party shall remain the exclusive property of such Party.</w:t>
      </w:r>
    </w:p>
    <w:p w14:paraId="6FA29FED" w14:textId="581C5C70"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3.2. This MOU does not imply any assignment, license or transfer of intellectual property rights between the Parties, unless expressly agreed in writing.</w:t>
      </w:r>
    </w:p>
    <w:p w14:paraId="4CDE3B50"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FOURTH – CONFIDENTIALITY AGREEMENT</w:t>
      </w:r>
    </w:p>
    <w:p w14:paraId="04963B6A" w14:textId="19B1CDD6"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4.1. The Parties expressly acknowledge that on March 10, 2026 they entered into a Confidentiality Agreement (“NDA”) governing the treatment of confidential information exchanged between them.</w:t>
      </w:r>
    </w:p>
    <w:p w14:paraId="3D44118D" w14:textId="20BEB913"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4.2. Any information exchanged within the framework of this MOU shall be subject to the terms and conditions established in such NDA, which shall be deemed fully applicable to this Agreement.</w:t>
      </w:r>
    </w:p>
    <w:p w14:paraId="776234B9"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FIFTH – DEVELOPMENT OF SPECIFIC AGREEMENTS</w:t>
      </w:r>
    </w:p>
    <w:p w14:paraId="0D8D89A2"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5.1. Should the Parties decide to proceed with the implementation of the Project or with any of the business opportunities identified, the specific terms and conditions shall be set forth in particular contracts or agreements to be negotiated and executed by the Parties.</w:t>
      </w:r>
    </w:p>
    <w:p w14:paraId="4CF8560D" w14:textId="4C27DD8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5.2. This MOU constitutes a general framework of cooperation, without prejudice to the subsequent execution of the specific agreements that may be necessary.</w:t>
      </w:r>
    </w:p>
    <w:p w14:paraId="6E0A0B02"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SIXTH – NON-CIRCUMVENTION AND NON-COMPETITION</w:t>
      </w:r>
    </w:p>
    <w:p w14:paraId="12554736"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6.1. The Parties agree that during the term of this MOU and for a period of two (2) years following its termination or expiration, neither Party shall circumvent, avoid, or attempt to circumvent the participation of the other Party in business opportunities, projects, clients, suppliers, investors or contacts that have been introduced or disclosed within the framework of this Agreement.</w:t>
      </w:r>
    </w:p>
    <w:p w14:paraId="6C99A347"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6.2. In particular, neither Party shall, directly or indirectly, negotiate, contract or conduct business with such Introduced Parties without the participation or prior written consent of the Party that made the introduction.</w:t>
      </w:r>
    </w:p>
    <w:p w14:paraId="5D19D1A1"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6.3. Furthermore, the Parties undertake not to use confidential information, commercial contacts, business structures or strategic information obtained under this Agreement to compete or independently develop opportunities that were originated or presented by the other Party. For the avoidance of doubt, this clause does not restrict either Party from independently sourcing equipment, components, engineering services, electrical design, construction services, or any other goods and services from any supplier or service provider in Argentina or elsewhere.</w:t>
      </w:r>
    </w:p>
    <w:p w14:paraId="0CB4CD80" w14:textId="7C0DB3DB"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6.4. For the purposes of this Agreement, “Introduced Party” shall mean any individual or legal entity, client, supplier, investor, developer or organization whose identity or participation in a business opportunity has been disclosed by one Party to the other within the framework of this MOU.</w:t>
      </w:r>
    </w:p>
    <w:p w14:paraId="0F3C6505"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color w:val="FF0000"/>
          <w:sz w:val="24"/>
          <w:szCs w:val="24"/>
        </w:rPr>
        <w:t>[DELETED] [DELETED] SEVENTH – RIGHT OF FIRST NEGOTIATION</w:t>
      </w:r>
    </w:p>
    <w:p w14:paraId="1AFC292A"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color w:val="FF0000"/>
          <w:sz w:val="24"/>
          <w:szCs w:val="24"/>
        </w:rPr>
        <w:t>[DELETED] 7.1. If during the term of this Agreement either Party identifies, develops or participates in business opportunities, projects or transactions within the scope of this Agreement, such Party shall grant the other Party a preferential right of first negotiation and shall negotiate in good faith with the latter for a period of fifteen (15) business days regarding the terms of joint participation in such project or opportunity.</w:t>
      </w:r>
    </w:p>
    <w:p w14:paraId="376E4DA8" w14:textId="583388CB"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color w:val="FF0000"/>
          <w:sz w:val="24"/>
          <w:szCs w:val="24"/>
        </w:rPr>
        <w:t>[DELETED] 7.2. Only if the Parties fail to reach an agreement within such period, the Party that identified the opportunity may freely negotiate with third parties, provided that the confidentiality and non-circumvention obligations established in this Agreement are respected.</w:t>
      </w:r>
    </w:p>
    <w:p w14:paraId="1DA5E63F"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color w:val="FF0000"/>
          <w:sz w:val="24"/>
          <w:szCs w:val="24"/>
        </w:rPr>
        <w:t>[DELETED] [DELETED] EIGHTH – COMMISSION ENTITLEMENT</w:t>
      </w:r>
    </w:p>
    <w:p w14:paraId="007ECBEB"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color w:val="FF0000"/>
          <w:sz w:val="24"/>
          <w:szCs w:val="24"/>
        </w:rPr>
        <w:t>[DELETED] 8.1. In the event that, as a result of the introduction of a business opportunity, project, client, supplier, investor or strategic partner made by INTERMEPRO under this MOU, a transaction, contract, investment or business operation related to such opportunity is subsequently executed, INTERMEPRO shall be entitled to receive a commission, the terms and conditions of which shall be agreed by the Parties in a specific agreement.</w:t>
      </w:r>
    </w:p>
    <w:p w14:paraId="0B2B4D9D" w14:textId="2BD72F91"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color w:val="FF0000"/>
          <w:sz w:val="24"/>
          <w:szCs w:val="24"/>
        </w:rPr>
        <w:t>[DELETED] 8.2. The Parties expressly acknowledge that the introduction of business opportunities and commercial contacts constitutes a valuable contribution to the development of potential transactions arising from this MOU and agree to negotiate in good faith the applicable economic conditions in such cases.</w:t>
      </w:r>
    </w:p>
    <w:p w14:paraId="174D4010"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NINTH – COSTS AND EXPENSES</w:t>
      </w:r>
    </w:p>
    <w:p w14:paraId="4548FE6A" w14:textId="73972164"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9.1. Unless otherwise expressly agreed in writing, each Party shall bear its own costs and expenses arising from the activities carried out within the framework of this MOU.</w:t>
      </w:r>
    </w:p>
    <w:p w14:paraId="1C550F20"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TENTH – NO PARTNERSHIP OR REPRESENTATION</w:t>
      </w:r>
    </w:p>
    <w:p w14:paraId="0631FBEC"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10.1. This MOU does not create or imply the formation of a partnership, joint venture, association, agency relationship or employment relationship between the Parties.</w:t>
      </w:r>
    </w:p>
    <w:p w14:paraId="469A302D"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10.2. Neither Party shall have the authority to bind or commit the other Party vis-à-vis third parties without the prior written authorization of the other Party.</w:t>
      </w:r>
    </w:p>
    <w:p w14:paraId="6DC650AB" w14:textId="0BBA5632"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10.3. Neither Party shall act as agent, representative or attorney-in-fact of the other Party unless expressly agreed in writing.</w:t>
      </w:r>
    </w:p>
    <w:p w14:paraId="6C11A143"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ELEVENTH – TERM</w:t>
      </w:r>
    </w:p>
    <w:p w14:paraId="7B646BF7"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11.1. This MOU shall remain in force for a period of twelve (12) months from the Effective Date and may be renewed by written agreement between the Parties.</w:t>
      </w:r>
    </w:p>
    <w:p w14:paraId="568EE0D5"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11.2. Either Party may terminate this MOU by providing written notice to the other Party at least thirty (30) days in advance.</w:t>
      </w:r>
    </w:p>
    <w:p w14:paraId="352F7876" w14:textId="63EB3CF6"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11.3. Notwithstanding the foregoing, the confidentiality obligations shall remain in force in accordance with the provisions set forth in the NDA.</w:t>
      </w:r>
    </w:p>
    <w:p w14:paraId="792D067A"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TWELFTH – GOOD FAITH NEGOTIATION</w:t>
      </w:r>
    </w:p>
    <w:p w14:paraId="772F1641" w14:textId="4226A496"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12.1. The Parties undertake to negotiate in good faith any specific agreement necessary for the implementation of the Project.</w:t>
      </w:r>
    </w:p>
    <w:p w14:paraId="6475A02A"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THIRTEENTH – FORCE MAJEURE</w:t>
      </w:r>
    </w:p>
    <w:p w14:paraId="64646F0E" w14:textId="0A55E518"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13.1. Neither Party shall be liable for failure to perform its obligations when such failure results from force majeure events, understood as unforeseeable or unavoidable events beyond the reasonable control of the Parties.</w:t>
      </w:r>
    </w:p>
    <w:p w14:paraId="7C0567A4"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FOURTEENTH – NOTICES</w:t>
      </w:r>
    </w:p>
    <w:p w14:paraId="7665EC92"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14.1. Any notice, request, communication or other message related to this Agreement shall be made in writing and shall be deemed validly given when sent by registered mail or by email to the addresses indicated below:</w:t>
      </w:r>
    </w:p>
    <w:p w14:paraId="3F318FC1" w14:textId="20B58415" w:rsidR="005F71FF" w:rsidRDefault="005F71FF" w:rsidP="005F71FF">
      <w:pPr>
        <w:ind w:firstLine="708"/>
        <w:jc w:val="both"/>
        <w:rPr>
          <w:rFonts w:ascii="Times New Roman" w:hAnsi="Times New Roman" w:cs="Times New Roman"/>
          <w:sz w:val="24"/>
          <w:szCs w:val="24"/>
        </w:rPr>
      </w:pPr>
      <w:r>
        <w:rPr>
          <w:rFonts w:ascii="Times New Roman" w:hAnsi="Times New Roman" w:cs="Times New Roman"/>
          <w:sz w:val="24"/>
          <w:szCs w:val="24"/>
        </w:rPr>
        <w:t>14.1.1.</w:t>
      </w:r>
      <w:r w:rsidRPr="005F71FF">
        <w:rPr>
          <w:rFonts w:ascii="Times New Roman" w:hAnsi="Times New Roman" w:cs="Times New Roman"/>
          <w:b/>
          <w:bCs/>
          <w:sz w:val="24"/>
          <w:szCs w:val="24"/>
        </w:rPr>
        <w:t xml:space="preserve"> INTERMEPRO S.A.</w:t>
      </w:r>
      <w:r>
        <w:rPr>
          <w:rFonts w:ascii="Times New Roman" w:hAnsi="Times New Roman" w:cs="Times New Roman"/>
          <w:sz w:val="24"/>
          <w:szCs w:val="24"/>
        </w:rPr>
        <w:t>:</w:t>
      </w:r>
    </w:p>
    <w:p w14:paraId="12B8C012" w14:textId="77777777" w:rsidR="005F71FF" w:rsidRDefault="005F71FF" w:rsidP="005F71FF">
      <w:pPr>
        <w:ind w:firstLine="708"/>
        <w:jc w:val="both"/>
        <w:rPr>
          <w:rFonts w:ascii="Times New Roman" w:hAnsi="Times New Roman" w:cs="Times New Roman"/>
          <w:sz w:val="24"/>
          <w:szCs w:val="24"/>
        </w:rPr>
      </w:pPr>
      <w:r w:rsidRPr="005F71FF">
        <w:rPr>
          <w:rFonts w:ascii="Times New Roman" w:hAnsi="Times New Roman" w:cs="Times New Roman"/>
          <w:sz w:val="24"/>
          <w:szCs w:val="24"/>
        </w:rPr>
        <w:t>Registered address: Báez 121, Autonomous City of Buenos Aires</w:t>
      </w:r>
    </w:p>
    <w:p w14:paraId="6B64BC8C" w14:textId="54AD1D66" w:rsidR="005F71FF" w:rsidRDefault="005F71FF" w:rsidP="005F71FF">
      <w:pPr>
        <w:ind w:firstLine="708"/>
        <w:jc w:val="both"/>
        <w:rPr>
          <w:rFonts w:ascii="Times New Roman" w:hAnsi="Times New Roman" w:cs="Times New Roman"/>
          <w:sz w:val="24"/>
          <w:szCs w:val="24"/>
        </w:rPr>
      </w:pPr>
      <w:r w:rsidRPr="005F71FF">
        <w:rPr>
          <w:rFonts w:ascii="Times New Roman" w:hAnsi="Times New Roman" w:cs="Times New Roman"/>
          <w:sz w:val="24"/>
          <w:szCs w:val="24"/>
        </w:rPr>
        <w:t xml:space="preserve">Email: </w:t>
      </w:r>
      <w:hyperlink r:id="rId5" w:history="1">
        <w:r w:rsidRPr="005F71FF">
          <w:rPr>
            <w:rFonts w:ascii="Times New Roman" w:hAnsi="Times New Roman" w:cs="Times New Roman"/>
            <w:sz w:val="24"/>
            <w:szCs w:val="24"/>
          </w:rPr>
          <w:t>info@intermepro.com</w:t>
        </w:r>
      </w:hyperlink>
    </w:p>
    <w:p w14:paraId="12A2341C" w14:textId="4DD425B4" w:rsidR="005F71FF" w:rsidRDefault="005F71FF" w:rsidP="005F71FF">
      <w:pPr>
        <w:ind w:firstLine="708"/>
        <w:jc w:val="both"/>
        <w:rPr>
          <w:rFonts w:ascii="Times New Roman" w:hAnsi="Times New Roman" w:cs="Times New Roman"/>
          <w:sz w:val="24"/>
          <w:szCs w:val="24"/>
        </w:rPr>
      </w:pPr>
      <w:r>
        <w:rPr>
          <w:rFonts w:ascii="Times New Roman" w:hAnsi="Times New Roman" w:cs="Times New Roman"/>
          <w:sz w:val="24"/>
          <w:szCs w:val="24"/>
        </w:rPr>
        <w:t xml:space="preserve">14.1.2. </w:t>
      </w:r>
      <w:r w:rsidRPr="005F71FF">
        <w:rPr>
          <w:rFonts w:ascii="Times New Roman" w:hAnsi="Times New Roman" w:cs="Times New Roman"/>
          <w:b/>
          <w:bCs/>
          <w:sz w:val="24"/>
          <w:szCs w:val="24"/>
          <w:highlight w:val="yellow"/>
        </w:rPr>
        <w:t>SOLARISX</w:t>
      </w:r>
      <w:r>
        <w:rPr>
          <w:rFonts w:ascii="Times New Roman" w:hAnsi="Times New Roman" w:cs="Times New Roman"/>
          <w:sz w:val="24"/>
          <w:szCs w:val="24"/>
        </w:rPr>
        <w:t>:</w:t>
      </w:r>
    </w:p>
    <w:p w14:paraId="4560ACE0" w14:textId="77777777" w:rsidR="005F71FF" w:rsidRDefault="005F71FF" w:rsidP="005F71FF">
      <w:pPr>
        <w:ind w:firstLine="708"/>
        <w:jc w:val="both"/>
        <w:rPr>
          <w:rFonts w:ascii="Times New Roman" w:hAnsi="Times New Roman" w:cs="Times New Roman"/>
          <w:sz w:val="24"/>
          <w:szCs w:val="24"/>
        </w:rPr>
      </w:pPr>
      <w:r w:rsidRPr="005F71FF">
        <w:rPr>
          <w:rFonts w:ascii="Times New Roman" w:hAnsi="Times New Roman" w:cs="Times New Roman"/>
          <w:sz w:val="24"/>
          <w:szCs w:val="24"/>
        </w:rPr>
        <w:t>Registered address: Buenos Aires, ArgentinaX</w:t>
      </w:r>
      <w:r w:rsidRPr="005F71FF">
        <w:rPr>
          <w:rFonts w:ascii="Times New Roman" w:hAnsi="Times New Roman" w:cs="Times New Roman"/>
          <w:sz w:val="24"/>
          <w:szCs w:val="24"/>
          <w:highlight w:val="yellow"/>
        </w:rPr>
      </w:r>
    </w:p>
    <w:p w14:paraId="73B5C35A" w14:textId="28D4D994" w:rsidR="005F71FF" w:rsidRPr="005F71FF" w:rsidRDefault="005F71FF" w:rsidP="005F71FF">
      <w:pPr>
        <w:ind w:firstLine="708"/>
        <w:jc w:val="both"/>
        <w:rPr>
          <w:rFonts w:ascii="Times New Roman" w:hAnsi="Times New Roman" w:cs="Times New Roman"/>
          <w:sz w:val="24"/>
          <w:szCs w:val="24"/>
        </w:rPr>
      </w:pPr>
      <w:r w:rsidRPr="005F71FF">
        <w:rPr>
          <w:rFonts w:ascii="Times New Roman" w:hAnsi="Times New Roman" w:cs="Times New Roman"/>
          <w:sz w:val="24"/>
          <w:szCs w:val="24"/>
        </w:rPr>
        <w:t>Email: ruben@solaris-argentina.comX</w:t>
      </w:r>
      <w:r w:rsidRPr="005F71FF">
        <w:rPr>
          <w:rFonts w:ascii="Times New Roman" w:hAnsi="Times New Roman" w:cs="Times New Roman"/>
          <w:sz w:val="24"/>
          <w:szCs w:val="24"/>
          <w:highlight w:val="yellow"/>
        </w:rPr>
      </w:r>
    </w:p>
    <w:p w14:paraId="1F1441D8"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14.2. Communications sent by email shall be deemed validly delivered on the date of transmission, unless an error notice is received.</w:t>
      </w:r>
    </w:p>
    <w:p w14:paraId="05114A8E" w14:textId="2A5008FB"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14.3. Either Party may change its address or email by giving prior written notice to the other Party at least five (5) business days in advance.</w:t>
      </w:r>
    </w:p>
    <w:p w14:paraId="0365E203"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FIFTEENTH – GOVERNING LAW AND DISPUTE RESOLUTION</w:t>
      </w:r>
    </w:p>
    <w:p w14:paraId="769C37F2" w14:textId="5F235D11"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15.1. This Agreement shall be governed by and construed in accordance with the laws of the Argenti</w:t>
      </w:r>
      <w:r>
        <w:rPr>
          <w:rFonts w:ascii="Times New Roman" w:hAnsi="Times New Roman" w:cs="Times New Roman"/>
          <w:sz w:val="24"/>
          <w:szCs w:val="24"/>
        </w:rPr>
        <w:t>na</w:t>
      </w:r>
      <w:r w:rsidRPr="005F71FF">
        <w:rPr>
          <w:rFonts w:ascii="Times New Roman" w:hAnsi="Times New Roman" w:cs="Times New Roman"/>
          <w:sz w:val="24"/>
          <w:szCs w:val="24"/>
        </w:rPr>
        <w:t>.</w:t>
      </w:r>
    </w:p>
    <w:p w14:paraId="621B3B38"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15.2. Any dispute, controversy or claim arising out of or in connection with this Agreement, including its interpretation, breach or validity, shall first be resolved through good faith negotiations between the Parties within a period of thirty (30) days from the first written notice informing the dispute.</w:t>
      </w:r>
    </w:p>
    <w:p w14:paraId="41E99EFC" w14:textId="22CE005C"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15.3. If the dispute cannot be resolved within such thirty (30) day period, either Party may submit the matter to the competent courts of the City of Buenos Aires,</w:t>
      </w:r>
      <w:r>
        <w:rPr>
          <w:rFonts w:ascii="Times New Roman" w:hAnsi="Times New Roman" w:cs="Times New Roman"/>
          <w:sz w:val="24"/>
          <w:szCs w:val="24"/>
        </w:rPr>
        <w:t xml:space="preserve"> Argentina,</w:t>
      </w:r>
      <w:r w:rsidRPr="005F71FF">
        <w:rPr>
          <w:rFonts w:ascii="Times New Roman" w:hAnsi="Times New Roman" w:cs="Times New Roman"/>
          <w:sz w:val="24"/>
          <w:szCs w:val="24"/>
        </w:rPr>
        <w:t xml:space="preserve"> expressly waiving any other jurisdiction that may apply.</w:t>
      </w:r>
    </w:p>
    <w:p w14:paraId="3A850689"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SIXTEENTH – MISCELLANEOUS</w:t>
      </w:r>
    </w:p>
    <w:p w14:paraId="1C587935"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16.1. This Agreement constitutes the entire agreement between the Parties regarding the subject matter hereof and supersedes any prior agreement or understanding.</w:t>
      </w:r>
    </w:p>
    <w:p w14:paraId="092EAC04"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16.2. Any modification of this Agreement must be made in writing and signed by both Parties.</w:t>
      </w:r>
    </w:p>
    <w:p w14:paraId="5E89CD0C"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16.3. The invalidity of any provision of this Agreement shall not affect the remaining provisions, which shall remain in full force and effect.</w:t>
      </w:r>
    </w:p>
    <w:p w14:paraId="678C3D05"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16.4. The obligations relating to confidentiality, non-use, intellectual property, non-circumvention and dispute resolution shall survive the termination or expiration of this Agreement for the periods established herein.</w:t>
      </w:r>
    </w:p>
    <w:p w14:paraId="0A0DC5BB"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16.5. Neither Party may assign or transfer, in whole or in part, the rights or obligations arising from this Agreement without the prior written consent of the other Party, except in favor of affiliated companies or within the framework of a corporate reorganization.</w:t>
      </w:r>
    </w:p>
    <w:p w14:paraId="0FF7604D" w14:textId="4C5330F5"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16.6. The failure or delay of either Party in exercising any right, power or remedy provided in this Agreement shall not be construed as a waiver thereof nor prevent its subsequent exercise.</w:t>
      </w:r>
    </w:p>
    <w:p w14:paraId="20362132" w14:textId="58092DAA"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IN WITNESS WHEREOF, the Parties execute two (2) counterparts of the same tenor and effect in the City of Buenos Aires</w:t>
      </w:r>
      <w:r>
        <w:rPr>
          <w:rFonts w:ascii="Times New Roman" w:hAnsi="Times New Roman" w:cs="Times New Roman"/>
          <w:sz w:val="24"/>
          <w:szCs w:val="24"/>
        </w:rPr>
        <w:t>, Argentina,</w:t>
      </w:r>
      <w:r w:rsidRPr="005F71FF">
        <w:rPr>
          <w:rFonts w:ascii="Times New Roman" w:hAnsi="Times New Roman" w:cs="Times New Roman"/>
          <w:sz w:val="24"/>
          <w:szCs w:val="24"/>
        </w:rPr>
        <w:t xml:space="preserve"> on the Effective Date.</w:t>
      </w:r>
    </w:p>
    <w:tbl>
      <w:tblPr>
        <w:tblW w:w="97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962"/>
        <w:gridCol w:w="4770"/>
      </w:tblGrid>
      <w:tr w:rsidR="005F71FF" w:rsidRPr="00771311" w14:paraId="4A1580CF" w14:textId="77777777" w:rsidTr="007773C0">
        <w:trPr>
          <w:trHeight w:val="275"/>
        </w:trPr>
        <w:tc>
          <w:tcPr>
            <w:tcW w:w="4962" w:type="dxa"/>
          </w:tcPr>
          <w:p w14:paraId="0010E45D"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bookmarkStart w:id="0" w:name="_Hlk214016606"/>
            <w:r w:rsidRPr="00B918E4">
              <w:rPr>
                <w:rFonts w:ascii="Times New Roman" w:eastAsia="Times New Roman" w:hAnsi="Times New Roman" w:cs="Times New Roman"/>
                <w:b/>
                <w:bCs/>
                <w:sz w:val="24"/>
                <w:szCs w:val="24"/>
              </w:rPr>
              <w:t>INTERMEPRO S.A.</w:t>
            </w:r>
            <w:r>
              <w:rPr>
                <w:rFonts w:ascii="Times New Roman" w:eastAsia="Times New Roman" w:hAnsi="Times New Roman" w:cs="Times New Roman"/>
                <w:b/>
                <w:bCs/>
                <w:sz w:val="24"/>
                <w:szCs w:val="24"/>
              </w:rPr>
              <w:t>:</w:t>
            </w:r>
          </w:p>
        </w:tc>
        <w:tc>
          <w:tcPr>
            <w:tcW w:w="4770" w:type="dxa"/>
          </w:tcPr>
          <w:p w14:paraId="231565A8" w14:textId="77777777" w:rsidR="005F71FF" w:rsidRDefault="005F71FF" w:rsidP="007773C0">
            <w:pPr>
              <w:spacing w:after="200" w:line="276" w:lineRule="auto"/>
              <w:jc w:val="both"/>
              <w:rPr>
                <w:rFonts w:ascii="Times New Roman" w:eastAsia="Times New Roman" w:hAnsi="Times New Roman" w:cs="Times New Roman"/>
                <w:b/>
                <w:bCs/>
                <w:sz w:val="24"/>
                <w:szCs w:val="24"/>
              </w:rPr>
            </w:pPr>
            <w:r w:rsidRPr="00E17F3E">
              <w:rPr>
                <w:rFonts w:ascii="Times New Roman" w:eastAsia="Times New Roman" w:hAnsi="Times New Roman" w:cs="Times New Roman"/>
                <w:b/>
                <w:bCs/>
                <w:sz w:val="24"/>
                <w:szCs w:val="24"/>
                <w:highlight w:val="yellow"/>
              </w:rPr>
              <w:t>XXXXXXX</w:t>
            </w:r>
            <w:r w:rsidRPr="008D4C71">
              <w:rPr>
                <w:rFonts w:ascii="Times New Roman" w:eastAsia="Times New Roman" w:hAnsi="Times New Roman" w:cs="Times New Roman"/>
                <w:b/>
                <w:bCs/>
                <w:sz w:val="24"/>
                <w:szCs w:val="24"/>
              </w:rPr>
              <w:t>:</w:t>
            </w:r>
          </w:p>
          <w:p w14:paraId="06E99569"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p>
        </w:tc>
      </w:tr>
      <w:tr w:rsidR="005F71FF" w:rsidRPr="00771311" w14:paraId="10BC2BED" w14:textId="77777777" w:rsidTr="007773C0">
        <w:tc>
          <w:tcPr>
            <w:tcW w:w="4962" w:type="dxa"/>
          </w:tcPr>
          <w:p w14:paraId="35FB70B9"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p>
        </w:tc>
        <w:tc>
          <w:tcPr>
            <w:tcW w:w="4770" w:type="dxa"/>
          </w:tcPr>
          <w:p w14:paraId="0A2035CA"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p>
        </w:tc>
      </w:tr>
      <w:tr w:rsidR="005F71FF" w:rsidRPr="00B918E4" w14:paraId="51EFF72F" w14:textId="77777777" w:rsidTr="007773C0">
        <w:tc>
          <w:tcPr>
            <w:tcW w:w="4962" w:type="dxa"/>
          </w:tcPr>
          <w:p w14:paraId="1DEDD6A7"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r w:rsidRPr="00B918E4">
              <w:rPr>
                <w:rFonts w:ascii="Times New Roman" w:eastAsia="Times New Roman" w:hAnsi="Times New Roman" w:cs="Times New Roman"/>
                <w:sz w:val="24"/>
                <w:szCs w:val="24"/>
              </w:rPr>
              <w:t>______________________________</w:t>
            </w:r>
          </w:p>
        </w:tc>
        <w:tc>
          <w:tcPr>
            <w:tcW w:w="4770" w:type="dxa"/>
          </w:tcPr>
          <w:p w14:paraId="485076F2"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r w:rsidRPr="00B918E4">
              <w:rPr>
                <w:rFonts w:ascii="Times New Roman" w:eastAsia="Times New Roman" w:hAnsi="Times New Roman" w:cs="Times New Roman"/>
                <w:sz w:val="24"/>
                <w:szCs w:val="24"/>
              </w:rPr>
              <w:t>______________________________</w:t>
            </w:r>
          </w:p>
        </w:tc>
      </w:tr>
      <w:tr w:rsidR="005F71FF" w:rsidRPr="00771311" w14:paraId="2F6FD201" w14:textId="77777777" w:rsidTr="007773C0">
        <w:tc>
          <w:tcPr>
            <w:tcW w:w="4962" w:type="dxa"/>
          </w:tcPr>
          <w:p w14:paraId="7DEA94AC"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Pr="00B918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Adrián Gustavo Kolonski</w:t>
            </w:r>
          </w:p>
        </w:tc>
        <w:tc>
          <w:tcPr>
            <w:tcW w:w="4770" w:type="dxa"/>
          </w:tcPr>
          <w:p w14:paraId="2B567915"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Pr="00B918E4">
              <w:rPr>
                <w:rFonts w:ascii="Times New Roman" w:eastAsia="Times New Roman" w:hAnsi="Times New Roman" w:cs="Times New Roman"/>
                <w:sz w:val="24"/>
                <w:szCs w:val="24"/>
              </w:rPr>
              <w:t xml:space="preserve">: </w:t>
            </w:r>
            <w:r w:rsidRPr="00E17F3E">
              <w:rPr>
                <w:rFonts w:ascii="Times New Roman" w:eastAsia="Times New Roman" w:hAnsi="Times New Roman" w:cs="Times New Roman"/>
                <w:sz w:val="24"/>
                <w:szCs w:val="24"/>
                <w:highlight w:val="yellow"/>
              </w:rPr>
              <w:t>XXXXXX</w:t>
            </w:r>
          </w:p>
        </w:tc>
      </w:tr>
      <w:tr w:rsidR="005F71FF" w:rsidRPr="00B918E4" w14:paraId="6C22A4BE" w14:textId="77777777" w:rsidTr="007773C0">
        <w:tc>
          <w:tcPr>
            <w:tcW w:w="4962" w:type="dxa"/>
          </w:tcPr>
          <w:p w14:paraId="6FD82CC1" w14:textId="49AE32FC" w:rsidR="005F71FF" w:rsidRPr="00B918E4" w:rsidRDefault="001C763D"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r w:rsidR="005F71FF" w:rsidRPr="00B918E4">
              <w:rPr>
                <w:rFonts w:ascii="Times New Roman" w:eastAsia="Times New Roman" w:hAnsi="Times New Roman" w:cs="Times New Roman"/>
                <w:sz w:val="24"/>
                <w:szCs w:val="24"/>
              </w:rPr>
              <w:t xml:space="preserve">: </w:t>
            </w:r>
            <w:r w:rsidR="005F71FF">
              <w:rPr>
                <w:rFonts w:ascii="Times New Roman" w:eastAsia="Times New Roman" w:hAnsi="Times New Roman" w:cs="Times New Roman"/>
                <w:sz w:val="24"/>
                <w:szCs w:val="24"/>
              </w:rPr>
              <w:t>President</w:t>
            </w:r>
          </w:p>
        </w:tc>
        <w:tc>
          <w:tcPr>
            <w:tcW w:w="4770" w:type="dxa"/>
          </w:tcPr>
          <w:p w14:paraId="5339D163" w14:textId="07451F66" w:rsidR="005F71FF" w:rsidRPr="00B918E4" w:rsidRDefault="001C763D"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r w:rsidR="005F71FF" w:rsidRPr="00B918E4">
              <w:rPr>
                <w:rFonts w:ascii="Times New Roman" w:eastAsia="Times New Roman" w:hAnsi="Times New Roman" w:cs="Times New Roman"/>
                <w:sz w:val="24"/>
                <w:szCs w:val="24"/>
              </w:rPr>
              <w:t xml:space="preserve">: </w:t>
            </w:r>
            <w:r w:rsidR="005F71FF" w:rsidRPr="00E17F3E">
              <w:rPr>
                <w:rFonts w:ascii="Times New Roman" w:eastAsia="Times New Roman" w:hAnsi="Times New Roman" w:cs="Times New Roman"/>
                <w:sz w:val="24"/>
                <w:szCs w:val="24"/>
                <w:highlight w:val="yellow"/>
              </w:rPr>
              <w:t>XXXXXX</w:t>
            </w:r>
          </w:p>
        </w:tc>
      </w:tr>
      <w:bookmarkEnd w:id="0"/>
    </w:tbl>
    <w:p w14:paraId="12E1E23F" w14:textId="77777777" w:rsidR="0048109C" w:rsidRPr="005F71FF" w:rsidRDefault="0048109C" w:rsidP="005F71FF">
      <w:pPr>
        <w:jc w:val="both"/>
        <w:rPr>
          <w:rFonts w:ascii="Times New Roman" w:hAnsi="Times New Roman" w:cs="Times New Roman"/>
          <w:sz w:val="24"/>
          <w:szCs w:val="24"/>
        </w:rPr>
      </w:pPr>
    </w:p>
    <w:sectPr w:rsidR="0048109C" w:rsidRPr="005F71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E3D89"/>
    <w:multiLevelType w:val="hybridMultilevel"/>
    <w:tmpl w:val="10F25924"/>
    <w:lvl w:ilvl="0" w:tplc="17208000">
      <w:start w:val="1"/>
      <w:numFmt w:val="lowerRoman"/>
      <w:lvlText w:val="(%1)"/>
      <w:lvlJc w:val="left"/>
      <w:pPr>
        <w:ind w:left="1080" w:hanging="72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031224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FF"/>
    <w:rsid w:val="00044A0F"/>
    <w:rsid w:val="001C763D"/>
    <w:rsid w:val="00436C37"/>
    <w:rsid w:val="0048109C"/>
    <w:rsid w:val="004A6E9E"/>
    <w:rsid w:val="005F71FF"/>
    <w:rsid w:val="00F24C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6EC90"/>
  <w15:chartTrackingRefBased/>
  <w15:docId w15:val="{E1682543-8BAC-4CD7-B3B2-4007D06A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7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7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71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71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71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71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71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71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71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71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71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71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71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71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71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71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71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71FF"/>
    <w:rPr>
      <w:rFonts w:eastAsiaTheme="majorEastAsia" w:cstheme="majorBidi"/>
      <w:color w:val="272727" w:themeColor="text1" w:themeTint="D8"/>
    </w:rPr>
  </w:style>
  <w:style w:type="paragraph" w:styleId="Ttulo">
    <w:name w:val="Title"/>
    <w:basedOn w:val="Normal"/>
    <w:next w:val="Normal"/>
    <w:link w:val="TtuloCar"/>
    <w:uiPriority w:val="10"/>
    <w:qFormat/>
    <w:rsid w:val="005F7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1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1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1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71FF"/>
    <w:pPr>
      <w:spacing w:before="160"/>
      <w:jc w:val="center"/>
    </w:pPr>
    <w:rPr>
      <w:i/>
      <w:iCs/>
      <w:color w:val="404040" w:themeColor="text1" w:themeTint="BF"/>
    </w:rPr>
  </w:style>
  <w:style w:type="character" w:customStyle="1" w:styleId="CitaCar">
    <w:name w:val="Cita Car"/>
    <w:basedOn w:val="Fuentedeprrafopredeter"/>
    <w:link w:val="Cita"/>
    <w:uiPriority w:val="29"/>
    <w:rsid w:val="005F71FF"/>
    <w:rPr>
      <w:i/>
      <w:iCs/>
      <w:color w:val="404040" w:themeColor="text1" w:themeTint="BF"/>
    </w:rPr>
  </w:style>
  <w:style w:type="paragraph" w:styleId="Prrafodelista">
    <w:name w:val="List Paragraph"/>
    <w:basedOn w:val="Normal"/>
    <w:uiPriority w:val="34"/>
    <w:qFormat/>
    <w:rsid w:val="005F71FF"/>
    <w:pPr>
      <w:ind w:left="720"/>
      <w:contextualSpacing/>
    </w:pPr>
  </w:style>
  <w:style w:type="character" w:styleId="nfasisintenso">
    <w:name w:val="Intense Emphasis"/>
    <w:basedOn w:val="Fuentedeprrafopredeter"/>
    <w:uiPriority w:val="21"/>
    <w:qFormat/>
    <w:rsid w:val="005F71FF"/>
    <w:rPr>
      <w:i/>
      <w:iCs/>
      <w:color w:val="0F4761" w:themeColor="accent1" w:themeShade="BF"/>
    </w:rPr>
  </w:style>
  <w:style w:type="paragraph" w:styleId="Citadestacada">
    <w:name w:val="Intense Quote"/>
    <w:basedOn w:val="Normal"/>
    <w:next w:val="Normal"/>
    <w:link w:val="CitadestacadaCar"/>
    <w:uiPriority w:val="30"/>
    <w:qFormat/>
    <w:rsid w:val="005F7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71FF"/>
    <w:rPr>
      <w:i/>
      <w:iCs/>
      <w:color w:val="0F4761" w:themeColor="accent1" w:themeShade="BF"/>
    </w:rPr>
  </w:style>
  <w:style w:type="character" w:styleId="Referenciaintensa">
    <w:name w:val="Intense Reference"/>
    <w:basedOn w:val="Fuentedeprrafopredeter"/>
    <w:uiPriority w:val="32"/>
    <w:qFormat/>
    <w:rsid w:val="005F71FF"/>
    <w:rPr>
      <w:b/>
      <w:bCs/>
      <w:smallCaps/>
      <w:color w:val="0F4761" w:themeColor="accent1" w:themeShade="BF"/>
      <w:spacing w:val="5"/>
    </w:rPr>
  </w:style>
  <w:style w:type="character" w:styleId="Hipervnculo">
    <w:name w:val="Hyperlink"/>
    <w:basedOn w:val="Fuentedeprrafopredeter"/>
    <w:uiPriority w:val="99"/>
    <w:unhideWhenUsed/>
    <w:rsid w:val="005F71FF"/>
    <w:rPr>
      <w:color w:val="467886" w:themeColor="hyperlink"/>
      <w:u w:val="single"/>
    </w:rPr>
  </w:style>
  <w:style w:type="character" w:styleId="Mencinsinresolver">
    <w:name w:val="Unresolved Mention"/>
    <w:basedOn w:val="Fuentedeprrafopredeter"/>
    <w:uiPriority w:val="99"/>
    <w:semiHidden/>
    <w:unhideWhenUsed/>
    <w:rsid w:val="005F7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intermepr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1629</Words>
  <Characters>8960</Characters>
  <Application>Microsoft Office Word</Application>
  <DocSecurity>0</DocSecurity>
  <Lines>74</Lines>
  <Paragraphs>21</Paragraphs>
  <ScaleCrop>false</ScaleCrop>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Sotz</dc:creator>
  <cp:keywords/>
  <dc:description/>
  <cp:lastModifiedBy>Catalina Sotz</cp:lastModifiedBy>
  <cp:revision>2</cp:revision>
  <dcterms:created xsi:type="dcterms:W3CDTF">2026-03-10T16:06:00Z</dcterms:created>
  <dcterms:modified xsi:type="dcterms:W3CDTF">2026-03-10T16:17:00Z</dcterms:modified>
</cp:coreProperties>
</file>