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800"/>
        <w:jc w:val="center"/>
      </w:pPr>
      <w:r>
        <w:rPr>
          <w:rFonts w:ascii="Times New Roman" w:cs="Times New Roman" w:eastAsia="Times New Roman" w:hAnsi="Times New Roman"/>
          <w:b w:val="false"/>
          <w:bCs w:val="false"/>
          <w:sz w:val="24"/>
          <w:szCs w:val="24"/>
        </w:rPr>
        <w:t xml:space="preserve"/>
      </w:r>
    </w:p>
    <w:p>
      <w:pPr>
        <w:spacing w:after="400"/>
        <w:jc w:val="center"/>
      </w:pPr>
      <w:r>
        <w:rPr>
          <w:rFonts w:ascii="Times New Roman" w:cs="Times New Roman" w:eastAsia="Times New Roman" w:hAnsi="Times New Roman"/>
          <w:b/>
          <w:bCs/>
          <w:sz w:val="32"/>
          <w:szCs w:val="32"/>
        </w:rPr>
        <w:t xml:space="preserve">PROJECT REPORT</w:t>
      </w:r>
    </w:p>
    <w:p>
      <w:pPr>
        <w:spacing w:after="300"/>
        <w:jc w:val="center"/>
      </w:pPr>
      <w:r>
        <w:rPr>
          <w:rFonts w:ascii="Times New Roman" w:cs="Times New Roman" w:eastAsia="Times New Roman" w:hAnsi="Times New Roman"/>
          <w:b/>
          <w:bCs/>
          <w:sz w:val="44"/>
          <w:szCs w:val="44"/>
        </w:rPr>
        <w:t xml:space="preserve">Threat Intelligence Aggregator</w:t>
      </w:r>
    </w:p>
    <w:p>
      <w:pPr>
        <w:spacing w:after="1200"/>
        <w:jc w:val="center"/>
      </w:pPr>
      <w:r>
        <w:rPr>
          <w:rFonts w:ascii="Times New Roman" w:cs="Times New Roman" w:eastAsia="Times New Roman" w:hAnsi="Times New Roman"/>
          <w:b w:val="false"/>
          <w:bCs w:val="false"/>
          <w:sz w:val="26"/>
          <w:szCs w:val="26"/>
        </w:rPr>
        <w:t xml:space="preserve">A Python tool that pulls IoC data from VirusTotal and AlienVault OTX</w:t>
      </w:r>
    </w:p>
    <w:p>
      <w:pPr>
        <w:spacing w:after="100"/>
        <w:jc w:val="center"/>
      </w:pPr>
      <w:r>
        <w:rPr>
          <w:rFonts w:ascii="Times New Roman" w:cs="Times New Roman" w:eastAsia="Times New Roman" w:hAnsi="Times New Roman"/>
          <w:b w:val="false"/>
          <w:bCs w:val="false"/>
          <w:sz w:val="24"/>
          <w:szCs w:val="24"/>
        </w:rPr>
        <w:t xml:space="preserve">Submitted by</w:t>
      </w:r>
    </w:p>
    <w:p>
      <w:pPr>
        <w:spacing w:after="100"/>
        <w:jc w:val="center"/>
      </w:pPr>
      <w:r>
        <w:rPr>
          <w:rFonts w:ascii="Times New Roman" w:cs="Times New Roman" w:eastAsia="Times New Roman" w:hAnsi="Times New Roman"/>
          <w:b/>
          <w:bCs/>
          <w:sz w:val="30"/>
          <w:szCs w:val="30"/>
        </w:rPr>
        <w:t xml:space="preserve">Kanika Salhotra</w:t>
      </w:r>
    </w:p>
    <w:p>
      <w:pPr>
        <w:spacing w:after="100"/>
        <w:jc w:val="center"/>
      </w:pPr>
      <w:r>
        <w:rPr>
          <w:rFonts w:ascii="Times New Roman" w:cs="Times New Roman" w:eastAsia="Times New Roman" w:hAnsi="Times New Roman"/>
          <w:b w:val="false"/>
          <w:bCs w:val="false"/>
          <w:sz w:val="24"/>
          <w:szCs w:val="24"/>
        </w:rPr>
        <w:t xml:space="preserve">B.Tech Computer Engineering</w:t>
      </w:r>
    </w:p>
    <w:p>
      <w:pPr>
        <w:spacing w:after="100"/>
        <w:jc w:val="center"/>
      </w:pPr>
      <w:r>
        <w:rPr>
          <w:rFonts w:ascii="Times New Roman" w:cs="Times New Roman" w:eastAsia="Times New Roman" w:hAnsi="Times New Roman"/>
          <w:b w:val="false"/>
          <w:bCs w:val="false"/>
          <w:sz w:val="24"/>
          <w:szCs w:val="24"/>
        </w:rPr>
        <w:t xml:space="preserve">Date: 27 October 2026</w:t>
      </w:r>
    </w:p>
    <w:p>
      <w:r>
        <w:br w:type="page"/>
      </w:r>
    </w:p>
    <w:p>
      <w:pPr>
        <w:pStyle w:val="Heading1"/>
      </w:pPr>
      <w:r>
        <w:rPr>
          <w:rFonts w:ascii="Times New Roman" w:cs="Times New Roman" w:eastAsia="Times New Roman" w:hAnsi="Times New Roman"/>
        </w:rPr>
        <w:t xml:space="preserve">1. Abstract</w:t>
      </w:r>
    </w:p>
    <w:p>
      <w:pPr>
        <w:spacing w:after="120" w:line="320"/>
        <w:jc w:val="both"/>
      </w:pPr>
      <w:r>
        <w:rPr>
          <w:rFonts w:ascii="Times New Roman" w:cs="Times New Roman" w:eastAsia="Times New Roman" w:hAnsi="Times New Roman"/>
          <w:sz w:val="24"/>
          <w:szCs w:val="24"/>
        </w:rPr>
        <w:t xml:space="preserve">Security teams receive a constant flow of suspicious IP addresses, domains, URLs and file hashes, known as Indicators of Compromise (IoCs). Checking each of them manually on several threat intelligence websites is slow and error-prone. This project presents the Threat Intelligence Aggregator, a Python command-line tool that takes one or many IoCs, queries the VirusTotal and AlienVault OTX APIs, combines the answers into a single summary, assigns a simple risk level (LOW, MEDIUM or HIGH) and exports the results to a CSV report. The tool is written for beginners to read and extend, uses only one external library (requests), and keeps API keys outside the source code.</w:t>
      </w:r>
    </w:p>
    <w:p>
      <w:pPr>
        <w:pStyle w:val="Heading1"/>
      </w:pPr>
      <w:r>
        <w:rPr>
          <w:rFonts w:ascii="Times New Roman" w:cs="Times New Roman" w:eastAsia="Times New Roman" w:hAnsi="Times New Roman"/>
        </w:rPr>
        <w:t xml:space="preserve">2. Introduction</w:t>
      </w:r>
    </w:p>
    <w:p>
      <w:pPr>
        <w:pStyle w:val="Heading2"/>
      </w:pPr>
      <w:r>
        <w:rPr>
          <w:rFonts w:ascii="Times New Roman" w:cs="Times New Roman" w:eastAsia="Times New Roman" w:hAnsi="Times New Roman"/>
        </w:rPr>
        <w:t xml:space="preserve">2.1 What is an IoC?</w:t>
      </w:r>
    </w:p>
    <w:p>
      <w:pPr>
        <w:spacing w:after="120" w:line="320"/>
        <w:jc w:val="both"/>
      </w:pPr>
      <w:r>
        <w:rPr>
          <w:rFonts w:ascii="Times New Roman" w:cs="Times New Roman" w:eastAsia="Times New Roman" w:hAnsi="Times New Roman"/>
          <w:sz w:val="24"/>
          <w:szCs w:val="24"/>
        </w:rPr>
        <w:t xml:space="preserve">An Indicator of Compromise is a piece of evidence that a system may be under attack or already compromised. Common types are IP addresses, domain names, URLs and file hashes. A file hash (MD5, SHA-1 or SHA-256) is a unique fingerprint of a file, so a known-malicious hash identifies a known-malicious file.</w:t>
      </w:r>
    </w:p>
    <w:p>
      <w:pPr>
        <w:pStyle w:val="Heading2"/>
      </w:pPr>
      <w:r>
        <w:rPr>
          <w:rFonts w:ascii="Times New Roman" w:cs="Times New Roman" w:eastAsia="Times New Roman" w:hAnsi="Times New Roman"/>
        </w:rPr>
        <w:t xml:space="preserve">2.2 What is threat intelligence?</w:t>
      </w:r>
    </w:p>
    <w:p>
      <w:pPr>
        <w:spacing w:after="120" w:line="320"/>
        <w:jc w:val="both"/>
      </w:pPr>
      <w:r>
        <w:rPr>
          <w:rFonts w:ascii="Times New Roman" w:cs="Times New Roman" w:eastAsia="Times New Roman" w:hAnsi="Times New Roman"/>
          <w:sz w:val="24"/>
          <w:szCs w:val="24"/>
        </w:rPr>
        <w:t xml:space="preserve">Threat intelligence is organised information about known threats, such as which IPs are used by botnets or which files are known malware. Security teams use it to decide what to block or investigate. VirusTotal and AlienVault Open Threat Exchange (OTX) are two widely used free sources.</w:t>
      </w:r>
    </w:p>
    <w:p>
      <w:pPr>
        <w:pStyle w:val="Heading2"/>
      </w:pPr>
      <w:r>
        <w:rPr>
          <w:rFonts w:ascii="Times New Roman" w:cs="Times New Roman" w:eastAsia="Times New Roman" w:hAnsi="Times New Roman"/>
        </w:rPr>
        <w:t xml:space="preserve">2.3 What is an aggregator?</w:t>
      </w:r>
    </w:p>
    <w:p>
      <w:pPr>
        <w:spacing w:after="120" w:line="320"/>
        <w:jc w:val="both"/>
      </w:pPr>
      <w:r>
        <w:rPr>
          <w:rFonts w:ascii="Times New Roman" w:cs="Times New Roman" w:eastAsia="Times New Roman" w:hAnsi="Times New Roman"/>
          <w:sz w:val="24"/>
          <w:szCs w:val="24"/>
        </w:rPr>
        <w:t xml:space="preserve">An aggregator collects data from several sources and presents it in one place. The tool in this project does not detect threats itself; it gathers what existing sources already know and presents it with one combined verdict.</w:t>
      </w:r>
    </w:p>
    <w:p>
      <w:pPr>
        <w:pStyle w:val="Heading1"/>
      </w:pPr>
      <w:r>
        <w:rPr>
          <w:rFonts w:ascii="Times New Roman" w:cs="Times New Roman" w:eastAsia="Times New Roman" w:hAnsi="Times New Roman"/>
        </w:rPr>
        <w:t xml:space="preserve">3. Problem Statement</w:t>
      </w:r>
    </w:p>
    <w:p>
      <w:pPr>
        <w:spacing w:after="120" w:line="320"/>
        <w:jc w:val="both"/>
      </w:pPr>
      <w:r>
        <w:rPr>
          <w:rFonts w:ascii="Times New Roman" w:cs="Times New Roman" w:eastAsia="Times New Roman" w:hAnsi="Times New Roman"/>
          <w:sz w:val="24"/>
          <w:szCs w:val="24"/>
        </w:rPr>
        <w:t xml:space="preserve">Analysts must check suspicious items against multiple intelligence sources. Doing so by hand means opening each website, searching each item and comparing the pages manually. For a list of dozens of IoCs this takes a long time. The problem addressed here is to automate these lookups and present one clear result per IoC.</w:t>
      </w:r>
    </w:p>
    <w:p>
      <w:pPr>
        <w:pStyle w:val="Heading1"/>
      </w:pPr>
      <w:r>
        <w:rPr>
          <w:rFonts w:ascii="Times New Roman" w:cs="Times New Roman" w:eastAsia="Times New Roman" w:hAnsi="Times New Roman"/>
        </w:rPr>
        <w:t xml:space="preserve">4. Objectives</w:t>
      </w:r>
    </w:p>
    <w:p>
      <w:pPr>
        <w:pStyle w:val="ListParagraph"/>
        <w:numPr>
          <w:ilvl w:val="0"/>
          <w:numId w:val="2"/>
        </w:numPr>
        <w:spacing w:after="80" w:line="300"/>
      </w:pPr>
      <w:r>
        <w:rPr>
          <w:rFonts w:ascii="Times New Roman" w:cs="Times New Roman" w:eastAsia="Times New Roman" w:hAnsi="Times New Roman"/>
          <w:sz w:val="24"/>
          <w:szCs w:val="24"/>
        </w:rPr>
        <w:t xml:space="preserve">Accept IPs, domains, URLs and file hashes as input, singly or from a text file.</w:t>
      </w:r>
    </w:p>
    <w:p>
      <w:pPr>
        <w:pStyle w:val="ListParagraph"/>
        <w:numPr>
          <w:ilvl w:val="0"/>
          <w:numId w:val="2"/>
        </w:numPr>
        <w:spacing w:after="80" w:line="300"/>
      </w:pPr>
      <w:r>
        <w:rPr>
          <w:rFonts w:ascii="Times New Roman" w:cs="Times New Roman" w:eastAsia="Times New Roman" w:hAnsi="Times New Roman"/>
          <w:sz w:val="24"/>
          <w:szCs w:val="24"/>
        </w:rPr>
        <w:t xml:space="preserve">Identify the type of each IoC automatically.</w:t>
      </w:r>
    </w:p>
    <w:p>
      <w:pPr>
        <w:pStyle w:val="ListParagraph"/>
        <w:numPr>
          <w:ilvl w:val="0"/>
          <w:numId w:val="2"/>
        </w:numPr>
        <w:spacing w:after="80" w:line="300"/>
      </w:pPr>
      <w:r>
        <w:rPr>
          <w:rFonts w:ascii="Times New Roman" w:cs="Times New Roman" w:eastAsia="Times New Roman" w:hAnsi="Times New Roman"/>
          <w:sz w:val="24"/>
          <w:szCs w:val="24"/>
        </w:rPr>
        <w:t xml:space="preserve">Retrieve reputation data from the VirusTotal API and the AlienVault OTX API.</w:t>
      </w:r>
    </w:p>
    <w:p>
      <w:pPr>
        <w:pStyle w:val="ListParagraph"/>
        <w:numPr>
          <w:ilvl w:val="0"/>
          <w:numId w:val="2"/>
        </w:numPr>
        <w:spacing w:after="80" w:line="300"/>
      </w:pPr>
      <w:r>
        <w:rPr>
          <w:rFonts w:ascii="Times New Roman" w:cs="Times New Roman" w:eastAsia="Times New Roman" w:hAnsi="Times New Roman"/>
          <w:sz w:val="24"/>
          <w:szCs w:val="24"/>
        </w:rPr>
        <w:t xml:space="preserve">Combine both results into one risk score and risk level.</w:t>
      </w:r>
    </w:p>
    <w:p>
      <w:pPr>
        <w:pStyle w:val="ListParagraph"/>
        <w:numPr>
          <w:ilvl w:val="0"/>
          <w:numId w:val="2"/>
        </w:numPr>
        <w:spacing w:after="80" w:line="300"/>
      </w:pPr>
      <w:r>
        <w:rPr>
          <w:rFonts w:ascii="Times New Roman" w:cs="Times New Roman" w:eastAsia="Times New Roman" w:hAnsi="Times New Roman"/>
          <w:sz w:val="24"/>
          <w:szCs w:val="24"/>
        </w:rPr>
        <w:t xml:space="preserve">Export results to a CSV file for reporting.</w:t>
      </w:r>
    </w:p>
    <w:p>
      <w:pPr>
        <w:pStyle w:val="ListParagraph"/>
        <w:numPr>
          <w:ilvl w:val="0"/>
          <w:numId w:val="2"/>
        </w:numPr>
        <w:spacing w:after="80" w:line="300"/>
      </w:pPr>
      <w:r>
        <w:rPr>
          <w:rFonts w:ascii="Times New Roman" w:cs="Times New Roman" w:eastAsia="Times New Roman" w:hAnsi="Times New Roman"/>
          <w:sz w:val="24"/>
          <w:szCs w:val="24"/>
        </w:rPr>
        <w:t xml:space="preserve">Handle errors such as missing keys, rate limits and network failures without crashing.</w:t>
      </w:r>
    </w:p>
    <w:p>
      <w:pPr>
        <w:pStyle w:val="ListParagraph"/>
        <w:numPr>
          <w:ilvl w:val="0"/>
          <w:numId w:val="2"/>
        </w:numPr>
        <w:spacing w:after="80" w:line="300"/>
      </w:pPr>
      <w:r>
        <w:rPr>
          <w:rFonts w:ascii="Times New Roman" w:cs="Times New Roman" w:eastAsia="Times New Roman" w:hAnsi="Times New Roman"/>
          <w:sz w:val="24"/>
          <w:szCs w:val="24"/>
        </w:rPr>
        <w:t xml:space="preserve">Provide a demo mode so the tool can be tried without API keys.</w:t>
      </w:r>
    </w:p>
    <w:p>
      <w:pPr>
        <w:pStyle w:val="Heading1"/>
      </w:pPr>
      <w:r>
        <w:rPr>
          <w:rFonts w:ascii="Times New Roman" w:cs="Times New Roman" w:eastAsia="Times New Roman" w:hAnsi="Times New Roman"/>
        </w:rPr>
        <w:t xml:space="preserve">5. Technologies and Tools Used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rPr>
          <w:tblHeader/>
        </w:trPr>
        <w:tc>
          <w:tcPr>
            <w:tcW w:type="dxa" w:w="2600"/>
            <w:tcBorders>
              <w:top w:val="single" w:color="808080" w:sz="4"/>
              <w:left w:val="single" w:color="808080" w:sz="4"/>
              <w:bottom w:val="single" w:color="808080" w:sz="4"/>
              <w:right w:val="single" w:color="808080" w:sz="4"/>
            </w:tcBorders>
            <w:shd w:fill="D9E2F3" w:val="clear"/>
            <w:tcMar>
              <w:top w:type="dxa" w:w="60"/>
              <w:left w:type="dxa" w:w="100"/>
              <w:bottom w:type="dxa" w:w="60"/>
              <w:right w:type="dxa" w:w="100"/>
            </w:tcMar>
          </w:tcPr>
          <w:p>
            <w:r>
              <w:rPr>
                <w:rFonts w:ascii="Times New Roman" w:cs="Times New Roman" w:eastAsia="Times New Roman" w:hAnsi="Times New Roman"/>
                <w:b/>
                <w:bCs/>
                <w:sz w:val="22"/>
                <w:szCs w:val="22"/>
              </w:rPr>
              <w:t xml:space="preserve">Technology</w:t>
            </w:r>
          </w:p>
        </w:tc>
        <w:tc>
          <w:tcPr>
            <w:tcW w:type="dxa" w:w="6426"/>
            <w:tcBorders>
              <w:top w:val="single" w:color="808080" w:sz="4"/>
              <w:left w:val="single" w:color="808080" w:sz="4"/>
              <w:bottom w:val="single" w:color="808080" w:sz="4"/>
              <w:right w:val="single" w:color="808080" w:sz="4"/>
            </w:tcBorders>
            <w:shd w:fill="D9E2F3" w:val="clear"/>
            <w:tcMar>
              <w:top w:type="dxa" w:w="60"/>
              <w:left w:type="dxa" w:w="100"/>
              <w:bottom w:type="dxa" w:w="60"/>
              <w:right w:type="dxa" w:w="100"/>
            </w:tcMar>
          </w:tcPr>
          <w:p>
            <w:r>
              <w:rPr>
                <w:rFonts w:ascii="Times New Roman" w:cs="Times New Roman" w:eastAsia="Times New Roman" w:hAnsi="Times New Roman"/>
                <w:b/>
                <w:bCs/>
                <w:sz w:val="22"/>
                <w:szCs w:val="22"/>
              </w:rPr>
              <w:t xml:space="preserve">Purpose</w:t>
            </w:r>
          </w:p>
        </w:tc>
      </w:tr>
      <w:tr>
        <w:trPr>
          <w:tblHeader w:val="off"/>
        </w:trPr>
        <w:tc>
          <w:tcPr>
            <w:tcW w:type="dxa" w:w="26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Python 3</w:t>
            </w:r>
          </w:p>
        </w:tc>
        <w:tc>
          <w:tcPr>
            <w:tcW w:type="dxa" w:w="6426"/>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Programming language</w:t>
            </w:r>
          </w:p>
        </w:tc>
      </w:tr>
      <w:tr>
        <w:trPr>
          <w:tblHeader w:val="off"/>
        </w:trPr>
        <w:tc>
          <w:tcPr>
            <w:tcW w:type="dxa" w:w="26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requests</w:t>
            </w:r>
          </w:p>
        </w:tc>
        <w:tc>
          <w:tcPr>
            <w:tcW w:type="dxa" w:w="6426"/>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Sending HTTP requests to the APIs (only external library)</w:t>
            </w:r>
          </w:p>
        </w:tc>
      </w:tr>
      <w:tr>
        <w:trPr>
          <w:tblHeader w:val="off"/>
        </w:trPr>
        <w:tc>
          <w:tcPr>
            <w:tcW w:type="dxa" w:w="26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argparse</w:t>
            </w:r>
          </w:p>
        </w:tc>
        <w:tc>
          <w:tcPr>
            <w:tcW w:type="dxa" w:w="6426"/>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Command-line options such as -f, --csv and --demo</w:t>
            </w:r>
          </w:p>
        </w:tc>
      </w:tr>
      <w:tr>
        <w:trPr>
          <w:tblHeader w:val="off"/>
        </w:trPr>
        <w:tc>
          <w:tcPr>
            <w:tcW w:type="dxa" w:w="26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re</w:t>
            </w:r>
          </w:p>
        </w:tc>
        <w:tc>
          <w:tcPr>
            <w:tcW w:type="dxa" w:w="6426"/>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Regular expressions to detect the IoC type</w:t>
            </w:r>
          </w:p>
        </w:tc>
      </w:tr>
      <w:tr>
        <w:trPr>
          <w:tblHeader w:val="off"/>
        </w:trPr>
        <w:tc>
          <w:tcPr>
            <w:tcW w:type="dxa" w:w="26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csv</w:t>
            </w:r>
          </w:p>
        </w:tc>
        <w:tc>
          <w:tcPr>
            <w:tcW w:type="dxa" w:w="6426"/>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Writing the CSV report</w:t>
            </w:r>
          </w:p>
        </w:tc>
      </w:tr>
      <w:tr>
        <w:trPr>
          <w:tblHeader w:val="off"/>
        </w:trPr>
        <w:tc>
          <w:tcPr>
            <w:tcW w:type="dxa" w:w="26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base64</w:t>
            </w:r>
          </w:p>
        </w:tc>
        <w:tc>
          <w:tcPr>
            <w:tcW w:type="dxa" w:w="6426"/>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Encoding URLs in the format VirusTotal expects</w:t>
            </w:r>
          </w:p>
        </w:tc>
      </w:tr>
      <w:tr>
        <w:trPr>
          <w:tblHeader w:val="off"/>
        </w:trPr>
        <w:tc>
          <w:tcPr>
            <w:tcW w:type="dxa" w:w="26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os, time</w:t>
            </w:r>
          </w:p>
        </w:tc>
        <w:tc>
          <w:tcPr>
            <w:tcW w:type="dxa" w:w="6426"/>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Reading API keys from environment variables; waiting between requests</w:t>
            </w:r>
          </w:p>
        </w:tc>
      </w:tr>
      <w:tr>
        <w:trPr>
          <w:tblHeader w:val="off"/>
        </w:trPr>
        <w:tc>
          <w:tcPr>
            <w:tcW w:type="dxa" w:w="26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VirusTotal API v3</w:t>
            </w:r>
          </w:p>
        </w:tc>
        <w:tc>
          <w:tcPr>
            <w:tcW w:type="dxa" w:w="6426"/>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Number of security engines flagging an IoC</w:t>
            </w:r>
          </w:p>
        </w:tc>
      </w:tr>
      <w:tr>
        <w:trPr>
          <w:tblHeader w:val="off"/>
        </w:trPr>
        <w:tc>
          <w:tcPr>
            <w:tcW w:type="dxa" w:w="26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AlienVault OTX API</w:t>
            </w:r>
          </w:p>
        </w:tc>
        <w:tc>
          <w:tcPr>
            <w:tcW w:type="dxa" w:w="6426"/>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Number of community threat reports mentioning an IoC</w:t>
            </w:r>
          </w:p>
        </w:tc>
      </w:tr>
    </w:tbl>
    <w:p>
      <w:pPr>
        <w:spacing w:after="120"/>
      </w:pPr>
    </w:p>
    <w:p>
      <w:pPr>
        <w:pStyle w:val="Heading1"/>
      </w:pPr>
      <w:r>
        <w:rPr>
          <w:rFonts w:ascii="Times New Roman" w:cs="Times New Roman" w:eastAsia="Times New Roman" w:hAnsi="Times New Roman"/>
        </w:rPr>
        <w:t xml:space="preserve">6. System Design</w:t>
      </w:r>
    </w:p>
    <w:p>
      <w:pPr>
        <w:pStyle w:val="Heading2"/>
      </w:pPr>
      <w:r>
        <w:rPr>
          <w:rFonts w:ascii="Times New Roman" w:cs="Times New Roman" w:eastAsia="Times New Roman" w:hAnsi="Times New Roman"/>
        </w:rPr>
        <w:t xml:space="preserve">6.1 Workflow</w:t>
      </w:r>
    </w:p>
    <w:p>
      <w:pPr>
        <w:pStyle w:val="ListParagraph"/>
        <w:numPr>
          <w:ilvl w:val="0"/>
          <w:numId w:val="3"/>
        </w:numPr>
        <w:spacing w:after="80" w:line="300"/>
      </w:pPr>
      <w:r>
        <w:rPr>
          <w:rFonts w:ascii="Times New Roman" w:cs="Times New Roman" w:eastAsia="Times New Roman" w:hAnsi="Times New Roman"/>
          <w:sz w:val="24"/>
          <w:szCs w:val="24"/>
        </w:rPr>
        <w:t xml:space="preserve">The user supplies one or more IoCs on the command line or in a text file.</w:t>
      </w:r>
    </w:p>
    <w:p>
      <w:pPr>
        <w:pStyle w:val="ListParagraph"/>
        <w:numPr>
          <w:ilvl w:val="0"/>
          <w:numId w:val="3"/>
        </w:numPr>
        <w:spacing w:after="80" w:line="300"/>
      </w:pPr>
      <w:r>
        <w:rPr>
          <w:rFonts w:ascii="Times New Roman" w:cs="Times New Roman" w:eastAsia="Times New Roman" w:hAnsi="Times New Roman"/>
          <w:sz w:val="24"/>
          <w:szCs w:val="24"/>
        </w:rPr>
        <w:t xml:space="preserve">The tool detects the type of each IoC (ip, domain, url or hash).</w:t>
      </w:r>
    </w:p>
    <w:p>
      <w:pPr>
        <w:pStyle w:val="ListParagraph"/>
        <w:numPr>
          <w:ilvl w:val="0"/>
          <w:numId w:val="3"/>
        </w:numPr>
        <w:spacing w:after="80" w:line="300"/>
      </w:pPr>
      <w:r>
        <w:rPr>
          <w:rFonts w:ascii="Times New Roman" w:cs="Times New Roman" w:eastAsia="Times New Roman" w:hAnsi="Times New Roman"/>
          <w:sz w:val="24"/>
          <w:szCs w:val="24"/>
        </w:rPr>
        <w:t xml:space="preserve">It sends a request to the VirusTotal API and reads the detection counts.</w:t>
      </w:r>
    </w:p>
    <w:p>
      <w:pPr>
        <w:pStyle w:val="ListParagraph"/>
        <w:numPr>
          <w:ilvl w:val="0"/>
          <w:numId w:val="3"/>
        </w:numPr>
        <w:spacing w:after="80" w:line="300"/>
      </w:pPr>
      <w:r>
        <w:rPr>
          <w:rFonts w:ascii="Times New Roman" w:cs="Times New Roman" w:eastAsia="Times New Roman" w:hAnsi="Times New Roman"/>
          <w:sz w:val="24"/>
          <w:szCs w:val="24"/>
        </w:rPr>
        <w:t xml:space="preserve">It sends a request to the AlienVault OTX API and reads the number of threat reports.</w:t>
      </w:r>
    </w:p>
    <w:p>
      <w:pPr>
        <w:pStyle w:val="ListParagraph"/>
        <w:numPr>
          <w:ilvl w:val="0"/>
          <w:numId w:val="3"/>
        </w:numPr>
        <w:spacing w:after="80" w:line="300"/>
      </w:pPr>
      <w:r>
        <w:rPr>
          <w:rFonts w:ascii="Times New Roman" w:cs="Times New Roman" w:eastAsia="Times New Roman" w:hAnsi="Times New Roman"/>
          <w:sz w:val="24"/>
          <w:szCs w:val="24"/>
        </w:rPr>
        <w:t xml:space="preserve">It combines the two results into a score and a risk level.</w:t>
      </w:r>
    </w:p>
    <w:p>
      <w:pPr>
        <w:pStyle w:val="ListParagraph"/>
        <w:numPr>
          <w:ilvl w:val="0"/>
          <w:numId w:val="3"/>
        </w:numPr>
        <w:spacing w:after="80" w:line="300"/>
      </w:pPr>
      <w:r>
        <w:rPr>
          <w:rFonts w:ascii="Times New Roman" w:cs="Times New Roman" w:eastAsia="Times New Roman" w:hAnsi="Times New Roman"/>
          <w:sz w:val="24"/>
          <w:szCs w:val="24"/>
        </w:rPr>
        <w:t xml:space="preserve">It prints a summary and, if requested, saves all results to a CSV file.</w:t>
      </w:r>
    </w:p>
    <w:p>
      <w:pPr>
        <w:pStyle w:val="Heading2"/>
      </w:pPr>
      <w:r>
        <w:rPr>
          <w:rFonts w:ascii="Times New Roman" w:cs="Times New Roman" w:eastAsia="Times New Roman" w:hAnsi="Times New Roman"/>
        </w:rPr>
        <w:t xml:space="preserve">6.2 Modules (functions)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900"/>
        <w:gridCol w:w="6126"/>
      </w:tblGrid>
      <w:tr>
        <w:trPr>
          <w:tblHeader/>
        </w:trPr>
        <w:tc>
          <w:tcPr>
            <w:tcW w:type="dxa" w:w="2900"/>
            <w:tcBorders>
              <w:top w:val="single" w:color="808080" w:sz="4"/>
              <w:left w:val="single" w:color="808080" w:sz="4"/>
              <w:bottom w:val="single" w:color="808080" w:sz="4"/>
              <w:right w:val="single" w:color="808080" w:sz="4"/>
            </w:tcBorders>
            <w:shd w:fill="D9E2F3" w:val="clear"/>
            <w:tcMar>
              <w:top w:type="dxa" w:w="60"/>
              <w:left w:type="dxa" w:w="100"/>
              <w:bottom w:type="dxa" w:w="60"/>
              <w:right w:type="dxa" w:w="100"/>
            </w:tcMar>
          </w:tcPr>
          <w:p>
            <w:r>
              <w:rPr>
                <w:rFonts w:ascii="Times New Roman" w:cs="Times New Roman" w:eastAsia="Times New Roman" w:hAnsi="Times New Roman"/>
                <w:b/>
                <w:bCs/>
                <w:sz w:val="22"/>
                <w:szCs w:val="22"/>
              </w:rPr>
              <w:t xml:space="preserve">Function</w:t>
            </w:r>
          </w:p>
        </w:tc>
        <w:tc>
          <w:tcPr>
            <w:tcW w:type="dxa" w:w="6126"/>
            <w:tcBorders>
              <w:top w:val="single" w:color="808080" w:sz="4"/>
              <w:left w:val="single" w:color="808080" w:sz="4"/>
              <w:bottom w:val="single" w:color="808080" w:sz="4"/>
              <w:right w:val="single" w:color="808080" w:sz="4"/>
            </w:tcBorders>
            <w:shd w:fill="D9E2F3" w:val="clear"/>
            <w:tcMar>
              <w:top w:type="dxa" w:w="60"/>
              <w:left w:type="dxa" w:w="100"/>
              <w:bottom w:type="dxa" w:w="60"/>
              <w:right w:type="dxa" w:w="100"/>
            </w:tcMar>
          </w:tcPr>
          <w:p>
            <w:r>
              <w:rPr>
                <w:rFonts w:ascii="Times New Roman" w:cs="Times New Roman" w:eastAsia="Times New Roman" w:hAnsi="Times New Roman"/>
                <w:b/>
                <w:bCs/>
                <w:sz w:val="22"/>
                <w:szCs w:val="22"/>
              </w:rPr>
              <w:t xml:space="preserve">Role</w:t>
            </w:r>
          </w:p>
        </w:tc>
      </w:tr>
      <w:tr>
        <w:trPr>
          <w:tblHeader w:val="off"/>
        </w:trPr>
        <w:tc>
          <w:tcPr>
            <w:tcW w:type="dxa" w:w="29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detect_type()</w:t>
            </w:r>
          </w:p>
        </w:tc>
        <w:tc>
          <w:tcPr>
            <w:tcW w:type="dxa" w:w="6126"/>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Decides whether the input is an IP, hash, URL or domain using regular expressions.</w:t>
            </w:r>
          </w:p>
        </w:tc>
      </w:tr>
      <w:tr>
        <w:trPr>
          <w:tblHeader w:val="off"/>
        </w:trPr>
        <w:tc>
          <w:tcPr>
            <w:tcW w:type="dxa" w:w="29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check_virustotal()</w:t>
            </w:r>
          </w:p>
        </w:tc>
        <w:tc>
          <w:tcPr>
            <w:tcW w:type="dxa" w:w="6126"/>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Calls the VirusTotal API and returns malicious, suspicious and harmless counts.</w:t>
            </w:r>
          </w:p>
        </w:tc>
      </w:tr>
      <w:tr>
        <w:trPr>
          <w:tblHeader w:val="off"/>
        </w:trPr>
        <w:tc>
          <w:tcPr>
            <w:tcW w:type="dxa" w:w="29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check_otx()</w:t>
            </w:r>
          </w:p>
        </w:tc>
        <w:tc>
          <w:tcPr>
            <w:tcW w:type="dxa" w:w="6126"/>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Calls the AlienVault OTX API and returns the number of pulses and the first few pulse names.</w:t>
            </w:r>
          </w:p>
        </w:tc>
      </w:tr>
      <w:tr>
        <w:trPr>
          <w:tblHeader w:val="off"/>
        </w:trPr>
        <w:tc>
          <w:tcPr>
            <w:tcW w:type="dxa" w:w="29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demo_virustotal(), demo_otx()</w:t>
            </w:r>
          </w:p>
        </w:tc>
        <w:tc>
          <w:tcPr>
            <w:tcW w:type="dxa" w:w="6126"/>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Return fake data for testing without API keys.</w:t>
            </w:r>
          </w:p>
        </w:tc>
      </w:tr>
      <w:tr>
        <w:trPr>
          <w:tblHeader w:val="off"/>
        </w:trPr>
        <w:tc>
          <w:tcPr>
            <w:tcW w:type="dxa" w:w="29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score()</w:t>
            </w:r>
          </w:p>
        </w:tc>
        <w:tc>
          <w:tcPr>
            <w:tcW w:type="dxa" w:w="6126"/>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Converts both results into points and a LOW / MEDIUM / HIGH label.</w:t>
            </w:r>
          </w:p>
        </w:tc>
      </w:tr>
      <w:tr>
        <w:trPr>
          <w:tblHeader w:val="off"/>
        </w:trPr>
        <w:tc>
          <w:tcPr>
            <w:tcW w:type="dxa" w:w="29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analyse()</w:t>
            </w:r>
          </w:p>
        </w:tc>
        <w:tc>
          <w:tcPr>
            <w:tcW w:type="dxa" w:w="6126"/>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Runs the full check for one IoC and returns a single result dictionary.</w:t>
            </w:r>
          </w:p>
        </w:tc>
      </w:tr>
      <w:tr>
        <w:trPr>
          <w:tblHeader w:val="off"/>
        </w:trPr>
        <w:tc>
          <w:tcPr>
            <w:tcW w:type="dxa" w:w="29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print_result(), save_csv()</w:t>
            </w:r>
          </w:p>
        </w:tc>
        <w:tc>
          <w:tcPr>
            <w:tcW w:type="dxa" w:w="6126"/>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Display the result and write the CSV report.</w:t>
            </w:r>
          </w:p>
        </w:tc>
      </w:tr>
      <w:tr>
        <w:trPr>
          <w:tblHeader w:val="off"/>
        </w:trPr>
        <w:tc>
          <w:tcPr>
            <w:tcW w:type="dxa" w:w="29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main()</w:t>
            </w:r>
          </w:p>
        </w:tc>
        <w:tc>
          <w:tcPr>
            <w:tcW w:type="dxa" w:w="6126"/>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Reads command-line arguments and loops over all IoCs.</w:t>
            </w:r>
          </w:p>
        </w:tc>
      </w:tr>
    </w:tbl>
    <w:p>
      <w:pPr>
        <w:spacing w:after="120"/>
      </w:pPr>
    </w:p>
    <w:p>
      <w:pPr>
        <w:pStyle w:val="Heading1"/>
      </w:pPr>
      <w:r>
        <w:rPr>
          <w:rFonts w:ascii="Times New Roman" w:cs="Times New Roman" w:eastAsia="Times New Roman" w:hAnsi="Times New Roman"/>
        </w:rPr>
        <w:t xml:space="preserve">7. Implementation</w:t>
      </w:r>
    </w:p>
    <w:p>
      <w:pPr>
        <w:pStyle w:val="Heading2"/>
      </w:pPr>
      <w:r>
        <w:rPr>
          <w:rFonts w:ascii="Times New Roman" w:cs="Times New Roman" w:eastAsia="Times New Roman" w:hAnsi="Times New Roman"/>
        </w:rPr>
        <w:t xml:space="preserve">7.1 Configuration and API keys</w:t>
      </w:r>
    </w:p>
    <w:p>
      <w:pPr>
        <w:spacing w:after="120" w:line="320"/>
        <w:jc w:val="both"/>
      </w:pPr>
      <w:r>
        <w:rPr>
          <w:rFonts w:ascii="Times New Roman" w:cs="Times New Roman" w:eastAsia="Times New Roman" w:hAnsi="Times New Roman"/>
          <w:sz w:val="24"/>
          <w:szCs w:val="24"/>
        </w:rPr>
        <w:t xml:space="preserve">The API keys are read from the environment variables VT_API_KEY and OTX_API_KEY using os.getenv. They are deliberately not written in the source file, because keys committed to a public repository such as GitHub can be stolen and misused.</w:t>
      </w:r>
    </w:p>
    <w:p>
      <w:pPr>
        <w:pStyle w:val="Heading2"/>
      </w:pPr>
      <w:r>
        <w:rPr>
          <w:rFonts w:ascii="Times New Roman" w:cs="Times New Roman" w:eastAsia="Times New Roman" w:hAnsi="Times New Roman"/>
        </w:rPr>
        <w:t xml:space="preserve">7.2 Detecting the IoC type</w:t>
      </w:r>
    </w:p>
    <w:p>
      <w:pPr>
        <w:spacing w:after="120" w:line="320"/>
        <w:jc w:val="both"/>
      </w:pPr>
      <w:r>
        <w:rPr>
          <w:rFonts w:ascii="Times New Roman" w:cs="Times New Roman" w:eastAsia="Times New Roman" w:hAnsi="Times New Roman"/>
          <w:sz w:val="24"/>
          <w:szCs w:val="24"/>
        </w:rPr>
        <w:t xml:space="preserve">Regular expressions decide the type. Four groups of digits separated by dots are treated as an IP address; a string of 32, 40 or 64 hexadecimal characters is treated as an MD5, SHA-1 or SHA-256 hash; text starting with http:// or https:// is a URL; anything else is treated as a domain.</w:t>
      </w:r>
    </w:p>
    <w:p>
      <w:pPr>
        <w:shd w:fill="F2F2F2" w:val="clear"/>
        <w:spacing w:after="0" w:line="260"/>
        <w:ind w:left="200" w:right="200"/>
      </w:pPr>
      <w:r>
        <w:rPr>
          <w:rFonts w:ascii="Courier New" w:cs="Courier New" w:eastAsia="Courier New" w:hAnsi="Courier New"/>
          <w:sz w:val="20"/>
          <w:szCs w:val="20"/>
        </w:rPr>
        <w:t xml:space="preserve">def detect_type(ioc):</w:t>
      </w:r>
    </w:p>
    <w:p>
      <w:pPr>
        <w:shd w:fill="F2F2F2" w:val="clear"/>
        <w:spacing w:after="0" w:line="260"/>
        <w:ind w:left="200" w:right="200"/>
      </w:pPr>
      <w:r>
        <w:rPr>
          <w:rFonts w:ascii="Courier New" w:cs="Courier New" w:eastAsia="Courier New" w:hAnsi="Courier New"/>
          <w:sz w:val="20"/>
          <w:szCs w:val="20"/>
        </w:rPr>
        <w:t xml:space="preserve">    if re.fullmatch(r"\d{1,3}(\.\d{1,3}){3}", ioc):</w:t>
      </w:r>
    </w:p>
    <w:p>
      <w:pPr>
        <w:shd w:fill="F2F2F2" w:val="clear"/>
        <w:spacing w:after="0" w:line="260"/>
        <w:ind w:left="200" w:right="200"/>
      </w:pPr>
      <w:r>
        <w:rPr>
          <w:rFonts w:ascii="Courier New" w:cs="Courier New" w:eastAsia="Courier New" w:hAnsi="Courier New"/>
          <w:sz w:val="20"/>
          <w:szCs w:val="20"/>
        </w:rPr>
        <w:t xml:space="preserve">        return "ip"</w:t>
      </w:r>
    </w:p>
    <w:p>
      <w:pPr>
        <w:shd w:fill="F2F2F2" w:val="clear"/>
        <w:spacing w:after="0" w:line="260"/>
        <w:ind w:left="200" w:right="200"/>
      </w:pPr>
      <w:r>
        <w:rPr>
          <w:rFonts w:ascii="Courier New" w:cs="Courier New" w:eastAsia="Courier New" w:hAnsi="Courier New"/>
          <w:sz w:val="20"/>
          <w:szCs w:val="20"/>
        </w:rPr>
        <w:t xml:space="preserve">    if re.fullmatch(r"[a-fA-F0-9]{32}|[a-fA-F0-9]{40}|[a-fA-F0-9]{64}", ioc):</w:t>
      </w:r>
    </w:p>
    <w:p>
      <w:pPr>
        <w:shd w:fill="F2F2F2" w:val="clear"/>
        <w:spacing w:after="0" w:line="260"/>
        <w:ind w:left="200" w:right="200"/>
      </w:pPr>
      <w:r>
        <w:rPr>
          <w:rFonts w:ascii="Courier New" w:cs="Courier New" w:eastAsia="Courier New" w:hAnsi="Courier New"/>
          <w:sz w:val="20"/>
          <w:szCs w:val="20"/>
        </w:rPr>
        <w:t xml:space="preserve">        return "hash"</w:t>
      </w:r>
    </w:p>
    <w:p>
      <w:pPr>
        <w:shd w:fill="F2F2F2" w:val="clear"/>
        <w:spacing w:after="0" w:line="260"/>
        <w:ind w:left="200" w:right="200"/>
      </w:pPr>
      <w:r>
        <w:rPr>
          <w:rFonts w:ascii="Courier New" w:cs="Courier New" w:eastAsia="Courier New" w:hAnsi="Courier New"/>
          <w:sz w:val="20"/>
          <w:szCs w:val="20"/>
        </w:rPr>
        <w:t xml:space="preserve">    if ioc.startswith(("http://", "https://")):</w:t>
      </w:r>
    </w:p>
    <w:p>
      <w:pPr>
        <w:shd w:fill="F2F2F2" w:val="clear"/>
        <w:spacing w:after="0" w:line="260"/>
        <w:ind w:left="200" w:right="200"/>
      </w:pPr>
      <w:r>
        <w:rPr>
          <w:rFonts w:ascii="Courier New" w:cs="Courier New" w:eastAsia="Courier New" w:hAnsi="Courier New"/>
          <w:sz w:val="20"/>
          <w:szCs w:val="20"/>
        </w:rPr>
        <w:t xml:space="preserve">        return "url"</w:t>
      </w:r>
    </w:p>
    <w:p>
      <w:pPr>
        <w:shd w:fill="F2F2F2" w:val="clear"/>
        <w:spacing w:after="0" w:line="260"/>
        <w:ind w:left="200" w:right="200"/>
      </w:pPr>
      <w:r>
        <w:rPr>
          <w:rFonts w:ascii="Courier New" w:cs="Courier New" w:eastAsia="Courier New" w:hAnsi="Courier New"/>
          <w:sz w:val="20"/>
          <w:szCs w:val="20"/>
        </w:rPr>
        <w:t xml:space="preserve">    return "domain"</w:t>
      </w:r>
    </w:p>
    <w:p>
      <w:pPr>
        <w:spacing w:after="120"/>
      </w:pPr>
    </w:p>
    <w:p>
      <w:pPr>
        <w:pStyle w:val="Heading2"/>
      </w:pPr>
      <w:r>
        <w:rPr>
          <w:rFonts w:ascii="Times New Roman" w:cs="Times New Roman" w:eastAsia="Times New Roman" w:hAnsi="Times New Roman"/>
        </w:rPr>
        <w:t xml:space="preserve">7.3 Querying VirusTotal</w:t>
      </w:r>
    </w:p>
    <w:p>
      <w:pPr>
        <w:spacing w:after="120" w:line="320"/>
        <w:jc w:val="both"/>
      </w:pPr>
      <w:r>
        <w:rPr>
          <w:rFonts w:ascii="Times New Roman" w:cs="Times New Roman" w:eastAsia="Times New Roman" w:hAnsi="Times New Roman"/>
          <w:sz w:val="24"/>
          <w:szCs w:val="24"/>
        </w:rPr>
        <w:t xml:space="preserve">The function builds the correct endpoint for the IoC type and sends a GET request with the key in the x-apikey header. For URLs, VirusTotal requires the URL to be base64-encoded without padding. The JSON reply contains last_analysis_stats, from which the number of malicious, suspicious and harmless detections is read. HTTP 404 (not found) and 429 (rate limit) are handled with clear messages.</w:t>
      </w:r>
    </w:p>
    <w:p>
      <w:pPr>
        <w:pStyle w:val="Heading2"/>
      </w:pPr>
      <w:r>
        <w:rPr>
          <w:rFonts w:ascii="Times New Roman" w:cs="Times New Roman" w:eastAsia="Times New Roman" w:hAnsi="Times New Roman"/>
        </w:rPr>
        <w:t xml:space="preserve">7.4 Querying AlienVault OTX</w:t>
      </w:r>
    </w:p>
    <w:p>
      <w:pPr>
        <w:spacing w:after="120" w:line="320"/>
        <w:jc w:val="both"/>
      </w:pPr>
      <w:r>
        <w:rPr>
          <w:rFonts w:ascii="Times New Roman" w:cs="Times New Roman" w:eastAsia="Times New Roman" w:hAnsi="Times New Roman"/>
          <w:sz w:val="24"/>
          <w:szCs w:val="24"/>
        </w:rPr>
        <w:t xml:space="preserve">A GET request is sent to the OTX general indicator endpoint with the key in the X-OTX-API-KEY header. The reply contains pulse_info, whose count is the number of community threat reports (pulses) that mention the IoC. The names of up to three pulses are saved for display.</w:t>
      </w:r>
    </w:p>
    <w:p>
      <w:pPr>
        <w:pStyle w:val="Heading2"/>
      </w:pPr>
      <w:r>
        <w:rPr>
          <w:rFonts w:ascii="Times New Roman" w:cs="Times New Roman" w:eastAsia="Times New Roman" w:hAnsi="Times New Roman"/>
        </w:rPr>
        <w:t xml:space="preserve">7.5 Error handling</w:t>
      </w:r>
    </w:p>
    <w:p>
      <w:pPr>
        <w:spacing w:after="120" w:line="320"/>
        <w:jc w:val="both"/>
      </w:pPr>
      <w:r>
        <w:rPr>
          <w:rFonts w:ascii="Times New Roman" w:cs="Times New Roman" w:eastAsia="Times New Roman" w:hAnsi="Times New Roman"/>
          <w:sz w:val="24"/>
          <w:szCs w:val="24"/>
        </w:rPr>
        <w:t xml:space="preserve">Every network call is wrapped in try/except, and a timeout is set. If a key is missing, the rate limit is hit or the network fails, the function returns an error message instead of crashing, and the message is shown in the Notes field of the result.</w:t>
      </w:r>
    </w:p>
    <w:p>
      <w:pPr>
        <w:pStyle w:val="Heading2"/>
      </w:pPr>
      <w:r>
        <w:rPr>
          <w:rFonts w:ascii="Times New Roman" w:cs="Times New Roman" w:eastAsia="Times New Roman" w:hAnsi="Times New Roman"/>
        </w:rPr>
        <w:t xml:space="preserve">7.6 Risk scoring model</w:t>
      </w:r>
    </w:p>
    <w:p>
      <w:pPr>
        <w:spacing w:after="120" w:line="320"/>
        <w:jc w:val="both"/>
      </w:pPr>
      <w:r>
        <w:rPr>
          <w:rFonts w:ascii="Times New Roman" w:cs="Times New Roman" w:eastAsia="Times New Roman" w:hAnsi="Times New Roman"/>
          <w:sz w:val="24"/>
          <w:szCs w:val="24"/>
        </w:rPr>
        <w:t xml:space="preserve">The results are converted into points as follows, and the total decides the level.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600"/>
        <w:gridCol w:w="4426"/>
      </w:tblGrid>
      <w:tr>
        <w:trPr>
          <w:tblHeader/>
        </w:trPr>
        <w:tc>
          <w:tcPr>
            <w:tcW w:type="dxa" w:w="4600"/>
            <w:tcBorders>
              <w:top w:val="single" w:color="808080" w:sz="4"/>
              <w:left w:val="single" w:color="808080" w:sz="4"/>
              <w:bottom w:val="single" w:color="808080" w:sz="4"/>
              <w:right w:val="single" w:color="808080" w:sz="4"/>
            </w:tcBorders>
            <w:shd w:fill="D9E2F3" w:val="clear"/>
            <w:tcMar>
              <w:top w:type="dxa" w:w="60"/>
              <w:left w:type="dxa" w:w="100"/>
              <w:bottom w:type="dxa" w:w="60"/>
              <w:right w:type="dxa" w:w="100"/>
            </w:tcMar>
          </w:tcPr>
          <w:p>
            <w:r>
              <w:rPr>
                <w:rFonts w:ascii="Times New Roman" w:cs="Times New Roman" w:eastAsia="Times New Roman" w:hAnsi="Times New Roman"/>
                <w:b/>
                <w:bCs/>
                <w:sz w:val="22"/>
                <w:szCs w:val="22"/>
              </w:rPr>
              <w:t xml:space="preserve">Evidence</w:t>
            </w:r>
          </w:p>
        </w:tc>
        <w:tc>
          <w:tcPr>
            <w:tcW w:type="dxa" w:w="4426"/>
            <w:tcBorders>
              <w:top w:val="single" w:color="808080" w:sz="4"/>
              <w:left w:val="single" w:color="808080" w:sz="4"/>
              <w:bottom w:val="single" w:color="808080" w:sz="4"/>
              <w:right w:val="single" w:color="808080" w:sz="4"/>
            </w:tcBorders>
            <w:shd w:fill="D9E2F3" w:val="clear"/>
            <w:tcMar>
              <w:top w:type="dxa" w:w="60"/>
              <w:left w:type="dxa" w:w="100"/>
              <w:bottom w:type="dxa" w:w="60"/>
              <w:right w:type="dxa" w:w="100"/>
            </w:tcMar>
          </w:tcPr>
          <w:p>
            <w:r>
              <w:rPr>
                <w:rFonts w:ascii="Times New Roman" w:cs="Times New Roman" w:eastAsia="Times New Roman" w:hAnsi="Times New Roman"/>
                <w:b/>
                <w:bCs/>
                <w:sz w:val="22"/>
                <w:szCs w:val="22"/>
              </w:rPr>
              <w:t xml:space="preserve">Points</w:t>
            </w:r>
          </w:p>
        </w:tc>
      </w:tr>
      <w:tr>
        <w:trPr>
          <w:tblHeader w:val="off"/>
        </w:trPr>
        <w:tc>
          <w:tcPr>
            <w:tcW w:type="dxa" w:w="46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Each VirusTotal engine marking it malicious</w:t>
            </w:r>
          </w:p>
        </w:tc>
        <w:tc>
          <w:tcPr>
            <w:tcW w:type="dxa" w:w="4426"/>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2</w:t>
            </w:r>
          </w:p>
        </w:tc>
      </w:tr>
      <w:tr>
        <w:trPr>
          <w:tblHeader w:val="off"/>
        </w:trPr>
        <w:tc>
          <w:tcPr>
            <w:tcW w:type="dxa" w:w="46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Each VirusTotal engine marking it suspicious</w:t>
            </w:r>
          </w:p>
        </w:tc>
        <w:tc>
          <w:tcPr>
            <w:tcW w:type="dxa" w:w="4426"/>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1</w:t>
            </w:r>
          </w:p>
        </w:tc>
      </w:tr>
      <w:tr>
        <w:trPr>
          <w:tblHeader w:val="off"/>
        </w:trPr>
        <w:tc>
          <w:tcPr>
            <w:tcW w:type="dxa" w:w="46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Each AlienVault OTX threat report (pulse)</w:t>
            </w:r>
          </w:p>
        </w:tc>
        <w:tc>
          <w:tcPr>
            <w:tcW w:type="dxa" w:w="4426"/>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3</w:t>
            </w:r>
          </w:p>
        </w:tc>
      </w:tr>
    </w:tbl>
    <w:p>
      <w:pPr>
        <w:spacing w:after="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600"/>
        <w:gridCol w:w="4426"/>
      </w:tblGrid>
      <w:tr>
        <w:trPr>
          <w:tblHeader/>
        </w:trPr>
        <w:tc>
          <w:tcPr>
            <w:tcW w:type="dxa" w:w="4600"/>
            <w:tcBorders>
              <w:top w:val="single" w:color="808080" w:sz="4"/>
              <w:left w:val="single" w:color="808080" w:sz="4"/>
              <w:bottom w:val="single" w:color="808080" w:sz="4"/>
              <w:right w:val="single" w:color="808080" w:sz="4"/>
            </w:tcBorders>
            <w:shd w:fill="D9E2F3" w:val="clear"/>
            <w:tcMar>
              <w:top w:type="dxa" w:w="60"/>
              <w:left w:type="dxa" w:w="100"/>
              <w:bottom w:type="dxa" w:w="60"/>
              <w:right w:type="dxa" w:w="100"/>
            </w:tcMar>
          </w:tcPr>
          <w:p>
            <w:r>
              <w:rPr>
                <w:rFonts w:ascii="Times New Roman" w:cs="Times New Roman" w:eastAsia="Times New Roman" w:hAnsi="Times New Roman"/>
                <w:b/>
                <w:bCs/>
                <w:sz w:val="22"/>
                <w:szCs w:val="22"/>
              </w:rPr>
              <w:t xml:space="preserve">Total score</w:t>
            </w:r>
          </w:p>
        </w:tc>
        <w:tc>
          <w:tcPr>
            <w:tcW w:type="dxa" w:w="4426"/>
            <w:tcBorders>
              <w:top w:val="single" w:color="808080" w:sz="4"/>
              <w:left w:val="single" w:color="808080" w:sz="4"/>
              <w:bottom w:val="single" w:color="808080" w:sz="4"/>
              <w:right w:val="single" w:color="808080" w:sz="4"/>
            </w:tcBorders>
            <w:shd w:fill="D9E2F3" w:val="clear"/>
            <w:tcMar>
              <w:top w:type="dxa" w:w="60"/>
              <w:left w:type="dxa" w:w="100"/>
              <w:bottom w:type="dxa" w:w="60"/>
              <w:right w:type="dxa" w:w="100"/>
            </w:tcMar>
          </w:tcPr>
          <w:p>
            <w:r>
              <w:rPr>
                <w:rFonts w:ascii="Times New Roman" w:cs="Times New Roman" w:eastAsia="Times New Roman" w:hAnsi="Times New Roman"/>
                <w:b/>
                <w:bCs/>
                <w:sz w:val="22"/>
                <w:szCs w:val="22"/>
              </w:rPr>
              <w:t xml:space="preserve">Risk level</w:t>
            </w:r>
          </w:p>
        </w:tc>
      </w:tr>
      <w:tr>
        <w:trPr>
          <w:tblHeader w:val="off"/>
        </w:trPr>
        <w:tc>
          <w:tcPr>
            <w:tcW w:type="dxa" w:w="46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15 or more</w:t>
            </w:r>
          </w:p>
        </w:tc>
        <w:tc>
          <w:tcPr>
            <w:tcW w:type="dxa" w:w="4426"/>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HIGH</w:t>
            </w:r>
          </w:p>
        </w:tc>
      </w:tr>
      <w:tr>
        <w:trPr>
          <w:tblHeader w:val="off"/>
        </w:trPr>
        <w:tc>
          <w:tcPr>
            <w:tcW w:type="dxa" w:w="46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4 to 14</w:t>
            </w:r>
          </w:p>
        </w:tc>
        <w:tc>
          <w:tcPr>
            <w:tcW w:type="dxa" w:w="4426"/>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MEDIUM</w:t>
            </w:r>
          </w:p>
        </w:tc>
      </w:tr>
      <w:tr>
        <w:trPr>
          <w:tblHeader w:val="off"/>
        </w:trPr>
        <w:tc>
          <w:tcPr>
            <w:tcW w:type="dxa" w:w="46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Below 4</w:t>
            </w:r>
          </w:p>
        </w:tc>
        <w:tc>
          <w:tcPr>
            <w:tcW w:type="dxa" w:w="4426"/>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LOW</w:t>
            </w:r>
          </w:p>
        </w:tc>
      </w:tr>
      <w:tr>
        <w:trPr>
          <w:tblHeader w:val="off"/>
        </w:trPr>
        <w:tc>
          <w:tcPr>
            <w:tcW w:type="dxa" w:w="46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Both sources failed to answer</w:t>
            </w:r>
          </w:p>
        </w:tc>
        <w:tc>
          <w:tcPr>
            <w:tcW w:type="dxa" w:w="4426"/>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UNKNOWN</w:t>
            </w:r>
          </w:p>
        </w:tc>
      </w:tr>
    </w:tbl>
    <w:p>
      <w:pPr>
        <w:spacing w:after="120"/>
      </w:pPr>
    </w:p>
    <w:p>
      <w:pPr>
        <w:spacing w:after="120" w:line="320"/>
        <w:jc w:val="both"/>
      </w:pPr>
      <w:r>
        <w:rPr>
          <w:rFonts w:ascii="Times New Roman" w:cs="Times New Roman" w:eastAsia="Times New Roman" w:hAnsi="Times New Roman"/>
          <w:sz w:val="24"/>
          <w:szCs w:val="24"/>
        </w:rPr>
        <w:t xml:space="preserve">This scoring rule is a simple model chosen for this project and is not an industry standard. The UNKNOWN level was added so that a failed lookup is never reported as LOW, since "could not check" is not the same as "safe".</w:t>
      </w:r>
    </w:p>
    <w:p>
      <w:pPr>
        <w:pStyle w:val="Heading2"/>
      </w:pPr>
      <w:r>
        <w:rPr>
          <w:rFonts w:ascii="Times New Roman" w:cs="Times New Roman" w:eastAsia="Times New Roman" w:hAnsi="Times New Roman"/>
        </w:rPr>
        <w:t xml:space="preserve">7.7 Rate limiting</w:t>
      </w:r>
    </w:p>
    <w:p>
      <w:pPr>
        <w:spacing w:after="120" w:line="320"/>
        <w:jc w:val="both"/>
      </w:pPr>
      <w:r>
        <w:rPr>
          <w:rFonts w:ascii="Times New Roman" w:cs="Times New Roman" w:eastAsia="Times New Roman" w:hAnsi="Times New Roman"/>
          <w:sz w:val="24"/>
          <w:szCs w:val="24"/>
        </w:rPr>
        <w:t xml:space="preserve">The free VirusTotal plan allows about four requests per minute. When several IoCs are checked, the tool waits 16 seconds between them.</w:t>
      </w:r>
    </w:p>
    <w:p>
      <w:pPr>
        <w:pStyle w:val="Heading1"/>
      </w:pPr>
      <w:r>
        <w:rPr>
          <w:rFonts w:ascii="Times New Roman" w:cs="Times New Roman" w:eastAsia="Times New Roman" w:hAnsi="Times New Roman"/>
        </w:rPr>
        <w:t xml:space="preserve">8. Usage</w:t>
      </w:r>
    </w:p>
    <w:p>
      <w:pPr>
        <w:shd w:fill="F2F2F2" w:val="clear"/>
        <w:spacing w:after="0" w:line="260"/>
        <w:ind w:left="200" w:right="200"/>
      </w:pPr>
      <w:r>
        <w:rPr>
          <w:rFonts w:ascii="Courier New" w:cs="Courier New" w:eastAsia="Courier New" w:hAnsi="Courier New"/>
          <w:sz w:val="20"/>
          <w:szCs w:val="20"/>
        </w:rPr>
        <w:t xml:space="preserve">pip install -r requirements.txt</w:t>
      </w:r>
    </w:p>
    <w:p>
      <w:pPr>
        <w:shd w:fill="F2F2F2" w:val="clear"/>
        <w:spacing w:after="0" w:line="260"/>
        <w:ind w:left="200" w:right="200"/>
      </w:pPr>
      <w:r>
        <w:rPr>
          <w:rFonts w:ascii="Courier New" w:cs="Courier New" w:eastAsia="Courier New" w:hAnsi="Courier New"/>
          <w:sz w:val="20"/>
          <w:szCs w:val="20"/>
        </w:rPr>
        <w:t xml:space="preserve"> </w:t>
      </w:r>
    </w:p>
    <w:p>
      <w:pPr>
        <w:shd w:fill="F2F2F2" w:val="clear"/>
        <w:spacing w:after="0" w:line="260"/>
        <w:ind w:left="200" w:right="200"/>
      </w:pPr>
      <w:r>
        <w:rPr>
          <w:rFonts w:ascii="Courier New" w:cs="Courier New" w:eastAsia="Courier New" w:hAnsi="Courier New"/>
          <w:sz w:val="20"/>
          <w:szCs w:val="20"/>
        </w:rPr>
        <w:t xml:space="preserve">python KanikaSalhotra_ThreatIntelAggregator.py 8.8.8.8</w:t>
      </w:r>
    </w:p>
    <w:p>
      <w:pPr>
        <w:shd w:fill="F2F2F2" w:val="clear"/>
        <w:spacing w:after="0" w:line="260"/>
        <w:ind w:left="200" w:right="200"/>
      </w:pPr>
      <w:r>
        <w:rPr>
          <w:rFonts w:ascii="Courier New" w:cs="Courier New" w:eastAsia="Courier New" w:hAnsi="Courier New"/>
          <w:sz w:val="20"/>
          <w:szCs w:val="20"/>
        </w:rPr>
        <w:t xml:space="preserve">python KanikaSalhotra_ThreatIntelAggregator.py -f iocs.txt --csv report.csv</w:t>
      </w:r>
    </w:p>
    <w:p>
      <w:pPr>
        <w:shd w:fill="F2F2F2" w:val="clear"/>
        <w:spacing w:after="0" w:line="260"/>
        <w:ind w:left="200" w:right="200"/>
      </w:pPr>
      <w:r>
        <w:rPr>
          <w:rFonts w:ascii="Courier New" w:cs="Courier New" w:eastAsia="Courier New" w:hAnsi="Courier New"/>
          <w:sz w:val="20"/>
          <w:szCs w:val="20"/>
        </w:rPr>
        <w:t xml:space="preserve">python KanikaSalhotra_ThreatIntelAggregator.py 185.220.101.1 --demo</w:t>
      </w:r>
    </w:p>
    <w:p>
      <w:pPr>
        <w:spacing w:after="120"/>
      </w:pPr>
    </w:p>
    <w:p>
      <w:pPr>
        <w:pStyle w:val="Heading1"/>
      </w:pPr>
      <w:r>
        <w:rPr>
          <w:rFonts w:ascii="Times New Roman" w:cs="Times New Roman" w:eastAsia="Times New Roman" w:hAnsi="Times New Roman"/>
        </w:rPr>
        <w:t xml:space="preserve">9. Testing and Results</w:t>
      </w:r>
    </w:p>
    <w:p>
      <w:pPr>
        <w:spacing w:after="120" w:line="320"/>
        <w:jc w:val="both"/>
      </w:pPr>
      <w:r>
        <w:rPr>
          <w:rFonts w:ascii="Times New Roman" w:cs="Times New Roman" w:eastAsia="Times New Roman" w:hAnsi="Times New Roman"/>
          <w:sz w:val="24"/>
          <w:szCs w:val="24"/>
        </w:rPr>
        <w:t xml:space="preserve">The tool was tested in demo mode, which uses simulated data instead of live API calls. This verified the type detection, scoring, output formatting, CSV export and the UNKNOWN case when no keys are set. The table below shows the demo-mode results for the sample list in iocs.txt. These numbers are simulated and do not represent real threat intelligence.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1000"/>
        <w:gridCol w:w="1700"/>
        <w:gridCol w:w="1700"/>
        <w:gridCol w:w="1426"/>
      </w:tblGrid>
      <w:tr>
        <w:trPr>
          <w:tblHeader/>
        </w:trPr>
        <w:tc>
          <w:tcPr>
            <w:tcW w:type="dxa" w:w="3200"/>
            <w:tcBorders>
              <w:top w:val="single" w:color="808080" w:sz="4"/>
              <w:left w:val="single" w:color="808080" w:sz="4"/>
              <w:bottom w:val="single" w:color="808080" w:sz="4"/>
              <w:right w:val="single" w:color="808080" w:sz="4"/>
            </w:tcBorders>
            <w:shd w:fill="D9E2F3" w:val="clear"/>
            <w:tcMar>
              <w:top w:type="dxa" w:w="60"/>
              <w:left w:type="dxa" w:w="100"/>
              <w:bottom w:type="dxa" w:w="60"/>
              <w:right w:type="dxa" w:w="100"/>
            </w:tcMar>
          </w:tcPr>
          <w:p>
            <w:r>
              <w:rPr>
                <w:rFonts w:ascii="Times New Roman" w:cs="Times New Roman" w:eastAsia="Times New Roman" w:hAnsi="Times New Roman"/>
                <w:b/>
                <w:bCs/>
                <w:sz w:val="22"/>
                <w:szCs w:val="22"/>
              </w:rPr>
              <w:t xml:space="preserve">IoC</w:t>
            </w:r>
          </w:p>
        </w:tc>
        <w:tc>
          <w:tcPr>
            <w:tcW w:type="dxa" w:w="1000"/>
            <w:tcBorders>
              <w:top w:val="single" w:color="808080" w:sz="4"/>
              <w:left w:val="single" w:color="808080" w:sz="4"/>
              <w:bottom w:val="single" w:color="808080" w:sz="4"/>
              <w:right w:val="single" w:color="808080" w:sz="4"/>
            </w:tcBorders>
            <w:shd w:fill="D9E2F3" w:val="clear"/>
            <w:tcMar>
              <w:top w:type="dxa" w:w="60"/>
              <w:left w:type="dxa" w:w="100"/>
              <w:bottom w:type="dxa" w:w="60"/>
              <w:right w:type="dxa" w:w="100"/>
            </w:tcMar>
          </w:tcPr>
          <w:p>
            <w:r>
              <w:rPr>
                <w:rFonts w:ascii="Times New Roman" w:cs="Times New Roman" w:eastAsia="Times New Roman" w:hAnsi="Times New Roman"/>
                <w:b/>
                <w:bCs/>
                <w:sz w:val="22"/>
                <w:szCs w:val="22"/>
              </w:rPr>
              <w:t xml:space="preserve">Type</w:t>
            </w:r>
          </w:p>
        </w:tc>
        <w:tc>
          <w:tcPr>
            <w:tcW w:type="dxa" w:w="1700"/>
            <w:tcBorders>
              <w:top w:val="single" w:color="808080" w:sz="4"/>
              <w:left w:val="single" w:color="808080" w:sz="4"/>
              <w:bottom w:val="single" w:color="808080" w:sz="4"/>
              <w:right w:val="single" w:color="808080" w:sz="4"/>
            </w:tcBorders>
            <w:shd w:fill="D9E2F3" w:val="clear"/>
            <w:tcMar>
              <w:top w:type="dxa" w:w="60"/>
              <w:left w:type="dxa" w:w="100"/>
              <w:bottom w:type="dxa" w:w="60"/>
              <w:right w:type="dxa" w:w="100"/>
            </w:tcMar>
          </w:tcPr>
          <w:p>
            <w:r>
              <w:rPr>
                <w:rFonts w:ascii="Times New Roman" w:cs="Times New Roman" w:eastAsia="Times New Roman" w:hAnsi="Times New Roman"/>
                <w:b/>
                <w:bCs/>
                <w:sz w:val="22"/>
                <w:szCs w:val="22"/>
              </w:rPr>
              <w:t xml:space="preserve">VT malicious</w:t>
            </w:r>
          </w:p>
        </w:tc>
        <w:tc>
          <w:tcPr>
            <w:tcW w:type="dxa" w:w="1700"/>
            <w:tcBorders>
              <w:top w:val="single" w:color="808080" w:sz="4"/>
              <w:left w:val="single" w:color="808080" w:sz="4"/>
              <w:bottom w:val="single" w:color="808080" w:sz="4"/>
              <w:right w:val="single" w:color="808080" w:sz="4"/>
            </w:tcBorders>
            <w:shd w:fill="D9E2F3" w:val="clear"/>
            <w:tcMar>
              <w:top w:type="dxa" w:w="60"/>
              <w:left w:type="dxa" w:w="100"/>
              <w:bottom w:type="dxa" w:w="60"/>
              <w:right w:type="dxa" w:w="100"/>
            </w:tcMar>
          </w:tcPr>
          <w:p>
            <w:r>
              <w:rPr>
                <w:rFonts w:ascii="Times New Roman" w:cs="Times New Roman" w:eastAsia="Times New Roman" w:hAnsi="Times New Roman"/>
                <w:b/>
                <w:bCs/>
                <w:sz w:val="22"/>
                <w:szCs w:val="22"/>
              </w:rPr>
              <w:t xml:space="preserve">OTX reports</w:t>
            </w:r>
          </w:p>
        </w:tc>
        <w:tc>
          <w:tcPr>
            <w:tcW w:type="dxa" w:w="1426"/>
            <w:tcBorders>
              <w:top w:val="single" w:color="808080" w:sz="4"/>
              <w:left w:val="single" w:color="808080" w:sz="4"/>
              <w:bottom w:val="single" w:color="808080" w:sz="4"/>
              <w:right w:val="single" w:color="808080" w:sz="4"/>
            </w:tcBorders>
            <w:shd w:fill="D9E2F3" w:val="clear"/>
            <w:tcMar>
              <w:top w:type="dxa" w:w="60"/>
              <w:left w:type="dxa" w:w="100"/>
              <w:bottom w:type="dxa" w:w="60"/>
              <w:right w:type="dxa" w:w="100"/>
            </w:tcMar>
          </w:tcPr>
          <w:p>
            <w:r>
              <w:rPr>
                <w:rFonts w:ascii="Times New Roman" w:cs="Times New Roman" w:eastAsia="Times New Roman" w:hAnsi="Times New Roman"/>
                <w:b/>
                <w:bCs/>
                <w:sz w:val="22"/>
                <w:szCs w:val="22"/>
              </w:rPr>
              <w:t xml:space="preserve">Risk</w:t>
            </w:r>
          </w:p>
        </w:tc>
      </w:tr>
      <w:tr>
        <w:trPr>
          <w:tblHeader w:val="off"/>
        </w:trPr>
        <w:tc>
          <w:tcPr>
            <w:tcW w:type="dxa" w:w="32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8.8.8.8</w:t>
            </w:r>
          </w:p>
        </w:tc>
        <w:tc>
          <w:tcPr>
            <w:tcW w:type="dxa" w:w="10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ip</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0</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0</w:t>
            </w:r>
          </w:p>
        </w:tc>
        <w:tc>
          <w:tcPr>
            <w:tcW w:type="dxa" w:w="1426"/>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LOW</w:t>
            </w:r>
          </w:p>
        </w:tc>
      </w:tr>
      <w:tr>
        <w:trPr>
          <w:tblHeader w:val="off"/>
        </w:trPr>
        <w:tc>
          <w:tcPr>
            <w:tcW w:type="dxa" w:w="32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example.com</w:t>
            </w:r>
          </w:p>
        </w:tc>
        <w:tc>
          <w:tcPr>
            <w:tcW w:type="dxa" w:w="10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domain</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14</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5</w:t>
            </w:r>
          </w:p>
        </w:tc>
        <w:tc>
          <w:tcPr>
            <w:tcW w:type="dxa" w:w="1426"/>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HIGH</w:t>
            </w:r>
          </w:p>
        </w:tc>
      </w:tr>
      <w:tr>
        <w:trPr>
          <w:tblHeader w:val="off"/>
        </w:trPr>
        <w:tc>
          <w:tcPr>
            <w:tcW w:type="dxa" w:w="32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44d88612fea8a8f36de82e1278abb02f</w:t>
            </w:r>
          </w:p>
        </w:tc>
        <w:tc>
          <w:tcPr>
            <w:tcW w:type="dxa" w:w="10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hash</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0</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0</w:t>
            </w:r>
          </w:p>
        </w:tc>
        <w:tc>
          <w:tcPr>
            <w:tcW w:type="dxa" w:w="1426"/>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LOW</w:t>
            </w:r>
          </w:p>
        </w:tc>
      </w:tr>
      <w:tr>
        <w:trPr>
          <w:tblHeader w:val="off"/>
        </w:trPr>
        <w:tc>
          <w:tcPr>
            <w:tcW w:type="dxa" w:w="32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http://example.com/login</w:t>
            </w:r>
          </w:p>
        </w:tc>
        <w:tc>
          <w:tcPr>
            <w:tcW w:type="dxa" w:w="10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url</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0</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0</w:t>
            </w:r>
          </w:p>
        </w:tc>
        <w:tc>
          <w:tcPr>
            <w:tcW w:type="dxa" w:w="1426"/>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LOW</w:t>
            </w:r>
          </w:p>
        </w:tc>
      </w:tr>
      <w:tr>
        <w:trPr>
          <w:tblHeader w:val="off"/>
        </w:trPr>
        <w:tc>
          <w:tcPr>
            <w:tcW w:type="dxa" w:w="32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185.220.101.1</w:t>
            </w:r>
          </w:p>
        </w:tc>
        <w:tc>
          <w:tcPr>
            <w:tcW w:type="dxa" w:w="10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ip</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14</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5</w:t>
            </w:r>
          </w:p>
        </w:tc>
        <w:tc>
          <w:tcPr>
            <w:tcW w:type="dxa" w:w="1426"/>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HIGH</w:t>
            </w:r>
          </w:p>
        </w:tc>
      </w:tr>
    </w:tbl>
    <w:p>
      <w:pPr>
        <w:spacing w:after="120"/>
      </w:pPr>
    </w:p>
    <w:p>
      <w:pPr>
        <w:pStyle w:val="Heading2"/>
      </w:pPr>
      <w:r>
        <w:rPr>
          <w:rFonts w:ascii="Times New Roman" w:cs="Times New Roman" w:eastAsia="Times New Roman" w:hAnsi="Times New Roman"/>
        </w:rPr>
        <w:t xml:space="preserve">9.1 Sample output</w:t>
      </w:r>
    </w:p>
    <w:p>
      <w:pPr>
        <w:shd w:fill="F2F2F2" w:val="clear"/>
        <w:spacing w:after="0" w:line="260"/>
        <w:ind w:left="200" w:right="200"/>
      </w:pPr>
      <w:r>
        <w:rPr>
          <w:rFonts w:ascii="Courier New" w:cs="Courier New" w:eastAsia="Courier New" w:hAnsi="Courier New"/>
          <w:sz w:val="20"/>
          <w:szCs w:val="20"/>
        </w:rPr>
        <w:t xml:space="preserve">IoC        : 185.220.101.1  (ip)</w:t>
      </w:r>
    </w:p>
    <w:p>
      <w:pPr>
        <w:shd w:fill="F2F2F2" w:val="clear"/>
        <w:spacing w:after="0" w:line="260"/>
        <w:ind w:left="200" w:right="200"/>
      </w:pPr>
      <w:r>
        <w:rPr>
          <w:rFonts w:ascii="Courier New" w:cs="Courier New" w:eastAsia="Courier New" w:hAnsi="Courier New"/>
          <w:sz w:val="20"/>
          <w:szCs w:val="20"/>
        </w:rPr>
        <w:t xml:space="preserve">VirusTotal : 14 malicious, 2 suspicious</w:t>
      </w:r>
    </w:p>
    <w:p>
      <w:pPr>
        <w:shd w:fill="F2F2F2" w:val="clear"/>
        <w:spacing w:after="0" w:line="260"/>
        <w:ind w:left="200" w:right="200"/>
      </w:pPr>
      <w:r>
        <w:rPr>
          <w:rFonts w:ascii="Courier New" w:cs="Courier New" w:eastAsia="Courier New" w:hAnsi="Courier New"/>
          <w:sz w:val="20"/>
          <w:szCs w:val="20"/>
        </w:rPr>
        <w:t xml:space="preserve">AlienVault : 5 threat reports</w:t>
      </w:r>
    </w:p>
    <w:p>
      <w:pPr>
        <w:shd w:fill="F2F2F2" w:val="clear"/>
        <w:spacing w:after="0" w:line="260"/>
        <w:ind w:left="200" w:right="200"/>
      </w:pPr>
      <w:r>
        <w:rPr>
          <w:rFonts w:ascii="Courier New" w:cs="Courier New" w:eastAsia="Courier New" w:hAnsi="Courier New"/>
          <w:sz w:val="20"/>
          <w:szCs w:val="20"/>
        </w:rPr>
        <w:t xml:space="preserve">Reports    : Demo Botnet Campaign</w:t>
      </w:r>
    </w:p>
    <w:p>
      <w:pPr>
        <w:shd w:fill="F2F2F2" w:val="clear"/>
        <w:spacing w:after="0" w:line="260"/>
        <w:ind w:left="200" w:right="200"/>
      </w:pPr>
      <w:r>
        <w:rPr>
          <w:rFonts w:ascii="Courier New" w:cs="Courier New" w:eastAsia="Courier New" w:hAnsi="Courier New"/>
          <w:sz w:val="20"/>
          <w:szCs w:val="20"/>
        </w:rPr>
        <w:t xml:space="preserve">RISK       : HIGH  (score 45)</w:t>
      </w:r>
    </w:p>
    <w:p>
      <w:pPr>
        <w:spacing w:after="120"/>
      </w:pPr>
    </w:p>
    <w:p>
      <w:pPr>
        <w:pStyle w:val="Heading2"/>
      </w:pPr>
      <w:r>
        <w:rPr>
          <w:rFonts w:ascii="Times New Roman" w:cs="Times New Roman" w:eastAsia="Times New Roman" w:hAnsi="Times New Roman"/>
        </w:rPr>
        <w:t xml:space="preserve">9.2 Live run screenshots</w:t>
      </w:r>
    </w:p>
    <w:p>
      <w:pPr>
        <w:spacing w:after="120" w:line="320"/>
        <w:jc w:val="both"/>
        <w:rPr>
          <w:i/>
          <w:iCs/>
        </w:rPr>
      </w:pPr>
      <w:r>
        <w:rPr>
          <w:rFonts w:ascii="Times New Roman" w:cs="Times New Roman" w:eastAsia="Times New Roman" w:hAnsi="Times New Roman"/>
          <w:i/>
          <w:iCs/>
          <w:sz w:val="24"/>
          <w:szCs w:val="24"/>
        </w:rPr>
        <w:t xml:space="preserve">[Insert screenshots of the tool running with real API keys here, for example one known-bad IP and one clean IP such as 8.8.8.8, and the generated CSV report.]</w:t>
      </w:r>
    </w:p>
    <w:p>
      <w:pPr>
        <w:pStyle w:val="Heading1"/>
      </w:pPr>
      <w:r>
        <w:rPr>
          <w:rFonts w:ascii="Times New Roman" w:cs="Times New Roman" w:eastAsia="Times New Roman" w:hAnsi="Times New Roman"/>
        </w:rPr>
        <w:t xml:space="preserve">10. Applications</w:t>
      </w:r>
    </w:p>
    <w:p>
      <w:pPr>
        <w:pStyle w:val="ListParagraph"/>
        <w:numPr>
          <w:ilvl w:val="0"/>
          <w:numId w:val="2"/>
        </w:numPr>
        <w:spacing w:after="80" w:line="300"/>
      </w:pPr>
      <w:r>
        <w:rPr>
          <w:rFonts w:ascii="Times New Roman" w:cs="Times New Roman" w:eastAsia="Times New Roman" w:hAnsi="Times New Roman"/>
          <w:sz w:val="24"/>
          <w:szCs w:val="24"/>
        </w:rPr>
        <w:t xml:space="preserve">Quick triage of suspicious items by a Security Operations Center (SOC) analyst.</w:t>
      </w:r>
    </w:p>
    <w:p>
      <w:pPr>
        <w:pStyle w:val="ListParagraph"/>
        <w:numPr>
          <w:ilvl w:val="0"/>
          <w:numId w:val="2"/>
        </w:numPr>
        <w:spacing w:after="80" w:line="300"/>
      </w:pPr>
      <w:r>
        <w:rPr>
          <w:rFonts w:ascii="Times New Roman" w:cs="Times New Roman" w:eastAsia="Times New Roman" w:hAnsi="Times New Roman"/>
          <w:sz w:val="24"/>
          <w:szCs w:val="24"/>
        </w:rPr>
        <w:t xml:space="preserve">Checking indicators found in phishing emails or server logs.</w:t>
      </w:r>
    </w:p>
    <w:p>
      <w:pPr>
        <w:pStyle w:val="ListParagraph"/>
        <w:numPr>
          <w:ilvl w:val="0"/>
          <w:numId w:val="2"/>
        </w:numPr>
        <w:spacing w:after="80" w:line="300"/>
      </w:pPr>
      <w:r>
        <w:rPr>
          <w:rFonts w:ascii="Times New Roman" w:cs="Times New Roman" w:eastAsia="Times New Roman" w:hAnsi="Times New Roman"/>
          <w:sz w:val="24"/>
          <w:szCs w:val="24"/>
        </w:rPr>
        <w:t xml:space="preserve">Producing a simple CSV report of the reputation of many IoCs at once.</w:t>
      </w:r>
    </w:p>
    <w:p>
      <w:pPr>
        <w:pStyle w:val="ListParagraph"/>
        <w:numPr>
          <w:ilvl w:val="0"/>
          <w:numId w:val="2"/>
        </w:numPr>
        <w:spacing w:after="80" w:line="300"/>
      </w:pPr>
      <w:r>
        <w:rPr>
          <w:rFonts w:ascii="Times New Roman" w:cs="Times New Roman" w:eastAsia="Times New Roman" w:hAnsi="Times New Roman"/>
          <w:sz w:val="24"/>
          <w:szCs w:val="24"/>
        </w:rPr>
        <w:t xml:space="preserve">A learning project for working with APIs, JSON and error handling in Python.</w:t>
      </w:r>
    </w:p>
    <w:p>
      <w:pPr>
        <w:pStyle w:val="Heading1"/>
      </w:pPr>
      <w:r>
        <w:rPr>
          <w:rFonts w:ascii="Times New Roman" w:cs="Times New Roman" w:eastAsia="Times New Roman" w:hAnsi="Times New Roman"/>
        </w:rPr>
        <w:t xml:space="preserve">11. Limitations</w:t>
      </w:r>
    </w:p>
    <w:p>
      <w:pPr>
        <w:pStyle w:val="ListParagraph"/>
        <w:numPr>
          <w:ilvl w:val="0"/>
          <w:numId w:val="2"/>
        </w:numPr>
        <w:spacing w:after="80" w:line="300"/>
      </w:pPr>
      <w:r>
        <w:rPr>
          <w:rFonts w:ascii="Times New Roman" w:cs="Times New Roman" w:eastAsia="Times New Roman" w:hAnsi="Times New Roman"/>
          <w:sz w:val="24"/>
          <w:szCs w:val="24"/>
        </w:rPr>
        <w:t xml:space="preserve">The tool only reports what VirusTotal and AlienVault already know; it does not detect new threats.</w:t>
      </w:r>
    </w:p>
    <w:p>
      <w:pPr>
        <w:pStyle w:val="ListParagraph"/>
        <w:numPr>
          <w:ilvl w:val="0"/>
          <w:numId w:val="2"/>
        </w:numPr>
        <w:spacing w:after="80" w:line="300"/>
      </w:pPr>
      <w:r>
        <w:rPr>
          <w:rFonts w:ascii="Times New Roman" w:cs="Times New Roman" w:eastAsia="Times New Roman" w:hAnsi="Times New Roman"/>
          <w:sz w:val="24"/>
          <w:szCs w:val="24"/>
        </w:rPr>
        <w:t xml:space="preserve">A LOW result does not prove that an item is safe.</w:t>
      </w:r>
    </w:p>
    <w:p>
      <w:pPr>
        <w:pStyle w:val="ListParagraph"/>
        <w:numPr>
          <w:ilvl w:val="0"/>
          <w:numId w:val="2"/>
        </w:numPr>
        <w:spacing w:after="80" w:line="300"/>
      </w:pPr>
      <w:r>
        <w:rPr>
          <w:rFonts w:ascii="Times New Roman" w:cs="Times New Roman" w:eastAsia="Times New Roman" w:hAnsi="Times New Roman"/>
          <w:sz w:val="24"/>
          <w:szCs w:val="24"/>
        </w:rPr>
        <w:t xml:space="preserve">The scoring rule is a simplified model and has not been calibrated against real incident data.</w:t>
      </w:r>
    </w:p>
    <w:p>
      <w:pPr>
        <w:pStyle w:val="ListParagraph"/>
        <w:numPr>
          <w:ilvl w:val="0"/>
          <w:numId w:val="2"/>
        </w:numPr>
        <w:spacing w:after="80" w:line="300"/>
      </w:pPr>
      <w:r>
        <w:rPr>
          <w:rFonts w:ascii="Times New Roman" w:cs="Times New Roman" w:eastAsia="Times New Roman" w:hAnsi="Times New Roman"/>
          <w:sz w:val="24"/>
          <w:szCs w:val="24"/>
        </w:rPr>
        <w:t xml:space="preserve">The free VirusTotal plan is limited to about four requests per minute, so large lists are slow.</w:t>
      </w:r>
    </w:p>
    <w:p>
      <w:pPr>
        <w:pStyle w:val="ListParagraph"/>
        <w:numPr>
          <w:ilvl w:val="0"/>
          <w:numId w:val="2"/>
        </w:numPr>
        <w:spacing w:after="80" w:line="300"/>
      </w:pPr>
      <w:r>
        <w:rPr>
          <w:rFonts w:ascii="Times New Roman" w:cs="Times New Roman" w:eastAsia="Times New Roman" w:hAnsi="Times New Roman"/>
          <w:sz w:val="24"/>
          <w:szCs w:val="24"/>
        </w:rPr>
        <w:t xml:space="preserve">Only two intelligence sources are used.</w:t>
      </w:r>
    </w:p>
    <w:p>
      <w:pPr>
        <w:pStyle w:val="Heading1"/>
      </w:pPr>
      <w:r>
        <w:rPr>
          <w:rFonts w:ascii="Times New Roman" w:cs="Times New Roman" w:eastAsia="Times New Roman" w:hAnsi="Times New Roman"/>
        </w:rPr>
        <w:t xml:space="preserve">12. Future Scope</w:t>
      </w:r>
    </w:p>
    <w:p>
      <w:pPr>
        <w:pStyle w:val="ListParagraph"/>
        <w:numPr>
          <w:ilvl w:val="0"/>
          <w:numId w:val="2"/>
        </w:numPr>
        <w:spacing w:after="80" w:line="300"/>
      </w:pPr>
      <w:r>
        <w:rPr>
          <w:rFonts w:ascii="Times New Roman" w:cs="Times New Roman" w:eastAsia="Times New Roman" w:hAnsi="Times New Roman"/>
          <w:sz w:val="24"/>
          <w:szCs w:val="24"/>
        </w:rPr>
        <w:t xml:space="preserve">Add more sources such as AbuseIPDB and URLhaus.</w:t>
      </w:r>
    </w:p>
    <w:p>
      <w:pPr>
        <w:pStyle w:val="ListParagraph"/>
        <w:numPr>
          <w:ilvl w:val="0"/>
          <w:numId w:val="2"/>
        </w:numPr>
        <w:spacing w:after="80" w:line="300"/>
      </w:pPr>
      <w:r>
        <w:rPr>
          <w:rFonts w:ascii="Times New Roman" w:cs="Times New Roman" w:eastAsia="Times New Roman" w:hAnsi="Times New Roman"/>
          <w:sz w:val="24"/>
          <w:szCs w:val="24"/>
        </w:rPr>
        <w:t xml:space="preserve">Add a simple web interface.</w:t>
      </w:r>
    </w:p>
    <w:p>
      <w:pPr>
        <w:pStyle w:val="ListParagraph"/>
        <w:numPr>
          <w:ilvl w:val="0"/>
          <w:numId w:val="2"/>
        </w:numPr>
        <w:spacing w:after="80" w:line="300"/>
      </w:pPr>
      <w:r>
        <w:rPr>
          <w:rFonts w:ascii="Times New Roman" w:cs="Times New Roman" w:eastAsia="Times New Roman" w:hAnsi="Times New Roman"/>
          <w:sz w:val="24"/>
          <w:szCs w:val="24"/>
        </w:rPr>
        <w:t xml:space="preserve">Cache earlier results to save API calls.</w:t>
      </w:r>
    </w:p>
    <w:p>
      <w:pPr>
        <w:pStyle w:val="ListParagraph"/>
        <w:numPr>
          <w:ilvl w:val="0"/>
          <w:numId w:val="2"/>
        </w:numPr>
        <w:spacing w:after="80" w:line="300"/>
      </w:pPr>
      <w:r>
        <w:rPr>
          <w:rFonts w:ascii="Times New Roman" w:cs="Times New Roman" w:eastAsia="Times New Roman" w:hAnsi="Times New Roman"/>
          <w:sz w:val="24"/>
          <w:szCs w:val="24"/>
        </w:rPr>
        <w:t xml:space="preserve">Make the scoring weights configurable.</w:t>
      </w:r>
    </w:p>
    <w:p>
      <w:pPr>
        <w:pStyle w:val="ListParagraph"/>
        <w:numPr>
          <w:ilvl w:val="0"/>
          <w:numId w:val="2"/>
        </w:numPr>
        <w:spacing w:after="80" w:line="300"/>
      </w:pPr>
      <w:r>
        <w:rPr>
          <w:rFonts w:ascii="Times New Roman" w:cs="Times New Roman" w:eastAsia="Times New Roman" w:hAnsi="Times New Roman"/>
          <w:sz w:val="24"/>
          <w:szCs w:val="24"/>
        </w:rPr>
        <w:t xml:space="preserve">Support automatic extraction of IoCs from log files or emails.</w:t>
      </w:r>
    </w:p>
    <w:p>
      <w:pPr>
        <w:pStyle w:val="Heading1"/>
      </w:pPr>
      <w:r>
        <w:rPr>
          <w:rFonts w:ascii="Times New Roman" w:cs="Times New Roman" w:eastAsia="Times New Roman" w:hAnsi="Times New Roman"/>
        </w:rPr>
        <w:t xml:space="preserve">13. Conclusion</w:t>
      </w:r>
    </w:p>
    <w:p>
      <w:pPr>
        <w:spacing w:after="120" w:line="320"/>
        <w:jc w:val="both"/>
      </w:pPr>
      <w:r>
        <w:rPr>
          <w:rFonts w:ascii="Times New Roman" w:cs="Times New Roman" w:eastAsia="Times New Roman" w:hAnsi="Times New Roman"/>
          <w:sz w:val="24"/>
          <w:szCs w:val="24"/>
        </w:rPr>
        <w:t xml:space="preserve">The Threat Intelligence Aggregator automates the repetitive task of checking IoCs against VirusTotal and AlienVault OTX. It identifies the IoC type, collects reputation data from both sources, produces a combined risk level and exports a CSV report, while handling errors and keeping API keys out of the source code. The project demonstrates practical use of Python for API integration, JSON parsing, regular expressions, command-line tools and file output, and follows the way security teams use threat intelligence in practice.</w:t>
      </w:r>
    </w:p>
    <w:p>
      <w:pPr>
        <w:pStyle w:val="Heading1"/>
      </w:pPr>
      <w:r>
        <w:rPr>
          <w:rFonts w:ascii="Times New Roman" w:cs="Times New Roman" w:eastAsia="Times New Roman" w:hAnsi="Times New Roman"/>
        </w:rPr>
        <w:t xml:space="preserve">14. References</w:t>
      </w:r>
    </w:p>
    <w:p>
      <w:pPr>
        <w:pStyle w:val="ListParagraph"/>
        <w:numPr>
          <w:ilvl w:val="0"/>
          <w:numId w:val="4"/>
        </w:numPr>
        <w:spacing w:after="80" w:line="300"/>
      </w:pPr>
      <w:r>
        <w:rPr>
          <w:rFonts w:ascii="Times New Roman" w:cs="Times New Roman" w:eastAsia="Times New Roman" w:hAnsi="Times New Roman"/>
          <w:sz w:val="24"/>
          <w:szCs w:val="24"/>
        </w:rPr>
        <w:t xml:space="preserve">VirusTotal API v3 documentation: https://docs.virustotal.com/reference/overview</w:t>
      </w:r>
    </w:p>
    <w:p>
      <w:pPr>
        <w:pStyle w:val="ListParagraph"/>
        <w:numPr>
          <w:ilvl w:val="0"/>
          <w:numId w:val="4"/>
        </w:numPr>
        <w:spacing w:after="80" w:line="300"/>
      </w:pPr>
      <w:r>
        <w:rPr>
          <w:rFonts w:ascii="Times New Roman" w:cs="Times New Roman" w:eastAsia="Times New Roman" w:hAnsi="Times New Roman"/>
          <w:sz w:val="24"/>
          <w:szCs w:val="24"/>
        </w:rPr>
        <w:t xml:space="preserve">AlienVault Open Threat Exchange (OTX): https://otx.alienvault.com</w:t>
      </w:r>
    </w:p>
    <w:p>
      <w:pPr>
        <w:pStyle w:val="ListParagraph"/>
        <w:numPr>
          <w:ilvl w:val="0"/>
          <w:numId w:val="4"/>
        </w:numPr>
        <w:spacing w:after="80" w:line="300"/>
      </w:pPr>
      <w:r>
        <w:rPr>
          <w:rFonts w:ascii="Times New Roman" w:cs="Times New Roman" w:eastAsia="Times New Roman" w:hAnsi="Times New Roman"/>
          <w:sz w:val="24"/>
          <w:szCs w:val="24"/>
        </w:rPr>
        <w:t xml:space="preserve">Python requests library documentation: https://requests.readthedocs.io</w:t>
      </w:r>
    </w:p>
    <w:p>
      <w:pPr>
        <w:pStyle w:val="ListParagraph"/>
        <w:numPr>
          <w:ilvl w:val="0"/>
          <w:numId w:val="4"/>
        </w:numPr>
        <w:spacing w:after="80" w:line="300"/>
      </w:pPr>
      <w:r>
        <w:rPr>
          <w:rFonts w:ascii="Times New Roman" w:cs="Times New Roman" w:eastAsia="Times New Roman" w:hAnsi="Times New Roman"/>
          <w:sz w:val="24"/>
          <w:szCs w:val="24"/>
        </w:rPr>
        <w:t xml:space="preserve">Python documentation: https://docs.python.org/3/</w:t>
      </w:r>
    </w:p>
    <w:sectPr>
      <w:footerReference w:type="default" r:id="rId6"/>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0"/>
        <w:szCs w:val="20"/>
      </w:rPr>
      <w:t xml:space="preserve">Page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720" w:hanging="360"/>
      </w:pPr>
    </w:lvl>
  </w:abstractNum>
  <w:abstractNum w:abstractNumId="3" w15:restartNumberingAfterBreak="0">
    <w:multiLevelType w:val="hybridMultilevel"/>
    <w:lvl w:ilvl="0" w:tentative="1">
      <w:start w:val="1"/>
      <w:numFmt w:val="decimal"/>
      <w:lvlText w:val="%1."/>
      <w:lvlJc w:val="left"/>
      <w:pPr>
        <w:ind w:left="720" w:hanging="360"/>
      </w:pPr>
    </w:lvl>
  </w:abstractNum>
  <w:abstractNum w:abstractNumId="4" w15:restartNumberingAfterBreak="0">
    <w:multiLevelType w:val="hybridMultilevel"/>
    <w:lvl w:ilvl="0" w: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 w:numId="4">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140" w:before="320"/>
      <w:outlineLvl w:val="0"/>
    </w:pPr>
    <w:rPr>
      <w:rFonts w:ascii="Times New Roman" w:cs="Times New Roman" w:eastAsia="Times New Roman" w:hAnsi="Times New Roman"/>
      <w:b/>
      <w:bCs/>
      <w:color w:val="1F3864"/>
      <w:sz w:val="30"/>
      <w:szCs w:val="30"/>
    </w:rPr>
  </w:style>
  <w:style w:type="paragraph" w:styleId="Heading2">
    <w:name w:val="Heading 2"/>
    <w:basedOn w:val="Normal"/>
    <w:next w:val="Normal"/>
    <w:qFormat/>
    <w:pPr>
      <w:keepNext/>
      <w:spacing w:after="100" w:before="220"/>
      <w:outlineLvl w:val="1"/>
    </w:pPr>
    <w:rPr>
      <w:rFonts w:ascii="Times New Roman" w:cs="Times New Roman" w:eastAsia="Times New Roman" w:hAnsi="Times New Roman"/>
      <w:b/>
      <w:bCs/>
      <w:color w:val="2F5496"/>
      <w:sz w:val="26"/>
      <w:szCs w:val="26"/>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2026-10-27T09:16:09.627Z</dcterms:created>
  <dcterms:modified xsi:type="dcterms:W3CDTF">2026-10-27T09:16:09.627Z</dcterms:modified>
</cp:coreProperties>
</file>

<file path=docProps/custom.xml><?xml version="1.0" encoding="utf-8"?>
<Properties xmlns="http://schemas.openxmlformats.org/officeDocument/2006/custom-properties" xmlns:vt="http://schemas.openxmlformats.org/officeDocument/2006/docPropsVTypes"/>
</file>