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
        <w:jc w:val="center"/>
        <w:rPr/>
      </w:pPr>
      <w:r>
        <w:rPr>
          <w:rFonts w:eastAsia="Calibri" w:cs="Calibri"/>
          <w:b/>
          <w:bCs/>
          <w:color w:val="1F3864"/>
          <w:sz w:val="28"/>
          <w:szCs w:val="28"/>
        </w:rPr>
        <w:t xml:space="preserve">Federated XGBoost </w:t>
      </w:r>
      <w:r>
        <w:rPr>
          <w:rFonts w:eastAsia="Calibri" w:cs="Calibri"/>
          <w:b/>
          <w:bCs/>
          <w:color w:val="1F3864"/>
          <w:sz w:val="28"/>
          <w:szCs w:val="28"/>
        </w:rPr>
        <w:t>(Cyclic &amp; Bagging)</w:t>
      </w:r>
    </w:p>
    <w:p>
      <w:pPr>
        <w:pStyle w:val="Normal"/>
        <w:pBdr>
          <w:bottom w:val="single" w:sz="6" w:space="4" w:color="1F3864"/>
        </w:pBdr>
        <w:spacing w:before="0" w:after="80"/>
        <w:jc w:val="center"/>
        <w:rPr>
          <w:rFonts w:ascii="Calibri" w:hAnsi="Calibri" w:eastAsia="Calibri" w:cs="Calibri"/>
          <w:i/>
          <w:i/>
          <w:iCs/>
          <w:sz w:val="17"/>
          <w:szCs w:val="17"/>
        </w:rPr>
      </w:pPr>
      <w:r>
        <w:rPr/>
      </w:r>
    </w:p>
    <w:p>
      <w:pPr>
        <w:pStyle w:val="Normal"/>
        <w:spacing w:lineRule="exact" w:line="235" w:before="20" w:after="50"/>
        <w:jc w:val="both"/>
        <w:rPr/>
      </w:pPr>
      <w:r>
        <w:rPr>
          <w:rFonts w:eastAsia="Calibri" w:cs="Calibri"/>
          <w:b/>
          <w:bCs/>
          <w:sz w:val="17"/>
          <w:szCs w:val="17"/>
        </w:rPr>
        <w:t xml:space="preserve">The big picture. </w:t>
      </w:r>
      <w:r>
        <w:rPr>
          <w:rFonts w:eastAsia="Calibri" w:cs="Calibri"/>
          <w:sz w:val="17"/>
          <w:szCs w:val="17"/>
        </w:rPr>
        <w:t>We want a model that can answer “should this person be allowed to access this resource?” for three organisations — a company and two universities. Rather than pooling everyone’s data in one place, four clients each keep their own slice and train locally, while a single server stitches the results into one global XGBoost model. Everything that travels between them is encrypted. The sections below follow the code in the order it actually runs.</w:t>
      </w:r>
    </w:p>
    <w:p>
      <w:pPr>
        <w:pStyle w:val="Heading1"/>
        <w:spacing w:before="70" w:after="20"/>
        <w:rPr/>
      </w:pPr>
      <w:r>
        <w:rPr>
          <w:rFonts w:eastAsia="Calibri" w:cs="Calibri" w:ascii="Calibri" w:hAnsi="Calibri"/>
          <w:b/>
          <w:bCs/>
          <w:color w:val="1F3864"/>
          <w:sz w:val="21"/>
          <w:szCs w:val="21"/>
        </w:rPr>
        <w:t>1. Kicking things off — run_simulation.py and simulate_one.py</w:t>
      </w:r>
    </w:p>
    <w:p>
      <w:pPr>
        <w:pStyle w:val="Normal"/>
        <w:spacing w:lineRule="exact" w:line="235" w:before="20" w:after="50"/>
        <w:jc w:val="both"/>
        <w:rPr/>
      </w:pPr>
      <w:r>
        <w:rPr>
          <w:rFonts w:eastAsia="Calibri" w:cs="Calibri"/>
          <w:sz w:val="17"/>
          <w:szCs w:val="17"/>
        </w:rPr>
        <w:t xml:space="preserve">Think of </w:t>
      </w:r>
      <w:r>
        <w:rPr>
          <w:rFonts w:eastAsia="Consolas" w:cs="Consolas" w:ascii="Consolas" w:hAnsi="Consolas"/>
          <w:sz w:val="15"/>
          <w:szCs w:val="15"/>
        </w:rPr>
        <w:t>run_simulation.py</w:t>
      </w:r>
      <w:r>
        <w:rPr>
          <w:rFonts w:eastAsia="Calibri" w:cs="Calibri"/>
          <w:sz w:val="17"/>
          <w:szCs w:val="17"/>
        </w:rPr>
        <w:t xml:space="preserve"> as the experiment planner. It walks through every combination you asked for — dataset, partition strategy, encoding, Bagging or Cyclic, seed — and for each one it decides sensible training settings (for example, the coarser AVC encoding gets deeper trees and more rounds, and the large university2 dataset gets extra rounds). It then starts </w:t>
      </w:r>
      <w:r>
        <w:rPr>
          <w:rFonts w:eastAsia="Consolas" w:cs="Consolas" w:ascii="Consolas" w:hAnsi="Consolas"/>
          <w:sz w:val="15"/>
          <w:szCs w:val="15"/>
        </w:rPr>
        <w:t>simulate_one.py</w:t>
      </w:r>
      <w:r>
        <w:rPr>
          <w:rFonts w:eastAsia="Calibri" w:cs="Calibri"/>
          <w:sz w:val="17"/>
          <w:szCs w:val="17"/>
        </w:rPr>
        <w:t>, which stores all those choices as environment variables and launches Flower with four simulated clients. Because the server and clients read their instructions from the environment at start-up, the same code handles every experiment.</w:t>
      </w:r>
    </w:p>
    <w:p>
      <w:pPr>
        <w:pStyle w:val="Heading1"/>
        <w:spacing w:before="70" w:after="20"/>
        <w:rPr/>
      </w:pPr>
      <w:r>
        <w:rPr>
          <w:rFonts w:eastAsia="Calibri" w:cs="Calibri" w:ascii="Calibri" w:hAnsi="Calibri"/>
          <w:b/>
          <w:bCs/>
          <w:color w:val="1F3864"/>
          <w:sz w:val="21"/>
          <w:szCs w:val="21"/>
        </w:rPr>
        <w:t>2. Reading and encoding the data — utils.GetPreparedData()</w:t>
      </w:r>
    </w:p>
    <w:p>
      <w:pPr>
        <w:pStyle w:val="Normal"/>
        <w:spacing w:lineRule="exact" w:line="235" w:before="20" w:after="50"/>
        <w:jc w:val="both"/>
        <w:rPr/>
      </w:pPr>
      <w:r>
        <w:rPr>
          <w:rFonts w:eastAsia="Calibri" w:cs="Calibri"/>
          <w:sz w:val="17"/>
          <w:szCs w:val="17"/>
        </w:rPr>
        <w:t>The whole dataset is loaded from a single CSV. First we quickly rank the columns by how strongly they relate to the Access label — this ranking is used later by the SBP strategy. Then every text value is turned into a number (NotA becomes −1, Yes becomes 1, No becomes 0, everything else is numbered in the order it appears) and one of five encodings is applied:</w:t>
      </w:r>
    </w:p>
    <w:tbl>
      <w:tblPr>
        <w:tblW w:w="10960" w:type="dxa"/>
        <w:jc w:val="left"/>
        <w:tblInd w:w="0" w:type="dxa"/>
        <w:tblLayout w:type="fixed"/>
        <w:tblCellMar>
          <w:top w:w="20" w:type="dxa"/>
          <w:left w:w="70" w:type="dxa"/>
          <w:bottom w:w="20" w:type="dxa"/>
          <w:right w:w="70" w:type="dxa"/>
        </w:tblCellMar>
      </w:tblPr>
      <w:tblGrid>
        <w:gridCol w:w="1149"/>
        <w:gridCol w:w="1501"/>
        <w:gridCol w:w="8310"/>
      </w:tblGrid>
      <w:tr>
        <w:trPr>
          <w:tblHeader w:val="true"/>
        </w:trPr>
        <w:tc>
          <w:tcPr>
            <w:tcW w:w="1149" w:type="dxa"/>
            <w:tcBorders>
              <w:top w:val="single" w:sz="4" w:space="0" w:color="000000"/>
              <w:left w:val="single" w:sz="4" w:space="0" w:color="000000"/>
              <w:bottom w:val="single" w:sz="4" w:space="0" w:color="000000"/>
              <w:right w:val="single" w:sz="4" w:space="0" w:color="000000"/>
            </w:tcBorders>
            <w:shd w:color="auto" w:fill="D9E2F3" w:val="clear"/>
          </w:tcPr>
          <w:p>
            <w:pPr>
              <w:pStyle w:val="Normal"/>
              <w:widowControl w:val="false"/>
              <w:spacing w:lineRule="exact" w:line="225" w:before="0" w:after="0"/>
              <w:rPr/>
            </w:pPr>
            <w:r>
              <w:rPr>
                <w:rFonts w:eastAsia="Calibri" w:cs="Calibri"/>
                <w:b/>
                <w:bCs/>
                <w:sz w:val="16"/>
                <w:szCs w:val="16"/>
              </w:rPr>
              <w:t>prep_type</w:t>
            </w:r>
          </w:p>
        </w:tc>
        <w:tc>
          <w:tcPr>
            <w:tcW w:w="1501" w:type="dxa"/>
            <w:tcBorders>
              <w:top w:val="single" w:sz="4" w:space="0" w:color="000000"/>
              <w:left w:val="single" w:sz="4" w:space="0" w:color="000000"/>
              <w:bottom w:val="single" w:sz="4" w:space="0" w:color="000000"/>
              <w:right w:val="single" w:sz="4" w:space="0" w:color="000000"/>
            </w:tcBorders>
            <w:shd w:color="auto" w:fill="D9E2F3" w:val="clear"/>
          </w:tcPr>
          <w:p>
            <w:pPr>
              <w:pStyle w:val="Normal"/>
              <w:widowControl w:val="false"/>
              <w:spacing w:lineRule="exact" w:line="225" w:before="0" w:after="0"/>
              <w:rPr/>
            </w:pPr>
            <w:r>
              <w:rPr>
                <w:rFonts w:eastAsia="Calibri" w:cs="Calibri"/>
                <w:b/>
                <w:bCs/>
                <w:sz w:val="16"/>
                <w:szCs w:val="16"/>
              </w:rPr>
              <w:t>Name</w:t>
            </w:r>
          </w:p>
        </w:tc>
        <w:tc>
          <w:tcPr>
            <w:tcW w:w="8310" w:type="dxa"/>
            <w:tcBorders>
              <w:top w:val="single" w:sz="4" w:space="0" w:color="000000"/>
              <w:left w:val="single" w:sz="4" w:space="0" w:color="000000"/>
              <w:bottom w:val="single" w:sz="4" w:space="0" w:color="000000"/>
              <w:right w:val="single" w:sz="4" w:space="0" w:color="000000"/>
            </w:tcBorders>
            <w:shd w:color="auto" w:fill="D9E2F3" w:val="clear"/>
          </w:tcPr>
          <w:p>
            <w:pPr>
              <w:pStyle w:val="Normal"/>
              <w:widowControl w:val="false"/>
              <w:spacing w:lineRule="exact" w:line="225" w:before="0" w:after="0"/>
              <w:rPr/>
            </w:pPr>
            <w:r>
              <w:rPr>
                <w:rFonts w:eastAsia="Calibri" w:cs="Calibri"/>
                <w:b/>
                <w:bCs/>
                <w:sz w:val="16"/>
                <w:szCs w:val="16"/>
              </w:rPr>
              <w:t>In plain terms</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1</w:t>
            </w:r>
          </w:p>
        </w:tc>
        <w:tc>
          <w:tcPr>
            <w:tcW w:w="1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Naive</w:t>
            </w:r>
          </w:p>
        </w:tc>
        <w:tc>
          <w:tcPr>
            <w:tcW w:w="8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Every attribute value simply becomes a number.</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2</w:t>
            </w:r>
          </w:p>
        </w:tc>
        <w:tc>
          <w:tcPr>
            <w:tcW w:w="1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ARFE</w:t>
            </w:r>
          </w:p>
        </w:tc>
        <w:tc>
          <w:tcPr>
            <w:tcW w:w="8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Adds “does the subject’s value match the object’s value?” columns (1 = same, 0 = different, 2 = not applicable) and drops the raw pairs — this is what lets the model learn rules like “a student can see their own department’s material”.</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3</w:t>
            </w:r>
          </w:p>
        </w:tc>
        <w:tc>
          <w:tcPr>
            <w:tcW w:w="1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AVC</w:t>
            </w:r>
          </w:p>
        </w:tc>
        <w:tc>
          <w:tcPr>
            <w:tcW w:w="8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Groups similar values together (SDE, TESTER and DESIGNER all become “engineering staff”) so the model sees roles rather than job titles.</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4</w:t>
            </w:r>
          </w:p>
        </w:tc>
        <w:tc>
          <w:tcPr>
            <w:tcW w:w="1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ARFE + AVC</w:t>
            </w:r>
          </w:p>
        </w:tc>
        <w:tc>
          <w:tcPr>
            <w:tcW w:w="8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Both ideas combined.</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5</w:t>
            </w:r>
          </w:p>
        </w:tc>
        <w:tc>
          <w:tcPr>
            <w:tcW w:w="15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Naive + NA</w:t>
            </w:r>
          </w:p>
        </w:tc>
        <w:tc>
          <w:tcPr>
            <w:tcW w:w="831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Plain numbers, plus a flag column marking where a value was “NotA” (not applicable).</w:t>
            </w:r>
          </w:p>
        </w:tc>
      </w:tr>
    </w:tbl>
    <w:p>
      <w:pPr>
        <w:pStyle w:val="Normal"/>
        <w:spacing w:lineRule="exact" w:line="235" w:before="50" w:after="50"/>
        <w:jc w:val="both"/>
        <w:rPr/>
      </w:pPr>
      <w:r>
        <w:rPr>
          <w:rFonts w:eastAsia="Calibri" w:cs="Calibri"/>
          <w:sz w:val="17"/>
          <w:szCs w:val="17"/>
        </w:rPr>
        <w:t xml:space="preserve">Finally the data is split 80/20 into train and test, always with the same seed so every client and the server see exactly the same split. Everything dataset-specific — group definitions, column names, which columns to drop — lives in </w:t>
      </w:r>
      <w:r>
        <w:rPr>
          <w:rFonts w:eastAsia="Consolas" w:cs="Consolas" w:ascii="Consolas" w:hAnsi="Consolas"/>
          <w:sz w:val="15"/>
          <w:szCs w:val="15"/>
        </w:rPr>
        <w:t>dataset_registry.py</w:t>
      </w:r>
      <w:r>
        <w:rPr>
          <w:rFonts w:eastAsia="Calibri" w:cs="Calibri"/>
          <w:sz w:val="17"/>
          <w:szCs w:val="17"/>
        </w:rPr>
        <w:t>.</w:t>
      </w:r>
    </w:p>
    <w:p>
      <w:pPr>
        <w:pStyle w:val="Heading1"/>
        <w:spacing w:before="70" w:after="20"/>
        <w:rPr/>
      </w:pPr>
      <w:r>
        <w:rPr>
          <w:rFonts w:eastAsia="Calibri" w:cs="Calibri" w:ascii="Calibri" w:hAnsi="Calibri"/>
          <w:b/>
          <w:bCs/>
          <w:color w:val="1F3864"/>
          <w:sz w:val="21"/>
          <w:szCs w:val="21"/>
        </w:rPr>
        <w:t>3. Giving each client its share — utils.partition_dataset()</w:t>
      </w:r>
    </w:p>
    <w:p>
      <w:pPr>
        <w:pStyle w:val="Normal"/>
        <w:spacing w:lineRule="exact" w:line="235" w:before="20" w:after="50"/>
        <w:jc w:val="both"/>
        <w:rPr/>
      </w:pPr>
      <w:r>
        <w:rPr>
          <w:rFonts w:eastAsia="Calibri" w:cs="Calibri"/>
          <w:sz w:val="17"/>
          <w:szCs w:val="17"/>
        </w:rPr>
        <w:t xml:space="preserve">Each client rebuilds that same split and then keeps only its portion of the training rows. </w:t>
      </w:r>
      <w:r>
        <w:rPr>
          <w:rFonts w:eastAsia="Calibri" w:cs="Calibri"/>
          <w:b/>
          <w:bCs/>
          <w:sz w:val="17"/>
          <w:szCs w:val="17"/>
        </w:rPr>
        <w:t>RNP</w:t>
      </w:r>
      <w:r>
        <w:rPr>
          <w:rFonts w:eastAsia="Calibri" w:cs="Calibri"/>
          <w:sz w:val="17"/>
          <w:szCs w:val="17"/>
        </w:rPr>
        <w:t xml:space="preserve"> deals rows out randomly like a deck of cards. </w:t>
      </w:r>
      <w:r>
        <w:rPr>
          <w:rFonts w:eastAsia="Calibri" w:cs="Calibri"/>
          <w:b/>
          <w:bCs/>
          <w:sz w:val="17"/>
          <w:szCs w:val="17"/>
        </w:rPr>
        <w:t>PBP</w:t>
      </w:r>
      <w:r>
        <w:rPr>
          <w:rFonts w:eastAsia="Calibri" w:cs="Calibri"/>
          <w:sz w:val="17"/>
          <w:szCs w:val="17"/>
        </w:rPr>
        <w:t xml:space="preserve"> first groups rows by a chosen attribute (the person’s designation, or the resource type) and deals within each group, so every client sees a similar mix. </w:t>
      </w:r>
      <w:r>
        <w:rPr>
          <w:rFonts w:eastAsia="Calibri" w:cs="Calibri"/>
          <w:b/>
          <w:bCs/>
          <w:sz w:val="17"/>
          <w:szCs w:val="17"/>
        </w:rPr>
        <w:t>SBP</w:t>
      </w:r>
      <w:r>
        <w:rPr>
          <w:rFonts w:eastAsia="Calibri" w:cs="Calibri"/>
          <w:sz w:val="17"/>
          <w:szCs w:val="17"/>
        </w:rPr>
        <w:t xml:space="preserve"> does the same but uses the top-ranked feature from step 2. Every client also keeps the complete test set, and because “Yes” answers are rare (roughly 1 in 10 to 1 in 35), the model is told to weight them more heavily via </w:t>
      </w:r>
      <w:r>
        <w:rPr>
          <w:rFonts w:eastAsia="Consolas" w:cs="Consolas" w:ascii="Consolas" w:hAnsi="Consolas"/>
          <w:sz w:val="15"/>
          <w:szCs w:val="15"/>
        </w:rPr>
        <w:t>scale_pos_weight</w:t>
      </w:r>
      <w:r>
        <w:rPr>
          <w:rFonts w:eastAsia="Calibri" w:cs="Calibri"/>
          <w:sz w:val="17"/>
          <w:szCs w:val="17"/>
        </w:rPr>
        <w:t>.</w:t>
      </w:r>
    </w:p>
    <w:p>
      <w:pPr>
        <w:pStyle w:val="Heading1"/>
        <w:spacing w:before="70" w:after="20"/>
        <w:rPr/>
      </w:pPr>
      <w:r>
        <w:rPr>
          <w:rFonts w:eastAsia="Calibri" w:cs="Calibri" w:ascii="Calibri" w:hAnsi="Calibri"/>
          <w:b/>
          <w:bCs/>
          <w:color w:val="1F3864"/>
          <w:sz w:val="21"/>
          <w:szCs w:val="21"/>
        </w:rPr>
        <w:t>4. What a client does — client.py</w:t>
      </w:r>
    </w:p>
    <w:p>
      <w:pPr>
        <w:pStyle w:val="Normal"/>
        <w:spacing w:lineRule="exact" w:line="235" w:before="20" w:after="50"/>
        <w:jc w:val="both"/>
        <w:rPr/>
      </w:pPr>
      <w:r>
        <w:rPr>
          <w:rFonts w:eastAsia="Calibri" w:cs="Calibri"/>
          <w:sz w:val="17"/>
          <w:szCs w:val="17"/>
        </w:rPr>
        <w:t xml:space="preserve">In the first round each client trains a small XGBoost model from scratch on its own rows. In every later round it receives the current global model, unlocks it, grows a few more trees on its local data, and sends back its contribution. Under Bagging it returns only the new trees; under Cyclic it returns the whole updated model. Before anything leaves the client, the model is serialised to JSON and </w:t>
      </w:r>
      <w:r>
        <w:rPr>
          <w:rFonts w:eastAsia="Calibri" w:cs="Calibri"/>
          <w:b/>
          <w:bCs/>
          <w:sz w:val="17"/>
          <w:szCs w:val="17"/>
        </w:rPr>
        <w:t>encrypted with AES-256-GCM</w:t>
      </w:r>
      <w:r>
        <w:rPr>
          <w:rFonts w:eastAsia="Calibri" w:cs="Calibri"/>
          <w:sz w:val="17"/>
          <w:szCs w:val="17"/>
        </w:rPr>
        <w:t>, and the reply also carries how long training took plus the client’s local accuracy and AUC.</w:t>
      </w:r>
    </w:p>
    <w:p>
      <w:pPr>
        <w:pStyle w:val="Heading1"/>
        <w:spacing w:before="70" w:after="20"/>
        <w:rPr/>
      </w:pPr>
      <w:r>
        <w:rPr>
          <w:rFonts w:eastAsia="Calibri" w:cs="Calibri" w:ascii="Calibri" w:hAnsi="Calibri"/>
          <w:b/>
          <w:bCs/>
          <w:color w:val="1F3864"/>
          <w:sz w:val="21"/>
          <w:szCs w:val="21"/>
        </w:rPr>
        <w:t>5. What the server does — server.py</w:t>
      </w:r>
    </w:p>
    <w:tbl>
      <w:tblPr>
        <w:tblW w:w="10960" w:type="dxa"/>
        <w:jc w:val="left"/>
        <w:tblInd w:w="0" w:type="dxa"/>
        <w:tblLayout w:type="fixed"/>
        <w:tblCellMar>
          <w:top w:w="20" w:type="dxa"/>
          <w:left w:w="70" w:type="dxa"/>
          <w:bottom w:w="20" w:type="dxa"/>
          <w:right w:w="70" w:type="dxa"/>
        </w:tblCellMar>
      </w:tblPr>
      <w:tblGrid>
        <w:gridCol w:w="1699"/>
        <w:gridCol w:w="4631"/>
        <w:gridCol w:w="4630"/>
      </w:tblGrid>
      <w:tr>
        <w:trPr>
          <w:tblHeader w:val="true"/>
        </w:trPr>
        <w:tc>
          <w:tcPr>
            <w:tcW w:w="1699" w:type="dxa"/>
            <w:tcBorders>
              <w:top w:val="single" w:sz="4" w:space="0" w:color="000000"/>
              <w:left w:val="single" w:sz="4" w:space="0" w:color="000000"/>
              <w:bottom w:val="single" w:sz="4" w:space="0" w:color="000000"/>
              <w:right w:val="single" w:sz="4" w:space="0" w:color="000000"/>
            </w:tcBorders>
            <w:shd w:color="auto" w:fill="D9E2F3" w:val="clear"/>
          </w:tcPr>
          <w:p>
            <w:pPr>
              <w:pStyle w:val="Normal"/>
              <w:widowControl w:val="false"/>
              <w:spacing w:lineRule="exact" w:line="225" w:before="0" w:after="0"/>
              <w:rPr/>
            </w:pPr>
            <w:r>
              <w:rPr/>
            </w:r>
          </w:p>
        </w:tc>
        <w:tc>
          <w:tcPr>
            <w:tcW w:w="4631" w:type="dxa"/>
            <w:tcBorders>
              <w:top w:val="single" w:sz="4" w:space="0" w:color="000000"/>
              <w:left w:val="single" w:sz="4" w:space="0" w:color="000000"/>
              <w:bottom w:val="single" w:sz="4" w:space="0" w:color="000000"/>
              <w:right w:val="single" w:sz="4" w:space="0" w:color="000000"/>
            </w:tcBorders>
            <w:shd w:color="auto" w:fill="D9E2F3" w:val="clear"/>
          </w:tcPr>
          <w:p>
            <w:pPr>
              <w:pStyle w:val="Normal"/>
              <w:widowControl w:val="false"/>
              <w:spacing w:lineRule="exact" w:line="225" w:before="0" w:after="0"/>
              <w:rPr/>
            </w:pPr>
            <w:r>
              <w:rPr>
                <w:rFonts w:eastAsia="Calibri" w:cs="Calibri"/>
                <w:b/>
                <w:bCs/>
                <w:sz w:val="16"/>
                <w:szCs w:val="16"/>
              </w:rPr>
              <w:t>Bagging</w:t>
            </w:r>
          </w:p>
        </w:tc>
        <w:tc>
          <w:tcPr>
            <w:tcW w:w="4630" w:type="dxa"/>
            <w:tcBorders>
              <w:top w:val="single" w:sz="4" w:space="0" w:color="000000"/>
              <w:left w:val="single" w:sz="4" w:space="0" w:color="000000"/>
              <w:bottom w:val="single" w:sz="4" w:space="0" w:color="000000"/>
              <w:right w:val="single" w:sz="4" w:space="0" w:color="000000"/>
            </w:tcBorders>
            <w:shd w:color="auto" w:fill="D9E2F3" w:val="clear"/>
          </w:tcPr>
          <w:p>
            <w:pPr>
              <w:pStyle w:val="Normal"/>
              <w:widowControl w:val="false"/>
              <w:spacing w:lineRule="exact" w:line="225" w:before="0" w:after="0"/>
              <w:rPr/>
            </w:pPr>
            <w:r>
              <w:rPr>
                <w:rFonts w:eastAsia="Calibri" w:cs="Calibri"/>
                <w:b/>
                <w:bCs/>
                <w:sz w:val="16"/>
                <w:szCs w:val="16"/>
              </w:rPr>
              <w:t>Cyclic</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bCs/>
                <w:sz w:val="16"/>
                <w:szCs w:val="16"/>
              </w:rPr>
              <w:t>Who works each round</w:t>
            </w:r>
          </w:p>
        </w:tc>
        <w:tc>
          <w:tcPr>
            <w:tcW w:w="46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All four clients at the same time.</w:t>
            </w:r>
          </w:p>
        </w:tc>
        <w:tc>
          <w:tcPr>
            <w:tcW w:w="46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One client at a time, taking turns: 1 → 2 → 3 → 4 → 1 …</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bCs/>
                <w:sz w:val="16"/>
                <w:szCs w:val="16"/>
              </w:rPr>
              <w:t>What a client sends back</w:t>
            </w:r>
          </w:p>
        </w:tc>
        <w:tc>
          <w:tcPr>
            <w:tcW w:w="46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Just the handful of new trees it grew this round.</w:t>
            </w:r>
          </w:p>
        </w:tc>
        <w:tc>
          <w:tcPr>
            <w:tcW w:w="46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The whole model, now a little bigger.</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bCs/>
                <w:sz w:val="16"/>
                <w:szCs w:val="16"/>
              </w:rPr>
              <w:t>What the server does</w:t>
            </w:r>
          </w:p>
        </w:tc>
        <w:tc>
          <w:tcPr>
            <w:tcW w:w="46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Unlocks each client’s trees, stacks all of them onto the shared model, scores it on the test set, locks it again and sends it to everyone.</w:t>
            </w:r>
          </w:p>
        </w:tc>
        <w:tc>
          <w:tcPr>
            <w:tcW w:w="46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Simply hands the still-locked model to the next client; it only unlocks a copy to score it.</w:t>
            </w:r>
          </w:p>
        </w:tc>
      </w:tr>
      <w:tr>
        <w:trPr/>
        <w:tc>
          <w:tcPr>
            <w:tcW w:w="16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bCs/>
                <w:sz w:val="16"/>
                <w:szCs w:val="16"/>
              </w:rPr>
              <w:t>How the model grows</w:t>
            </w:r>
          </w:p>
        </w:tc>
        <w:tc>
          <w:tcPr>
            <w:tcW w:w="46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4 × local_epochs trees per round.</w:t>
            </w:r>
          </w:p>
        </w:tc>
        <w:tc>
          <w:tcPr>
            <w:tcW w:w="46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5" w:before="0" w:after="0"/>
              <w:rPr/>
            </w:pPr>
            <w:r>
              <w:rPr>
                <w:rFonts w:eastAsia="Calibri" w:cs="Calibri"/>
                <w:b w:val="false"/>
                <w:bCs w:val="false"/>
                <w:sz w:val="16"/>
                <w:szCs w:val="16"/>
              </w:rPr>
              <w:t>local_epochs trees per round.</w:t>
            </w:r>
          </w:p>
        </w:tc>
      </w:tr>
    </w:tbl>
    <w:p>
      <w:pPr>
        <w:pStyle w:val="Heading1"/>
        <w:spacing w:before="70" w:after="20"/>
        <w:rPr/>
      </w:pPr>
      <w:r>
        <w:rPr>
          <w:rFonts w:eastAsia="Calibri" w:cs="Calibri" w:ascii="Calibri" w:hAnsi="Calibri"/>
          <w:b/>
          <w:bCs/>
          <w:color w:val="1F3864"/>
          <w:sz w:val="21"/>
          <w:szCs w:val="21"/>
        </w:rPr>
        <w:t>6. Keeping score — _compute_metrics()</w:t>
      </w:r>
    </w:p>
    <w:p>
      <w:pPr>
        <w:pStyle w:val="Normal"/>
        <w:spacing w:lineRule="exact" w:line="235" w:before="20" w:after="50"/>
        <w:jc w:val="both"/>
        <w:rPr/>
      </w:pPr>
      <w:r>
        <w:rPr>
          <w:rFonts w:eastAsia="Calibri" w:cs="Calibri"/>
          <w:sz w:val="17"/>
          <w:szCs w:val="17"/>
        </w:rPr>
        <w:t xml:space="preserve">After every round the server evaluates the global model on the held-out test set: AUC, and then precision, recall and F1 at the probability cut-off that gives the best F1 (a fixed 0.5 would be far too generous on such imbalanced data). It also times inference per record. On the last round one summary line is appended to </w:t>
      </w:r>
      <w:r>
        <w:rPr>
          <w:rFonts w:eastAsia="Consolas" w:cs="Consolas" w:ascii="Consolas" w:hAnsi="Consolas"/>
          <w:sz w:val="15"/>
          <w:szCs w:val="15"/>
        </w:rPr>
        <w:t>results/consolidated_results.csv</w:t>
      </w:r>
      <w:r>
        <w:rPr>
          <w:rFonts w:eastAsia="Calibri" w:cs="Calibri"/>
          <w:sz w:val="17"/>
          <w:szCs w:val="17"/>
        </w:rPr>
        <w:t xml:space="preserve"> — dataset, method, encoding, strategy, seed, AUC, accuracy, precision, recall, F1, threshold, total training time, average inference time, and the number of training and test records.</w:t>
      </w:r>
    </w:p>
    <w:p>
      <w:pPr>
        <w:pStyle w:val="Heading1"/>
        <w:spacing w:before="70" w:after="20"/>
        <w:rPr/>
      </w:pPr>
      <w:r>
        <w:rPr>
          <w:rFonts w:eastAsia="Calibri" w:cs="Calibri" w:ascii="Calibri" w:hAnsi="Calibri"/>
          <w:b/>
          <w:bCs/>
          <w:color w:val="1F3864"/>
          <w:sz w:val="21"/>
          <w:szCs w:val="21"/>
        </w:rPr>
        <w:t>7. Keeping it private — encryption.py</w:t>
      </w:r>
    </w:p>
    <w:p>
      <w:pPr>
        <w:pStyle w:val="Normal"/>
        <w:spacing w:lineRule="exact" w:line="235" w:before="20" w:after="50"/>
        <w:jc w:val="both"/>
        <w:rPr/>
      </w:pPr>
      <w:r>
        <w:rPr>
          <w:rFonts w:eastAsia="Calibri" w:cs="Calibri"/>
          <w:sz w:val="17"/>
          <w:szCs w:val="17"/>
        </w:rPr>
        <w:t>A shared secret (</w:t>
      </w:r>
      <w:r>
        <w:rPr>
          <w:rFonts w:eastAsia="Consolas" w:cs="Consolas" w:ascii="Consolas" w:hAnsi="Consolas"/>
          <w:sz w:val="15"/>
          <w:szCs w:val="15"/>
        </w:rPr>
        <w:t>FL_SHARED_SECRET</w:t>
      </w:r>
      <w:r>
        <w:rPr>
          <w:rFonts w:eastAsia="Calibri" w:cs="Calibri"/>
          <w:sz w:val="17"/>
          <w:szCs w:val="17"/>
        </w:rPr>
        <w:t xml:space="preserve">) is turned into a 256-bit key with HKDF-SHA256. Every model on the wire is wrapped as </w:t>
      </w:r>
      <w:r>
        <w:rPr>
          <w:rFonts w:eastAsia="Consolas" w:cs="Consolas" w:ascii="Consolas" w:hAnsi="Consolas"/>
          <w:sz w:val="15"/>
          <w:szCs w:val="15"/>
        </w:rPr>
        <w:t>nonce | ciphertext | tag</w:t>
      </w:r>
      <w:r>
        <w:rPr>
          <w:rFonts w:eastAsia="Calibri" w:cs="Calibri"/>
          <w:sz w:val="17"/>
          <w:szCs w:val="17"/>
        </w:rPr>
        <w:t xml:space="preserve"> — 28 extra bytes, tampering is detected instantly, and the model that comes out is byte-for-byte the one that went in, so accuracy is untouched.</w:t>
      </w:r>
    </w:p>
    <w:p>
      <w:pPr>
        <w:pStyle w:val="Normal"/>
        <w:shd w:val="clear" w:color="auto" w:fill="F2F2F2"/>
        <w:spacing w:lineRule="exact" w:line="235" w:before="0" w:after="0"/>
        <w:ind w:left="120" w:right="120" w:hanging="0"/>
        <w:rPr/>
      </w:pPr>
      <w:r>
        <w:rPr>
          <w:rFonts w:eastAsia="Consolas" w:cs="Consolas" w:ascii="Consolas" w:hAnsi="Consolas"/>
          <w:sz w:val="15"/>
          <w:szCs w:val="15"/>
        </w:rPr>
        <w:t>CSV → encode → split 80/20 → partition → 4 clients train → ENCRYPT → server DECRYPTs → merge / pass on</w:t>
      </w:r>
    </w:p>
    <w:p>
      <w:pPr>
        <w:pStyle w:val="Normal"/>
        <w:shd w:val="clear" w:color="auto" w:fill="F2F2F2"/>
        <w:spacing w:lineRule="exact" w:line="235" w:before="0" w:after="0"/>
        <w:ind w:left="120" w:right="120" w:hanging="0"/>
        <w:rPr/>
      </w:pPr>
      <w:r>
        <w:rPr>
          <w:rFonts w:eastAsia="Consolas" w:cs="Consolas" w:ascii="Consolas" w:hAnsi="Consolas"/>
          <w:sz w:val="15"/>
          <w:szCs w:val="15"/>
        </w:rPr>
        <w:t xml:space="preserve">→ </w:t>
      </w:r>
      <w:r>
        <w:rPr>
          <w:rFonts w:eastAsia="Consolas" w:cs="Consolas" w:ascii="Consolas" w:hAnsi="Consolas"/>
          <w:sz w:val="15"/>
          <w:szCs w:val="15"/>
        </w:rPr>
        <w:t>evaluate → RE-ENCRYPT → broadcast → repeat for N rounds → one line in consolidated_results.csv</w:t>
      </w:r>
    </w:p>
    <w:sectPr>
      <w:type w:val="nextPage"/>
      <w:pgSz w:w="12240" w:h="15840"/>
      <w:pgMar w:left="640" w:right="640" w:gutter="0" w:header="0" w:top="640" w:footer="0" w:bottom="640"/>
      <w:pgNumType w:fmt="decimal"/>
      <w:formProt w:val="false"/>
      <w:textDirection w:val="lrTb"/>
      <w:docGrid w:type="default" w:linePitch="360" w:charSpace="1433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17"/>
        <w:szCs w:val="17"/>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17"/>
      <w:szCs w:val="17"/>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17"/>
      <w:szCs w:val="17"/>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17"/>
      <w:szCs w:val="17"/>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2</Pages>
  <Words>897</Words>
  <Characters>4422</Characters>
  <CharactersWithSpaces>5285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2026-09-04T10:35:14Z</dcterms:created>
  <dc:creator>Un-named</dc:creator>
  <dc:description/>
  <dc:language>en-IN</dc:language>
  <cp:lastModifiedBy/>
  <dcterms:modified xsi:type="dcterms:W3CDTF">2026-09-04T16:06:46Z</dcterms:modified>
  <cp:revision>2</cp:revision>
  <dc:subject/>
  <dc:title/>
</cp:coreProperties>
</file>