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Aptos Display" w:hAnsi="Aptos Display"/>
          <w:b/>
          <w:color w:val="30463B"/>
          <w:sz w:val="68"/>
        </w:rPr>
        <w:t>RESTORE</w:t>
      </w:r>
    </w:p>
    <w:p>
      <w:pPr>
        <w:jc w:val="center"/>
      </w:pPr>
      <w:r>
        <w:rPr>
          <w:b/>
          <w:color w:val="436451"/>
          <w:sz w:val="38"/>
        </w:rPr>
        <w:t>Responsive Wellness Environments</w:t>
      </w:r>
    </w:p>
    <w:p>
      <w:pPr>
        <w:jc w:val="center"/>
      </w:pPr>
      <w:r>
        <w:rPr>
          <w:i/>
        </w:rPr>
        <w:t>Corrected Website Content &amp; Implementation Brief</w:t>
      </w:r>
    </w:p>
    <w:p>
      <w:pPr>
        <w:jc w:val="center"/>
      </w:pPr>
      <w:r>
        <w:rPr>
          <w:sz w:val="22"/>
        </w:rPr>
        <w:t>Design Innovation × AI | Prepared for GitHub Pages</w:t>
      </w:r>
    </w:p>
    <w:p/>
    <w:p>
      <w:pPr>
        <w:jc w:val="center"/>
      </w:pPr>
      <w:r>
        <w:rPr>
          <w:sz w:val="22"/>
        </w:rPr>
        <w:t>A research-led website brief with revised evidence language, a soothing visual system, interactive requirements, and publication checks.</w:t>
      </w:r>
    </w:p>
    <w:p>
      <w:r>
        <w:br w:type="page"/>
      </w:r>
    </w:p>
    <w:p>
      <w:pPr>
        <w:pStyle w:val="Heading1"/>
      </w:pPr>
      <w:r>
        <w:t>How to use this document</w:t>
      </w:r>
    </w:p>
    <w:p>
      <w:r>
        <w:t>This document revises the supplied “Responsive Wellness Environments: Website Source Document” for use as the content and implementation brief for a GitHub Pages website. It preserves the five-section narrative—Evolution, Today, Evidence, Innovation, and Proof—while correcting overconfident wording, clarifying what is proposed versus established, and adding a consistent visual and interaction direction.</w:t>
      </w:r>
    </w:p>
    <w:p>
      <w:r>
        <w:t>Important: this is a content and design correction, not a claim that every source or statistic has been independently verified. Figures flagged below should remain unpublished until checked against their original sources.</w:t>
      </w:r>
    </w:p>
    <w:p>
      <w:pPr>
        <w:pStyle w:val="Heading2"/>
      </w:pPr>
      <w:r>
        <w:t>What has been corrected</w:t>
      </w:r>
    </w:p>
    <w:p>
      <w:pPr>
        <w:pStyle w:val="ListBullet"/>
      </w:pPr>
      <w:r>
        <w:t>Replaced language implying that a room can know or read a person's emotional state with language about preferences, environmental conditions, and optional, consented signals.</w:t>
      </w:r>
    </w:p>
    <w:p>
      <w:pPr>
        <w:pStyle w:val="ListBullet"/>
      </w:pPr>
      <w:r>
        <w:t>Removed unsupported absolute claims such as “a room no one has built yet” and “nature is the most proven material for calming it.”</w:t>
      </w:r>
    </w:p>
    <w:p>
      <w:pPr>
        <w:pStyle w:val="ListBullet"/>
      </w:pPr>
      <w:r>
        <w:t>Reframed the historical timeline as an interpretive overview rather than a universal, linear progression toward AI.</w:t>
      </w:r>
    </w:p>
    <w:p>
      <w:pPr>
        <w:pStyle w:val="ListBullet"/>
      </w:pPr>
      <w:r>
        <w:t>Separated research evidence, design interpretation, concept hypotheses, and proposed future validation.</w:t>
      </w:r>
    </w:p>
    <w:p>
      <w:pPr>
        <w:pStyle w:val="ListBullet"/>
      </w:pPr>
      <w:r>
        <w:t>Added a calm, consistent visual system and accessible interactive requirements for the website.</w:t>
      </w:r>
    </w:p>
    <w:p>
      <w:pPr>
        <w:pStyle w:val="ListBullet"/>
      </w:pPr>
      <w:r>
        <w:t>Flagged market, anxiety, and biophilia-related statistics for source verification instead of presenting them as settled facts.</w:t>
      </w:r>
    </w:p>
    <w:p>
      <w:pPr>
        <w:pStyle w:val="Heading1"/>
      </w:pPr>
      <w:r>
        <w:t>Website architecture</w:t>
      </w:r>
    </w:p>
    <w:tbl>
      <w:tblPr>
        <w:tblStyle w:val="LightShading-Accent1"/>
        <w:tblW w:type="auto" w:w="0"/>
        <w:tblLook w:firstColumn="1" w:firstRow="1" w:lastColumn="0" w:lastRow="0" w:noHBand="0" w:noVBand="1" w:val="04A0"/>
      </w:tblPr>
      <w:tblGrid>
        <w:gridCol w:w="3312"/>
        <w:gridCol w:w="3312"/>
        <w:gridCol w:w="3312"/>
      </w:tblGrid>
      <w:tr>
        <w:tc>
          <w:tcPr>
            <w:tcW w:type="dxa" w:w="3312"/>
            <w:vAlign w:val="center"/>
            <w:shd w:fill="30463B"/>
          </w:tcPr>
          <w:p>
            <w:pPr>
              <w:spacing w:after="40"/>
            </w:pPr>
            <w:r/>
            <w:r>
              <w:rPr>
                <w:rFonts w:ascii="Aptos" w:hAnsi="Aptos"/>
                <w:b/>
                <w:color w:val="FFFFFF"/>
                <w:sz w:val="18"/>
              </w:rPr>
              <w:t>Page / Section</w:t>
            </w:r>
          </w:p>
        </w:tc>
        <w:tc>
          <w:tcPr>
            <w:tcW w:type="dxa" w:w="3312"/>
            <w:vAlign w:val="center"/>
            <w:shd w:fill="30463B"/>
          </w:tcPr>
          <w:p>
            <w:pPr>
              <w:spacing w:after="40"/>
            </w:pPr>
            <w:r/>
            <w:r>
              <w:rPr>
                <w:rFonts w:ascii="Aptos" w:hAnsi="Aptos"/>
                <w:b/>
                <w:color w:val="FFFFFF"/>
                <w:sz w:val="18"/>
              </w:rPr>
              <w:t>Purpose</w:t>
            </w:r>
          </w:p>
        </w:tc>
        <w:tc>
          <w:tcPr>
            <w:tcW w:type="dxa" w:w="3312"/>
            <w:vAlign w:val="center"/>
            <w:shd w:fill="30463B"/>
          </w:tcPr>
          <w:p>
            <w:pPr>
              <w:spacing w:after="40"/>
            </w:pPr>
            <w:r/>
            <w:r>
              <w:rPr>
                <w:rFonts w:ascii="Aptos" w:hAnsi="Aptos"/>
                <w:b/>
                <w:color w:val="FFFFFF"/>
                <w:sz w:val="18"/>
              </w:rPr>
              <w:t>Core interaction</w:t>
            </w:r>
          </w:p>
        </w:tc>
      </w:tr>
      <w:tr>
        <w:tc>
          <w:tcPr>
            <w:tcW w:type="dxa" w:w="3312"/>
            <w:vAlign w:val="center"/>
          </w:tcPr>
          <w:p>
            <w:pPr>
              <w:spacing w:after="40"/>
            </w:pPr>
            <w:r/>
            <w:r>
              <w:rPr>
                <w:rFonts w:ascii="Aptos" w:hAnsi="Aptos"/>
                <w:b w:val="0"/>
                <w:sz w:val="16"/>
              </w:rPr>
              <w:t>Homepage / Hero</w:t>
            </w:r>
          </w:p>
        </w:tc>
        <w:tc>
          <w:tcPr>
            <w:tcW w:type="dxa" w:w="3312"/>
            <w:vAlign w:val="center"/>
          </w:tcPr>
          <w:p>
            <w:pPr>
              <w:spacing w:after="40"/>
            </w:pPr>
            <w:r/>
            <w:r>
              <w:rPr>
                <w:rFonts w:ascii="Aptos" w:hAnsi="Aptos"/>
                <w:b w:val="0"/>
                <w:sz w:val="16"/>
              </w:rPr>
              <w:t>Introduce the question and guide the visitor through the research narrative.</w:t>
            </w:r>
          </w:p>
        </w:tc>
        <w:tc>
          <w:tcPr>
            <w:tcW w:type="dxa" w:w="3312"/>
            <w:vAlign w:val="center"/>
          </w:tcPr>
          <w:p>
            <w:pPr>
              <w:spacing w:after="40"/>
            </w:pPr>
            <w:r/>
            <w:r>
              <w:rPr>
                <w:rFonts w:ascii="Aptos" w:hAnsi="Aptos"/>
                <w:b w:val="0"/>
                <w:sz w:val="16"/>
              </w:rPr>
              <w:t>Explore Research and Discover the Concept links; active section navigation.</w:t>
            </w:r>
          </w:p>
        </w:tc>
      </w:tr>
      <w:tr>
        <w:tc>
          <w:tcPr>
            <w:tcW w:type="dxa" w:w="3312"/>
            <w:vAlign w:val="center"/>
          </w:tcPr>
          <w:p>
            <w:pPr>
              <w:spacing w:after="40"/>
            </w:pPr>
            <w:r/>
            <w:r>
              <w:rPr>
                <w:rFonts w:ascii="Aptos" w:hAnsi="Aptos"/>
                <w:b w:val="0"/>
                <w:sz w:val="16"/>
              </w:rPr>
              <w:t>Evolution</w:t>
            </w:r>
          </w:p>
        </w:tc>
        <w:tc>
          <w:tcPr>
            <w:tcW w:type="dxa" w:w="3312"/>
            <w:vAlign w:val="center"/>
          </w:tcPr>
          <w:p>
            <w:pPr>
              <w:spacing w:after="40"/>
            </w:pPr>
            <w:r/>
            <w:r>
              <w:rPr>
                <w:rFonts w:ascii="Aptos" w:hAnsi="Aptos"/>
                <w:b w:val="0"/>
                <w:sz w:val="16"/>
              </w:rPr>
              <w:t>Show how different societies and periods used spaces for bathing, healing, ritual, leisure, and restoration.</w:t>
            </w:r>
          </w:p>
        </w:tc>
        <w:tc>
          <w:tcPr>
            <w:tcW w:type="dxa" w:w="3312"/>
            <w:vAlign w:val="center"/>
          </w:tcPr>
          <w:p>
            <w:pPr>
              <w:spacing w:after="40"/>
            </w:pPr>
            <w:r/>
            <w:r>
              <w:rPr>
                <w:rFonts w:ascii="Aptos" w:hAnsi="Aptos"/>
                <w:b w:val="0"/>
                <w:sz w:val="16"/>
              </w:rPr>
              <w:t>Short timeline strip linking to full timeline.</w:t>
            </w:r>
          </w:p>
        </w:tc>
      </w:tr>
      <w:tr>
        <w:tc>
          <w:tcPr>
            <w:tcW w:type="dxa" w:w="3312"/>
            <w:vAlign w:val="center"/>
          </w:tcPr>
          <w:p>
            <w:pPr>
              <w:spacing w:after="40"/>
            </w:pPr>
            <w:r/>
            <w:r>
              <w:rPr>
                <w:rFonts w:ascii="Aptos" w:hAnsi="Aptos"/>
                <w:b w:val="0"/>
                <w:sz w:val="16"/>
              </w:rPr>
              <w:t>Today</w:t>
            </w:r>
          </w:p>
        </w:tc>
        <w:tc>
          <w:tcPr>
            <w:tcW w:type="dxa" w:w="3312"/>
            <w:vAlign w:val="center"/>
          </w:tcPr>
          <w:p>
            <w:pPr>
              <w:spacing w:after="40"/>
            </w:pPr>
            <w:r/>
            <w:r>
              <w:rPr>
                <w:rFonts w:ascii="Aptos" w:hAnsi="Aptos"/>
                <w:b w:val="0"/>
                <w:sz w:val="16"/>
              </w:rPr>
              <w:t>Explain the six trends and why three are prioritised.</w:t>
            </w:r>
          </w:p>
        </w:tc>
        <w:tc>
          <w:tcPr>
            <w:tcW w:type="dxa" w:w="3312"/>
            <w:vAlign w:val="center"/>
          </w:tcPr>
          <w:p>
            <w:pPr>
              <w:spacing w:after="40"/>
            </w:pPr>
            <w:r/>
            <w:r>
              <w:rPr>
                <w:rFonts w:ascii="Aptos" w:hAnsi="Aptos"/>
                <w:b w:val="0"/>
                <w:sz w:val="16"/>
              </w:rPr>
              <w:t>Selectable trend panels or accessible accordions.</w:t>
            </w:r>
          </w:p>
        </w:tc>
      </w:tr>
      <w:tr>
        <w:tc>
          <w:tcPr>
            <w:tcW w:type="dxa" w:w="3312"/>
            <w:vAlign w:val="center"/>
          </w:tcPr>
          <w:p>
            <w:pPr>
              <w:spacing w:after="40"/>
            </w:pPr>
            <w:r/>
            <w:r>
              <w:rPr>
                <w:rFonts w:ascii="Aptos" w:hAnsi="Aptos"/>
                <w:b w:val="0"/>
                <w:sz w:val="16"/>
              </w:rPr>
              <w:t>Evidence</w:t>
            </w:r>
          </w:p>
        </w:tc>
        <w:tc>
          <w:tcPr>
            <w:tcW w:type="dxa" w:w="3312"/>
            <w:vAlign w:val="center"/>
          </w:tcPr>
          <w:p>
            <w:pPr>
              <w:spacing w:after="40"/>
            </w:pPr>
            <w:r/>
            <w:r>
              <w:rPr>
                <w:rFonts w:ascii="Aptos" w:hAnsi="Aptos"/>
                <w:b w:val="0"/>
                <w:sz w:val="16"/>
              </w:rPr>
              <w:t>Synthesize research on biophilia, neuroarchitecture, environmental control, and restorative environments.</w:t>
            </w:r>
          </w:p>
        </w:tc>
        <w:tc>
          <w:tcPr>
            <w:tcW w:type="dxa" w:w="3312"/>
            <w:vAlign w:val="center"/>
          </w:tcPr>
          <w:p>
            <w:pPr>
              <w:spacing w:after="40"/>
            </w:pPr>
            <w:r/>
            <w:r>
              <w:rPr>
                <w:rFonts w:ascii="Aptos" w:hAnsi="Aptos"/>
                <w:b w:val="0"/>
                <w:sz w:val="16"/>
              </w:rPr>
              <w:t>Evidence cards with limitations and citations.</w:t>
            </w:r>
          </w:p>
        </w:tc>
      </w:tr>
      <w:tr>
        <w:tc>
          <w:tcPr>
            <w:tcW w:type="dxa" w:w="3312"/>
            <w:vAlign w:val="center"/>
          </w:tcPr>
          <w:p>
            <w:pPr>
              <w:spacing w:after="40"/>
            </w:pPr>
            <w:r/>
            <w:r>
              <w:rPr>
                <w:rFonts w:ascii="Aptos" w:hAnsi="Aptos"/>
                <w:b w:val="0"/>
                <w:sz w:val="16"/>
              </w:rPr>
              <w:t>Innovation</w:t>
            </w:r>
          </w:p>
        </w:tc>
        <w:tc>
          <w:tcPr>
            <w:tcW w:type="dxa" w:w="3312"/>
            <w:vAlign w:val="center"/>
          </w:tcPr>
          <w:p>
            <w:pPr>
              <w:spacing w:after="40"/>
            </w:pPr>
            <w:r/>
            <w:r>
              <w:rPr>
                <w:rFonts w:ascii="Aptos" w:hAnsi="Aptos"/>
                <w:b w:val="0"/>
                <w:sz w:val="16"/>
              </w:rPr>
              <w:t>Present stakeholders, opportunity areas, and The Room That Listens.</w:t>
            </w:r>
          </w:p>
        </w:tc>
        <w:tc>
          <w:tcPr>
            <w:tcW w:type="dxa" w:w="3312"/>
            <w:vAlign w:val="center"/>
          </w:tcPr>
          <w:p>
            <w:pPr>
              <w:spacing w:after="40"/>
            </w:pPr>
            <w:r/>
            <w:r>
              <w:rPr>
                <w:rFonts w:ascii="Aptos" w:hAnsi="Aptos"/>
                <w:b w:val="0"/>
                <w:sz w:val="16"/>
              </w:rPr>
              <w:t>Interactive opportunity map and concept journey.</w:t>
            </w:r>
          </w:p>
        </w:tc>
      </w:tr>
      <w:tr>
        <w:tc>
          <w:tcPr>
            <w:tcW w:type="dxa" w:w="3312"/>
            <w:vAlign w:val="center"/>
          </w:tcPr>
          <w:p>
            <w:pPr>
              <w:spacing w:after="40"/>
            </w:pPr>
            <w:r/>
            <w:r>
              <w:rPr>
                <w:rFonts w:ascii="Aptos" w:hAnsi="Aptos"/>
                <w:b w:val="0"/>
                <w:sz w:val="16"/>
              </w:rPr>
              <w:t>Proof</w:t>
            </w:r>
          </w:p>
        </w:tc>
        <w:tc>
          <w:tcPr>
            <w:tcW w:type="dxa" w:w="3312"/>
            <w:vAlign w:val="center"/>
          </w:tcPr>
          <w:p>
            <w:pPr>
              <w:spacing w:after="40"/>
            </w:pPr>
            <w:r/>
            <w:r>
              <w:rPr>
                <w:rFonts w:ascii="Aptos" w:hAnsi="Aptos"/>
                <w:b w:val="0"/>
                <w:sz w:val="16"/>
              </w:rPr>
              <w:t>Describe a proposed evaluation framework without implying results already exist.</w:t>
            </w:r>
          </w:p>
        </w:tc>
        <w:tc>
          <w:tcPr>
            <w:tcW w:type="dxa" w:w="3312"/>
            <w:vAlign w:val="center"/>
          </w:tcPr>
          <w:p>
            <w:pPr>
              <w:spacing w:after="40"/>
            </w:pPr>
            <w:r/>
            <w:r>
              <w:rPr>
                <w:rFonts w:ascii="Aptos" w:hAnsi="Aptos"/>
                <w:b w:val="0"/>
                <w:sz w:val="16"/>
              </w:rPr>
              <w:t>Selectable A/B/C conditions and evaluation matrix.</w:t>
            </w:r>
          </w:p>
        </w:tc>
      </w:tr>
      <w:tr>
        <w:tc>
          <w:tcPr>
            <w:tcW w:type="dxa" w:w="3312"/>
            <w:vAlign w:val="center"/>
          </w:tcPr>
          <w:p>
            <w:pPr>
              <w:spacing w:after="40"/>
            </w:pPr>
            <w:r/>
            <w:r>
              <w:rPr>
                <w:rFonts w:ascii="Aptos" w:hAnsi="Aptos"/>
                <w:b w:val="0"/>
                <w:sz w:val="16"/>
              </w:rPr>
              <w:t>timeline.html</w:t>
            </w:r>
          </w:p>
        </w:tc>
        <w:tc>
          <w:tcPr>
            <w:tcW w:type="dxa" w:w="3312"/>
            <w:vAlign w:val="center"/>
          </w:tcPr>
          <w:p>
            <w:pPr>
              <w:spacing w:after="40"/>
            </w:pPr>
            <w:r/>
            <w:r>
              <w:rPr>
                <w:rFonts w:ascii="Aptos" w:hAnsi="Aptos"/>
                <w:b w:val="0"/>
                <w:sz w:val="16"/>
              </w:rPr>
              <w:t>Detailed historical overview.</w:t>
            </w:r>
          </w:p>
        </w:tc>
        <w:tc>
          <w:tcPr>
            <w:tcW w:type="dxa" w:w="3312"/>
            <w:vAlign w:val="center"/>
          </w:tcPr>
          <w:p>
            <w:pPr>
              <w:spacing w:after="40"/>
            </w:pPr>
            <w:r/>
            <w:r>
              <w:rPr>
                <w:rFonts w:ascii="Aptos" w:hAnsi="Aptos"/>
                <w:b w:val="0"/>
                <w:sz w:val="16"/>
              </w:rPr>
              <w:t>Keyboard-accessible timeline with detail panel.</w:t>
            </w:r>
          </w:p>
        </w:tc>
      </w:tr>
      <w:tr>
        <w:tc>
          <w:tcPr>
            <w:tcW w:type="dxa" w:w="3312"/>
            <w:vAlign w:val="center"/>
          </w:tcPr>
          <w:p>
            <w:pPr>
              <w:spacing w:after="40"/>
            </w:pPr>
            <w:r/>
            <w:r>
              <w:rPr>
                <w:rFonts w:ascii="Aptos" w:hAnsi="Aptos"/>
                <w:b w:val="0"/>
                <w:sz w:val="16"/>
              </w:rPr>
              <w:t>sources.html</w:t>
            </w:r>
          </w:p>
        </w:tc>
        <w:tc>
          <w:tcPr>
            <w:tcW w:type="dxa" w:w="3312"/>
            <w:vAlign w:val="center"/>
          </w:tcPr>
          <w:p>
            <w:pPr>
              <w:spacing w:after="40"/>
            </w:pPr>
            <w:r/>
            <w:r>
              <w:rPr>
                <w:rFonts w:ascii="Aptos" w:hAnsi="Aptos"/>
                <w:b w:val="0"/>
                <w:sz w:val="16"/>
              </w:rPr>
              <w:t>Bibliography and research integrity notes.</w:t>
            </w:r>
          </w:p>
        </w:tc>
        <w:tc>
          <w:tcPr>
            <w:tcW w:type="dxa" w:w="3312"/>
            <w:vAlign w:val="center"/>
          </w:tcPr>
          <w:p>
            <w:pPr>
              <w:spacing w:after="40"/>
            </w:pPr>
            <w:r/>
            <w:r>
              <w:rPr>
                <w:rFonts w:ascii="Aptos" w:hAnsi="Aptos"/>
                <w:b w:val="0"/>
                <w:sz w:val="16"/>
              </w:rPr>
              <w:t>Grouped references with working source links.</w:t>
            </w:r>
          </w:p>
        </w:tc>
      </w:tr>
    </w:tbl>
    <w:p>
      <w:pPr>
        <w:pStyle w:val="Heading1"/>
      </w:pPr>
      <w:r>
        <w:t>Visual design system</w:t>
      </w:r>
    </w:p>
    <w:p>
      <w:r>
        <w:t>Creative direction: a calm editorial research journal inspired by architecture, natural materials, and restorative spaces. It should not resemble a corporate dashboard or a static PowerPoint exported to HTML.</w:t>
      </w:r>
    </w:p>
    <w:tbl>
      <w:tblPr>
        <w:tblStyle w:val="LightShading-Accent1"/>
        <w:tblW w:type="auto" w:w="0"/>
        <w:tblLook w:firstColumn="1" w:firstRow="1" w:lastColumn="0" w:lastRow="0" w:noHBand="0" w:noVBand="1" w:val="04A0"/>
      </w:tblPr>
      <w:tblGrid>
        <w:gridCol w:w="3312"/>
        <w:gridCol w:w="3312"/>
        <w:gridCol w:w="3312"/>
      </w:tblGrid>
      <w:tr>
        <w:tc>
          <w:tcPr>
            <w:tcW w:type="dxa" w:w="3312"/>
            <w:vAlign w:val="center"/>
            <w:shd w:fill="30463B"/>
          </w:tcPr>
          <w:p>
            <w:pPr>
              <w:spacing w:after="40"/>
            </w:pPr>
            <w:r/>
            <w:r>
              <w:rPr>
                <w:rFonts w:ascii="Aptos" w:hAnsi="Aptos"/>
                <w:b/>
                <w:color w:val="FFFFFF"/>
                <w:sz w:val="18"/>
              </w:rPr>
              <w:t>Colour</w:t>
            </w:r>
          </w:p>
        </w:tc>
        <w:tc>
          <w:tcPr>
            <w:tcW w:type="dxa" w:w="3312"/>
            <w:vAlign w:val="center"/>
            <w:shd w:fill="30463B"/>
          </w:tcPr>
          <w:p>
            <w:pPr>
              <w:spacing w:after="40"/>
            </w:pPr>
            <w:r/>
            <w:r>
              <w:rPr>
                <w:rFonts w:ascii="Aptos" w:hAnsi="Aptos"/>
                <w:b/>
                <w:color w:val="FFFFFF"/>
                <w:sz w:val="18"/>
              </w:rPr>
              <w:t>Hex</w:t>
            </w:r>
          </w:p>
        </w:tc>
        <w:tc>
          <w:tcPr>
            <w:tcW w:type="dxa" w:w="3312"/>
            <w:vAlign w:val="center"/>
            <w:shd w:fill="30463B"/>
          </w:tcPr>
          <w:p>
            <w:pPr>
              <w:spacing w:after="40"/>
            </w:pPr>
            <w:r/>
            <w:r>
              <w:rPr>
                <w:rFonts w:ascii="Aptos" w:hAnsi="Aptos"/>
                <w:b/>
                <w:color w:val="FFFFFF"/>
                <w:sz w:val="18"/>
              </w:rPr>
              <w:t>Use</w:t>
            </w:r>
          </w:p>
        </w:tc>
      </w:tr>
      <w:tr>
        <w:tc>
          <w:tcPr>
            <w:tcW w:type="dxa" w:w="3312"/>
            <w:vAlign w:val="center"/>
            <w:shd w:fill="F5F1E8"/>
          </w:tcPr>
          <w:p>
            <w:pPr>
              <w:spacing w:after="40"/>
            </w:pPr>
            <w:r/>
            <w:r>
              <w:rPr>
                <w:rFonts w:ascii="Aptos" w:hAnsi="Aptos"/>
                <w:b/>
                <w:sz w:val="18"/>
              </w:rPr>
              <w:t>Warm ivory</w:t>
            </w:r>
          </w:p>
        </w:tc>
        <w:tc>
          <w:tcPr>
            <w:tcW w:type="dxa" w:w="3312"/>
            <w:vAlign w:val="center"/>
          </w:tcPr>
          <w:p>
            <w:pPr>
              <w:spacing w:after="40"/>
            </w:pPr>
            <w:r/>
            <w:r>
              <w:rPr>
                <w:rFonts w:ascii="Aptos" w:hAnsi="Aptos"/>
                <w:b w:val="0"/>
                <w:sz w:val="18"/>
              </w:rPr>
              <w:t>#F5F1E8</w:t>
            </w:r>
          </w:p>
        </w:tc>
        <w:tc>
          <w:tcPr>
            <w:tcW w:type="dxa" w:w="3312"/>
            <w:vAlign w:val="center"/>
          </w:tcPr>
          <w:p>
            <w:pPr>
              <w:spacing w:after="40"/>
            </w:pPr>
            <w:r/>
            <w:r>
              <w:rPr>
                <w:rFonts w:ascii="Aptos" w:hAnsi="Aptos"/>
                <w:b w:val="0"/>
                <w:sz w:val="18"/>
              </w:rPr>
              <w:t>Main background</w:t>
            </w:r>
          </w:p>
        </w:tc>
      </w:tr>
      <w:tr>
        <w:tc>
          <w:tcPr>
            <w:tcW w:type="dxa" w:w="3312"/>
            <w:vAlign w:val="center"/>
            <w:shd w:fill="B6C5AE"/>
          </w:tcPr>
          <w:p>
            <w:pPr>
              <w:spacing w:after="40"/>
            </w:pPr>
            <w:r/>
            <w:r>
              <w:rPr>
                <w:rFonts w:ascii="Aptos" w:hAnsi="Aptos"/>
                <w:b/>
                <w:sz w:val="18"/>
              </w:rPr>
              <w:t>Soft sage</w:t>
            </w:r>
          </w:p>
        </w:tc>
        <w:tc>
          <w:tcPr>
            <w:tcW w:type="dxa" w:w="3312"/>
            <w:vAlign w:val="center"/>
          </w:tcPr>
          <w:p>
            <w:pPr>
              <w:spacing w:after="40"/>
            </w:pPr>
            <w:r/>
            <w:r>
              <w:rPr>
                <w:rFonts w:ascii="Aptos" w:hAnsi="Aptos"/>
                <w:b w:val="0"/>
                <w:sz w:val="18"/>
              </w:rPr>
              <w:t>#B6C5AE</w:t>
            </w:r>
          </w:p>
        </w:tc>
        <w:tc>
          <w:tcPr>
            <w:tcW w:type="dxa" w:w="3312"/>
            <w:vAlign w:val="center"/>
          </w:tcPr>
          <w:p>
            <w:pPr>
              <w:spacing w:after="40"/>
            </w:pPr>
            <w:r/>
            <w:r>
              <w:rPr>
                <w:rFonts w:ascii="Aptos" w:hAnsi="Aptos"/>
                <w:b w:val="0"/>
                <w:sz w:val="18"/>
              </w:rPr>
              <w:t>Secondary surfaces</w:t>
            </w:r>
          </w:p>
        </w:tc>
      </w:tr>
      <w:tr>
        <w:tc>
          <w:tcPr>
            <w:tcW w:type="dxa" w:w="3312"/>
            <w:vAlign w:val="center"/>
            <w:shd w:fill="8FA99A"/>
          </w:tcPr>
          <w:p>
            <w:pPr>
              <w:spacing w:after="40"/>
            </w:pPr>
            <w:r/>
            <w:r>
              <w:rPr>
                <w:rFonts w:ascii="Aptos" w:hAnsi="Aptos"/>
                <w:b/>
                <w:sz w:val="18"/>
              </w:rPr>
              <w:t>Eucalyptus</w:t>
            </w:r>
          </w:p>
        </w:tc>
        <w:tc>
          <w:tcPr>
            <w:tcW w:type="dxa" w:w="3312"/>
            <w:vAlign w:val="center"/>
          </w:tcPr>
          <w:p>
            <w:pPr>
              <w:spacing w:after="40"/>
            </w:pPr>
            <w:r/>
            <w:r>
              <w:rPr>
                <w:rFonts w:ascii="Aptos" w:hAnsi="Aptos"/>
                <w:b w:val="0"/>
                <w:sz w:val="18"/>
              </w:rPr>
              <w:t>#8FA99A</w:t>
            </w:r>
          </w:p>
        </w:tc>
        <w:tc>
          <w:tcPr>
            <w:tcW w:type="dxa" w:w="3312"/>
            <w:vAlign w:val="center"/>
          </w:tcPr>
          <w:p>
            <w:pPr>
              <w:spacing w:after="40"/>
            </w:pPr>
            <w:r/>
            <w:r>
              <w:rPr>
                <w:rFonts w:ascii="Aptos" w:hAnsi="Aptos"/>
                <w:b w:val="0"/>
                <w:sz w:val="18"/>
              </w:rPr>
              <w:t>Interactive accents</w:t>
            </w:r>
          </w:p>
        </w:tc>
      </w:tr>
      <w:tr>
        <w:tc>
          <w:tcPr>
            <w:tcW w:type="dxa" w:w="3312"/>
            <w:vAlign w:val="center"/>
            <w:shd w:fill="A9BEC7"/>
          </w:tcPr>
          <w:p>
            <w:pPr>
              <w:spacing w:after="40"/>
            </w:pPr>
            <w:r/>
            <w:r>
              <w:rPr>
                <w:rFonts w:ascii="Aptos" w:hAnsi="Aptos"/>
                <w:b/>
                <w:sz w:val="18"/>
              </w:rPr>
              <w:t>Dusty blue</w:t>
            </w:r>
          </w:p>
        </w:tc>
        <w:tc>
          <w:tcPr>
            <w:tcW w:type="dxa" w:w="3312"/>
            <w:vAlign w:val="center"/>
          </w:tcPr>
          <w:p>
            <w:pPr>
              <w:spacing w:after="40"/>
            </w:pPr>
            <w:r/>
            <w:r>
              <w:rPr>
                <w:rFonts w:ascii="Aptos" w:hAnsi="Aptos"/>
                <w:b w:val="0"/>
                <w:sz w:val="18"/>
              </w:rPr>
              <w:t>#A9BEC7</w:t>
            </w:r>
          </w:p>
        </w:tc>
        <w:tc>
          <w:tcPr>
            <w:tcW w:type="dxa" w:w="3312"/>
            <w:vAlign w:val="center"/>
          </w:tcPr>
          <w:p>
            <w:pPr>
              <w:spacing w:after="40"/>
            </w:pPr>
            <w:r/>
            <w:r>
              <w:rPr>
                <w:rFonts w:ascii="Aptos" w:hAnsi="Aptos"/>
                <w:b w:val="0"/>
                <w:sz w:val="18"/>
              </w:rPr>
              <w:t>Secondary data accents</w:t>
            </w:r>
          </w:p>
        </w:tc>
      </w:tr>
      <w:tr>
        <w:tc>
          <w:tcPr>
            <w:tcW w:type="dxa" w:w="3312"/>
            <w:vAlign w:val="center"/>
            <w:shd w:fill="C58F79"/>
          </w:tcPr>
          <w:p>
            <w:pPr>
              <w:spacing w:after="40"/>
            </w:pPr>
            <w:r/>
            <w:r>
              <w:rPr>
                <w:rFonts w:ascii="Aptos" w:hAnsi="Aptos"/>
                <w:b/>
                <w:sz w:val="18"/>
              </w:rPr>
              <w:t>Natural clay</w:t>
            </w:r>
          </w:p>
        </w:tc>
        <w:tc>
          <w:tcPr>
            <w:tcW w:type="dxa" w:w="3312"/>
            <w:vAlign w:val="center"/>
          </w:tcPr>
          <w:p>
            <w:pPr>
              <w:spacing w:after="40"/>
            </w:pPr>
            <w:r/>
            <w:r>
              <w:rPr>
                <w:rFonts w:ascii="Aptos" w:hAnsi="Aptos"/>
                <w:b w:val="0"/>
                <w:sz w:val="18"/>
              </w:rPr>
              <w:t>#C58F79</w:t>
            </w:r>
          </w:p>
        </w:tc>
        <w:tc>
          <w:tcPr>
            <w:tcW w:type="dxa" w:w="3312"/>
            <w:vAlign w:val="center"/>
          </w:tcPr>
          <w:p>
            <w:pPr>
              <w:spacing w:after="40"/>
            </w:pPr>
            <w:r/>
            <w:r>
              <w:rPr>
                <w:rFonts w:ascii="Aptos" w:hAnsi="Aptos"/>
                <w:b w:val="0"/>
                <w:sz w:val="18"/>
              </w:rPr>
              <w:t>Restrained emphasis</w:t>
            </w:r>
          </w:p>
        </w:tc>
      </w:tr>
      <w:tr>
        <w:tc>
          <w:tcPr>
            <w:tcW w:type="dxa" w:w="3312"/>
            <w:vAlign w:val="center"/>
            <w:shd w:fill="30463B"/>
          </w:tcPr>
          <w:p>
            <w:pPr>
              <w:spacing w:after="40"/>
            </w:pPr>
            <w:r/>
            <w:r>
              <w:rPr>
                <w:rFonts w:ascii="Aptos" w:hAnsi="Aptos"/>
                <w:b/>
                <w:sz w:val="18"/>
              </w:rPr>
              <w:t>Deep forest ink</w:t>
            </w:r>
          </w:p>
        </w:tc>
        <w:tc>
          <w:tcPr>
            <w:tcW w:type="dxa" w:w="3312"/>
            <w:vAlign w:val="center"/>
          </w:tcPr>
          <w:p>
            <w:pPr>
              <w:spacing w:after="40"/>
            </w:pPr>
            <w:r/>
            <w:r>
              <w:rPr>
                <w:rFonts w:ascii="Aptos" w:hAnsi="Aptos"/>
                <w:b w:val="0"/>
                <w:sz w:val="18"/>
              </w:rPr>
              <w:t>#30463B</w:t>
            </w:r>
          </w:p>
        </w:tc>
        <w:tc>
          <w:tcPr>
            <w:tcW w:type="dxa" w:w="3312"/>
            <w:vAlign w:val="center"/>
          </w:tcPr>
          <w:p>
            <w:pPr>
              <w:spacing w:after="40"/>
            </w:pPr>
            <w:r/>
            <w:r>
              <w:rPr>
                <w:rFonts w:ascii="Aptos" w:hAnsi="Aptos"/>
                <w:b w:val="0"/>
                <w:sz w:val="18"/>
              </w:rPr>
              <w:t>Main text and headings</w:t>
            </w:r>
          </w:p>
        </w:tc>
      </w:tr>
      <w:tr>
        <w:tc>
          <w:tcPr>
            <w:tcW w:type="dxa" w:w="3312"/>
            <w:vAlign w:val="center"/>
            <w:shd w:fill="FCFBF7"/>
          </w:tcPr>
          <w:p>
            <w:pPr>
              <w:spacing w:after="40"/>
            </w:pPr>
            <w:r/>
            <w:r>
              <w:rPr>
                <w:rFonts w:ascii="Aptos" w:hAnsi="Aptos"/>
                <w:b/>
                <w:sz w:val="18"/>
              </w:rPr>
              <w:t>Soft white</w:t>
            </w:r>
          </w:p>
        </w:tc>
        <w:tc>
          <w:tcPr>
            <w:tcW w:type="dxa" w:w="3312"/>
            <w:vAlign w:val="center"/>
          </w:tcPr>
          <w:p>
            <w:pPr>
              <w:spacing w:after="40"/>
            </w:pPr>
            <w:r/>
            <w:r>
              <w:rPr>
                <w:rFonts w:ascii="Aptos" w:hAnsi="Aptos"/>
                <w:b w:val="0"/>
                <w:sz w:val="18"/>
              </w:rPr>
              <w:t>#FCFBF7</w:t>
            </w:r>
          </w:p>
        </w:tc>
        <w:tc>
          <w:tcPr>
            <w:tcW w:type="dxa" w:w="3312"/>
            <w:vAlign w:val="center"/>
          </w:tcPr>
          <w:p>
            <w:pPr>
              <w:spacing w:after="40"/>
            </w:pPr>
            <w:r/>
            <w:r>
              <w:rPr>
                <w:rFonts w:ascii="Aptos" w:hAnsi="Aptos"/>
                <w:b w:val="0"/>
                <w:sz w:val="18"/>
              </w:rPr>
              <w:t>Content panels</w:t>
            </w:r>
          </w:p>
        </w:tc>
      </w:tr>
    </w:tbl>
    <w:p>
      <w:r>
        <w:t>Typography: Instrument Serif or DM Serif Display for editorial headings; Manrope for body text, labels, navigation, and diagrams. Use accessible contrast; pastel colours should generally be backgrounds, not small body text.</w:t>
      </w:r>
    </w:p>
    <w:p>
      <w:r>
        <w:t>Imagery: calm architecture, filtered daylight, water, natural textures, timber, stone, vegetation, and quiet contemporary interiors. Use a consistent art direction, meaningful alt text, compressed images, and reliable/licensed assets.</w:t>
      </w:r>
    </w:p>
    <w:p>
      <w:r>
        <w:t>Motion: subtle fades, gentle hover states, active timeline progress, and smooth navigation. Respect prefers-reduced-motion. Avoid excessive parallax, neon gradients, floating objects, and decorative AI effects.</w:t>
      </w:r>
    </w:p>
    <w:p>
      <w:pPr>
        <w:pStyle w:val="Heading1"/>
      </w:pPr>
      <w:r>
        <w:t>Corrected core project narrative</w:t>
      </w:r>
    </w:p>
    <w:p>
      <w:pPr>
        <w:pStyle w:val="Heading2"/>
      </w:pPr>
      <w:r>
        <w:t>Project introduction</w:t>
      </w:r>
    </w:p>
    <w:p>
      <w:r>
        <w:t>This project explores how environments associated with restoration might evolve through changing understandings of wellbeing, sensory experience, nature, personal preference, and environmental technology. It asks whether selected environmental conditions could be adapted around user preferences and context while preserving privacy, agency, social connection, and the freedom to disconnect.</w:t>
      </w:r>
    </w:p>
    <w:p>
      <w:pPr>
        <w:pStyle w:val="Heading2"/>
      </w:pPr>
      <w:r>
        <w:t>Central research question</w:t>
      </w:r>
    </w:p>
    <w:p>
      <w:r>
        <w:t>How might AI-enabled environmental adaptation support individual restoration in wellness spaces while preserving user agency, connection with nature, and the freedom to disconnect?</w:t>
      </w:r>
    </w:p>
    <w:p>
      <w:pPr>
        <w:pStyle w:val="Heading2"/>
      </w:pPr>
      <w:r>
        <w:t>Project scope</w:t>
      </w:r>
    </w:p>
    <w:p>
      <w:r>
        <w:t>The project focuses on restorative spatial experiences and the possibility of human-centred environmental adaptation. It is not a claim that AI can reliably detect emotions or that a responsive environment has already been shown to improve wellbeing.</w:t>
      </w:r>
    </w:p>
    <w:p>
      <w:pPr>
        <w:pStyle w:val="Heading2"/>
      </w:pPr>
      <w:r>
        <w:t>Concept statement: The Room That Listens</w:t>
      </w:r>
    </w:p>
    <w:p>
      <w:r>
        <w:t>The Room That Listens is a proposed AI-enabled restorative environment that explores how selected conditions—such as lighting, sound, temperature, and airflow—might be adjusted using environmental information, user-selected preferences, and optional, consented sensor inputs. The concept prioritises user control, transparency, nature integration, and an unmonitored mode. Its benefits and feasibility remain to be tested.</w:t>
      </w:r>
    </w:p>
    <w:p>
      <w:pPr>
        <w:pStyle w:val="Heading1"/>
      </w:pPr>
      <w:r>
        <w:t>Section-by-section corrected website content</w:t>
      </w:r>
    </w:p>
    <w:p>
      <w:pPr>
        <w:pStyle w:val="Heading2"/>
      </w:pPr>
      <w:r>
        <w:t>Hero and opening question</w:t>
      </w:r>
    </w:p>
    <w:p>
      <w:pPr>
        <w:pStyle w:val="Heading3"/>
      </w:pPr>
      <w:r>
        <w:t>Hero headline</w:t>
      </w:r>
    </w:p>
    <w:p>
      <w:r>
        <w:t>Reimagining Wellness: From Ritual Spaces to Responsive Environments</w:t>
      </w:r>
    </w:p>
    <w:p>
      <w:pPr>
        <w:pStyle w:val="Heading3"/>
      </w:pPr>
      <w:r>
        <w:t>Hero supporting copy</w:t>
      </w:r>
    </w:p>
    <w:p>
      <w:r>
        <w:t>An exploration of how restorative spaces might evolve through personalisation, nature, spatial experience, and intelligent environmental adaptation.</w:t>
      </w:r>
    </w:p>
    <w:p>
      <w:pPr>
        <w:pStyle w:val="Heading3"/>
      </w:pPr>
      <w:r>
        <w:t>Hero question</w:t>
      </w:r>
    </w:p>
    <w:p>
      <w:r>
        <w:t>What if a space could respond to your preferences without taking control away from you?</w:t>
      </w:r>
    </w:p>
    <w:p>
      <w:r>
        <w:t>Credit line: Chahat Sahu · Kanika Choudhary · Sushmita Sanyashi. Add the institute and course line once confirmed.</w:t>
      </w:r>
    </w:p>
    <w:p>
      <w:pPr>
        <w:pStyle w:val="Heading2"/>
      </w:pPr>
      <w:r>
        <w:t>Section 1 — Evolution</w:t>
      </w:r>
    </w:p>
    <w:p>
      <w:pPr>
        <w:pStyle w:val="Heading3"/>
      </w:pPr>
      <w:r>
        <w:t>Section headline</w:t>
      </w:r>
    </w:p>
    <w:p>
      <w:r>
        <w:t>Different eras have shaped spaces for bathing, healing, ritual, leisure, and restoration in different ways.</w:t>
      </w:r>
    </w:p>
    <w:p>
      <w:r>
        <w:t>Historical spaces should be understood in their own cultural and practical contexts. Public baths, hammams, healing sanctuaries, and spa towns did not all serve the same purpose, and they should not be presented as steps in a single, inevitable path toward modern wellness.</w:t>
      </w:r>
    </w:p>
    <w:p>
      <w:pPr>
        <w:pStyle w:val="Heading3"/>
      </w:pPr>
      <w:r>
        <w:t>Suggested timeline entries</w:t>
      </w:r>
    </w:p>
    <w:p>
      <w:pPr>
        <w:pStyle w:val="Heading3"/>
      </w:pPr>
      <w:r>
        <w:t>Indus Valley bathing</w:t>
      </w:r>
    </w:p>
    <w:p>
      <w:r>
        <w:t>The Great Bath at Mohenjo-daro is an important archaeological example of a large, carefully constructed water space. Its precise purpose remains debated; avoid stating that it was definitely a temple.</w:t>
      </w:r>
    </w:p>
    <w:p>
      <w:pPr>
        <w:pStyle w:val="Heading3"/>
      </w:pPr>
      <w:r>
        <w:t>Greek healing environments</w:t>
      </w:r>
    </w:p>
    <w:p>
      <w:r>
        <w:t>Healing sanctuaries combined different practices and spaces. Describe the particular site and its evidence carefully rather than generalising all Greek healing environments.</w:t>
      </w:r>
    </w:p>
    <w:p>
      <w:pPr>
        <w:pStyle w:val="Heading3"/>
      </w:pPr>
      <w:r>
        <w:t>Roman thermae</w:t>
      </w:r>
    </w:p>
    <w:p>
      <w:r>
        <w:t>Public bathing complexes could combine bathing, exercise, social interaction, and other civic activities. Their functions varied across place and period.</w:t>
      </w:r>
    </w:p>
    <w:p>
      <w:pPr>
        <w:pStyle w:val="Heading3"/>
      </w:pPr>
      <w:r>
        <w:t>Hammams</w:t>
      </w:r>
    </w:p>
    <w:p>
      <w:r>
        <w:t>Hammams have served bathing, social, and cultural roles in different communities. Avoid treating them only as wellness spas.</w:t>
      </w:r>
    </w:p>
    <w:p>
      <w:pPr>
        <w:pStyle w:val="Heading3"/>
      </w:pPr>
      <w:r>
        <w:t>European spa towns</w:t>
      </w:r>
    </w:p>
    <w:p>
      <w:r>
        <w:t>Mineral-water treatments, leisure, travel, and urban development intersected in particular spa contexts.</w:t>
      </w:r>
    </w:p>
    <w:p>
      <w:pPr>
        <w:pStyle w:val="Heading3"/>
      </w:pPr>
      <w:r>
        <w:t>Hydrotherapy</w:t>
      </w:r>
    </w:p>
    <w:p>
      <w:r>
        <w:t>Water-based therapeutic practices developed in different forms; explain the period and practice being referenced.</w:t>
      </w:r>
    </w:p>
    <w:p>
      <w:pPr>
        <w:pStyle w:val="Heading3"/>
      </w:pPr>
      <w:r>
        <w:t>Modern wellness</w:t>
      </w:r>
    </w:p>
    <w:p>
      <w:r>
        <w:t>Modern wellness discourse increasingly included preventive health and a broader view of wellbeing. Verify dates and terminology before publication.</w:t>
      </w:r>
    </w:p>
    <w:p>
      <w:pPr>
        <w:pStyle w:val="Heading3"/>
      </w:pPr>
      <w:r>
        <w:t>Evidence-informed restorative design</w:t>
      </w:r>
    </w:p>
    <w:p>
      <w:r>
        <w:t>Environmental psychology and related fields investigate how features such as views, light, acoustics, and nature relate to human experience.</w:t>
      </w:r>
    </w:p>
    <w:p>
      <w:pPr>
        <w:pStyle w:val="Heading3"/>
      </w:pPr>
      <w:r>
        <w:t>Immersive and personalised experiences</w:t>
      </w:r>
    </w:p>
    <w:p>
      <w:r>
        <w:t>Digital media, wearables, and environmental controls offer new ways to customise experiences; the benefits depend on context and evidence.</w:t>
      </w:r>
    </w:p>
    <w:p>
      <w:pPr>
        <w:pStyle w:val="Heading3"/>
      </w:pPr>
      <w:r>
        <w:t>Emerging responsive environments</w:t>
      </w:r>
    </w:p>
    <w:p>
      <w:r>
        <w:t>Sensors and control systems may support environmental adaptation. Their ability to improve restoration in a particular setting remains a research question.</w:t>
      </w:r>
    </w:p>
    <w:p>
      <w:pPr>
        <w:pStyle w:val="Heading3"/>
      </w:pPr>
      <w:r>
        <w:t>What each era changed</w:t>
      </w:r>
    </w:p>
    <w:p>
      <w:r>
        <w:t>Use a visual ladder of changing design possibilities: water and bathing infrastructure; thermal control; choreographed spatial sequences; therapeutic landscapes; environmental design research; personal tracking and digital immersion; and emerging adaptive control. Present these as illustrative developments that overlap, not as a universal chronology.</w:t>
      </w:r>
    </w:p>
    <w:p>
      <w:pPr>
        <w:pStyle w:val="Heading3"/>
      </w:pPr>
      <w:r>
        <w:t>Paradigm shift</w:t>
      </w:r>
    </w:p>
    <w:p>
      <w:r>
        <w:t>A useful way to frame the shift is from spaces organised around particular practices or treatments toward a wider range of experiences, including relaxation, self-care, personal preferences, and possible environmental responsiveness. This is an interpretive framework rather than a claim that every wellness space has followed the same path.</w:t>
      </w:r>
    </w:p>
    <w:p>
      <w:pPr>
        <w:pStyle w:val="Heading2"/>
      </w:pPr>
      <w:r>
        <w:t>Section 2 — Today</w:t>
      </w:r>
    </w:p>
    <w:p>
      <w:pPr>
        <w:pStyle w:val="Heading3"/>
      </w:pPr>
      <w:r>
        <w:t>Six trends</w:t>
      </w:r>
    </w:p>
    <w:p>
      <w:pPr>
        <w:pStyle w:val="Heading3"/>
      </w:pPr>
      <w:r>
        <w:t>Responsive wellness spaces</w:t>
      </w:r>
    </w:p>
    <w:p>
      <w:r>
        <w:t>Environments may adjust selected conditions such as lighting, sound, temperature, or airflow in response to user settings or environmental inputs.</w:t>
      </w:r>
    </w:p>
    <w:p>
      <w:pPr>
        <w:pStyle w:val="Heading3"/>
      </w:pPr>
      <w:r>
        <w:t>Personalised wellness</w:t>
      </w:r>
    </w:p>
    <w:p>
      <w:r>
        <w:t>Experiences are increasingly designed around individual preferences and goals. Wearables and apps can provide information, but their signals do not directly establish a person's emotional state.</w:t>
      </w:r>
    </w:p>
    <w:p>
      <w:pPr>
        <w:pStyle w:val="Heading3"/>
      </w:pPr>
      <w:r>
        <w:t>Neuroarchitecture</w:t>
      </w:r>
    </w:p>
    <w:p>
      <w:r>
        <w:t>Research explores relationships between spatial characteristics, sensory conditions, and human experience. Avoid implying that design can precisely predict or control an individual's emotions.</w:t>
      </w:r>
    </w:p>
    <w:p>
      <w:pPr>
        <w:pStyle w:val="Heading3"/>
      </w:pPr>
      <w:r>
        <w:t>Immersive wellness</w:t>
      </w:r>
    </w:p>
    <w:p>
      <w:r>
        <w:t>Projection, spatial audio, VR, and multisensory approaches can create distinctive experiences. Their suitability and effects depend on the user and context.</w:t>
      </w:r>
    </w:p>
    <w:p>
      <w:pPr>
        <w:pStyle w:val="Heading3"/>
      </w:pPr>
      <w:r>
        <w:t>Biophilic and nature-integrated wellness</w:t>
      </w:r>
    </w:p>
    <w:p>
      <w:r>
        <w:t>Daylight, greenery, views, natural materials, and patterns can connect interior environments with nature. Specific effects should be supported by relevant evidence.</w:t>
      </w:r>
    </w:p>
    <w:p>
      <w:pPr>
        <w:pStyle w:val="Heading3"/>
      </w:pPr>
      <w:r>
        <w:t>Wellness as a social experience</w:t>
      </w:r>
    </w:p>
    <w:p>
      <w:r>
        <w:t>Some wellness environments support community, belonging, and shared ritual, while others prioritise privacy and individual restoration.</w:t>
      </w:r>
    </w:p>
    <w:p>
      <w:pPr>
        <w:pStyle w:val="Heading3"/>
      </w:pPr>
      <w:r>
        <w:t>Why prioritise three lenses?</w:t>
      </w:r>
    </w:p>
    <w:p>
      <w:r>
        <w:t>Personalised wellness, neuroarchitecture, and biophilia are selected as complementary lenses for further investigation. Personalisation concerns user preferences and control; neuroarchitecture offers a way to examine spatial and sensory experience; biophilia keeps nature and environmental connection central. Responsive technology can act as a possible coordinating layer. Social connection, immersive experience, and the freedom to disconnect remain important supporting considerations.</w:t>
      </w:r>
    </w:p>
    <w:p>
      <w:pPr>
        <w:pStyle w:val="Heading3"/>
      </w:pPr>
      <w:r>
        <w:t>Market context — publication rule</w:t>
      </w:r>
    </w:p>
    <w:p>
      <w:r>
        <w:t>Market estimates may help describe the broader commercial context, but they do not demonstrate user need for this particular concept. Do not publish the global wellness technology or India health-and-wellness figures in the source document until the original reports, definitions, dates, geography, and calculation methods have been checked. Do not compare or add market estimates that measure different categories.</w:t>
      </w:r>
    </w:p>
    <w:p>
      <w:pPr>
        <w:pStyle w:val="Heading2"/>
      </w:pPr>
      <w:r>
        <w:t>Section 3 — Evidence</w:t>
      </w:r>
    </w:p>
    <w:p>
      <w:pPr>
        <w:pStyle w:val="Heading3"/>
      </w:pPr>
      <w:r>
        <w:t>Personalised environmental control</w:t>
      </w:r>
    </w:p>
    <w:p>
      <w:r>
        <w:t>Environmental-control systems can provide ways to adjust indoor conditions. This project investigates whether user-selected preferences and carefully chosen inputs could make such adjustment more relevant to restorative experiences. Sensor data should be interpreted cautiously and only used with appropriate consent.</w:t>
      </w:r>
    </w:p>
    <w:p>
      <w:pPr>
        <w:pStyle w:val="Heading3"/>
      </w:pPr>
      <w:r>
        <w:t>Neuroarchitecture</w:t>
      </w:r>
    </w:p>
    <w:p>
      <w:r>
        <w:t>Spatial and sensory conditions—including light, acoustics, enclosure, visual complexity, and perceived control—are relevant areas of research on built environments and human experience. The project should investigate these relationships without claiming that architecture directly determines emotions or that a system can reliably detect a person's internal state.</w:t>
      </w:r>
    </w:p>
    <w:p>
      <w:pPr>
        <w:pStyle w:val="Heading3"/>
      </w:pPr>
      <w:r>
        <w:t>Biophilia and restorative environments</w:t>
      </w:r>
    </w:p>
    <w:p>
      <w:r>
        <w:t>Nature-related features such as daylight, views, vegetation, and natural materials are relevant to restorative-environment research. Evidence varies by intervention and context. Avoid universal claims that nature always calms people or that a specific financial return applies to every workplace or healthcare environment.</w:t>
      </w:r>
    </w:p>
    <w:p>
      <w:pPr>
        <w:pStyle w:val="Heading3"/>
      </w:pPr>
      <w:r>
        <w:t>AI as an enabling layer</w:t>
      </w:r>
    </w:p>
    <w:p>
      <w:r>
        <w:t>AI could potentially help coordinate environmental information and user preferences, but it should not be described as an emotion-reading system. A responsible interaction sequence is: gather permitted inputs, interpret them with uncertainty, suggest or apply bounded changes, allow the user to override them, and use only approved feedback to refine the experience.</w:t>
      </w:r>
    </w:p>
    <w:p>
      <w:pPr>
        <w:pStyle w:val="Heading3"/>
      </w:pPr>
      <w:r>
        <w:t>Evidence synthesis</w:t>
      </w:r>
    </w:p>
    <w:p>
      <w:r>
        <w:t>For every research theme, show four elements: what the source investigates; what it supports; the design implication; and what remains uncertain. Cite claims directly and distinguish published findings from the team's interpretation and proposed design hypotheses.</w:t>
      </w:r>
    </w:p>
    <w:p>
      <w:pPr>
        <w:pStyle w:val="Heading2"/>
      </w:pPr>
      <w:r>
        <w:t>Section 4 — Innovation</w:t>
      </w:r>
    </w:p>
    <w:p>
      <w:pPr>
        <w:pStyle w:val="Heading3"/>
      </w:pPr>
      <w:r>
        <w:t>Stakeholder ecosystem</w:t>
      </w:r>
    </w:p>
    <w:p>
      <w:r>
        <w:t>Map the people and systems that may influence the concept: users; wellness-space operators; architects and interior designers; environmental-control and building-services specialists; sensor and AI providers; researchers; accessibility, privacy, and safety stakeholders; and environmental resources such as water, energy, daylight, and materials. Show relationships, dependencies, influence, and possible conflicts rather than presenting only a list.</w:t>
      </w:r>
    </w:p>
    <w:p>
      <w:pPr>
        <w:pStyle w:val="Heading3"/>
      </w:pPr>
      <w:r>
        <w:t>Innovation opportunity</w:t>
      </w:r>
    </w:p>
    <w:p>
      <w:pPr>
        <w:pStyle w:val="Heading3"/>
      </w:pPr>
      <w:r>
        <w:t>Invisible intelligence</w:t>
      </w:r>
    </w:p>
    <w:p>
      <w:r>
        <w:t>Keep technology unobtrusive when appropriate, while making sensing and adaptation transparent and controllable.</w:t>
      </w:r>
    </w:p>
    <w:p>
      <w:pPr>
        <w:pStyle w:val="Heading3"/>
      </w:pPr>
      <w:r>
        <w:t>Human-centric technology</w:t>
      </w:r>
    </w:p>
    <w:p>
      <w:r>
        <w:t>Preserve privacy, personal choice, accessibility, manual control, and the ability to use the space without monitoring.</w:t>
      </w:r>
    </w:p>
    <w:p>
      <w:pPr>
        <w:pStyle w:val="Heading3"/>
      </w:pPr>
      <w:r>
        <w:t>Responsive environment</w:t>
      </w:r>
    </w:p>
    <w:p>
      <w:r>
        <w:t>Explore bounded adaptations to light, sound, temperature, or airflow using user-approved preferences and relevant environmental inputs.</w:t>
      </w:r>
    </w:p>
    <w:p>
      <w:pPr>
        <w:pStyle w:val="Heading3"/>
      </w:pPr>
      <w:r>
        <w:t>Personalised wellness</w:t>
      </w:r>
    </w:p>
    <w:p>
      <w:r>
        <w:t>Allow people to express goals and preferences without assuming that a standard profile works for everyone.</w:t>
      </w:r>
    </w:p>
    <w:p>
      <w:pPr>
        <w:pStyle w:val="Heading3"/>
      </w:pPr>
      <w:r>
        <w:t>Multisensory immersion</w:t>
      </w:r>
    </w:p>
    <w:p>
      <w:r>
        <w:t>Explore how sound, light, materials, water, and spatial qualities may shape experience, while retaining space for quiet, social connection, and shared ritual.</w:t>
      </w:r>
    </w:p>
    <w:p>
      <w:pPr>
        <w:pStyle w:val="Heading3"/>
      </w:pPr>
      <w:r>
        <w:t>The Room That Listens</w:t>
      </w:r>
    </w:p>
    <w:p>
      <w:r>
        <w:t>The Room That Listens is a concept for exploring user-centred environmental adaptation. It may combine user-selected preferences, environmental measurements, and optional consented inputs to support changes to selected environmental conditions. Users should be able to see what is being used, reject suggestions, manually adjust settings, disable sensing, and choose an unmonitored mode.</w:t>
      </w:r>
    </w:p>
    <w:p>
      <w:pPr>
        <w:pStyle w:val="Heading3"/>
      </w:pPr>
      <w:r>
        <w:t>Proposed user journey</w:t>
      </w:r>
    </w:p>
    <w:p>
      <w:r>
        <w:t>ARRIVE → SET PREFERENCES → SENSE ENVIRONMENT → SUGGEST OR ADAPT → EXPERIENCE → REFLECT</w:t>
      </w:r>
    </w:p>
    <w:p>
      <w:r>
        <w:t>At each step, specify the user's action, the possible system response, the information used, and the control available to the user. Do not imply that the room knows how the person feels before they express a preference or provide a permitted signal.</w:t>
      </w:r>
    </w:p>
    <w:p>
      <w:pPr>
        <w:pStyle w:val="Heading2"/>
      </w:pPr>
      <w:r>
        <w:t>Section 5 — Proof</w:t>
      </w:r>
    </w:p>
    <w:p>
      <w:pPr>
        <w:pStyle w:val="Heading3"/>
      </w:pPr>
      <w:r>
        <w:t>Proposed validation framework</w:t>
      </w:r>
    </w:p>
    <w:p>
      <w:pPr>
        <w:pStyle w:val="Heading3"/>
      </w:pPr>
      <w:r>
        <w:t>A — Fixed environment</w:t>
      </w:r>
    </w:p>
    <w:p>
      <w:r>
        <w:t>A consistent baseline condition.</w:t>
      </w:r>
    </w:p>
    <w:p>
      <w:pPr>
        <w:pStyle w:val="Heading3"/>
      </w:pPr>
      <w:r>
        <w:t>B — Responsive environment</w:t>
      </w:r>
    </w:p>
    <w:p>
      <w:r>
        <w:t>Selected environmental conditions adapt according to predefined user preferences or permitted inputs.</w:t>
      </w:r>
    </w:p>
    <w:p>
      <w:pPr>
        <w:pStyle w:val="Heading3"/>
      </w:pPr>
      <w:r>
        <w:t>C — Responsive environment plus nature</w:t>
      </w:r>
    </w:p>
    <w:p>
      <w:r>
        <w:t>The responsive condition with a clearly defined nature-related intervention, such as a view, planting, or daylight condition where feasible.</w:t>
      </w:r>
    </w:p>
    <w:p>
      <w:r>
        <w:t>This is a proposed study, not a completed experiment. Define what changes and what stays constant in each condition. If multiple variables change simultaneously, the results may not identify which element produced an observed difference. Choose the study design, participant group, session duration, measures, and success criteria before collecting data.</w:t>
      </w:r>
    </w:p>
    <w:p>
      <w:pPr>
        <w:pStyle w:val="Heading3"/>
      </w:pPr>
      <w:r>
        <w:t>Potential measures</w:t>
      </w:r>
    </w:p>
    <w:p>
      <w:r>
        <w:t>Environmental and system measures may include measured light, acoustic and thermal conditions, adjustments made, system reliability, and user overrides. User-reported measures may include perceived comfort, calm, restoration, privacy, trust, and control. Physiological measures such as heart rate or heart-rate variability may be considered only if appropriate, feasible, and ethically approved. They are not direct proof of emotional states.</w:t>
      </w:r>
    </w:p>
    <w:p>
      <w:pPr>
        <w:pStyle w:val="Heading3"/>
      </w:pPr>
      <w:r>
        <w:t>Decision framework</w:t>
      </w:r>
    </w:p>
    <w:p>
      <w:r>
        <w:t>Read quantitative and qualitative evidence together. If both suggest a benefit, investigate whether it is repeatable and meaningful. If they disagree, examine the context and measures rather than forcing agreement. If neither supports the proposed benefit, revise or discontinue the feature. Do not use the word “validated” until evidence supports that conclusion.</w:t>
      </w:r>
    </w:p>
    <w:p>
      <w:pPr>
        <w:pStyle w:val="Heading3"/>
      </w:pPr>
      <w:r>
        <w:t>Ethical guardrails</w:t>
      </w:r>
    </w:p>
    <w:p>
      <w:pPr>
        <w:pStyle w:val="ListBullet"/>
      </w:pPr>
      <w:r>
        <w:t>Participation and sensing must be voluntary.</w:t>
      </w:r>
    </w:p>
    <w:p>
      <w:pPr>
        <w:pStyle w:val="ListBullet"/>
      </w:pPr>
      <w:r>
        <w:t>Explain what is collected and why; collect the minimum necessary data.</w:t>
      </w:r>
    </w:p>
    <w:p>
      <w:pPr>
        <w:pStyle w:val="ListBullet"/>
      </w:pPr>
      <w:r>
        <w:t>Provide manual override and a quiet, unmonitored mode.</w:t>
      </w:r>
    </w:p>
    <w:p>
      <w:pPr>
        <w:pStyle w:val="ListBullet"/>
      </w:pPr>
      <w:r>
        <w:t>Avoid diagnosing or labelling emotional states from physiological signals.</w:t>
      </w:r>
    </w:p>
    <w:p>
      <w:pPr>
        <w:pStyle w:val="ListBullet"/>
      </w:pPr>
      <w:r>
        <w:t>Consider accessibility, individual differences, energy use, and environmental resource consumption.</w:t>
      </w:r>
    </w:p>
    <w:p>
      <w:pPr>
        <w:pStyle w:val="Heading1"/>
      </w:pPr>
      <w:r>
        <w:t>Interactive website requirements</w:t>
      </w:r>
    </w:p>
    <w:p>
      <w:pPr>
        <w:pStyle w:val="ListBullet"/>
      </w:pPr>
      <w:r>
        <w:t>Six trends: selectable panels or accessible accordions that reveal explanation, project relevance, and sources.</w:t>
      </w:r>
    </w:p>
    <w:p>
      <w:pPr>
        <w:pStyle w:val="ListBullet"/>
      </w:pPr>
      <w:r>
        <w:t>Timeline: clickable and keyboard-accessible on desktop; vertical and easy to navigate on mobile.</w:t>
      </w:r>
    </w:p>
    <w:p>
      <w:pPr>
        <w:pStyle w:val="ListBullet"/>
      </w:pPr>
      <w:r>
        <w:t>Evidence section: expandable research summaries with limitations and citations.</w:t>
      </w:r>
    </w:p>
    <w:p>
      <w:pPr>
        <w:pStyle w:val="ListBullet"/>
      </w:pPr>
      <w:r>
        <w:t>Opportunity map: selectable opportunities with design implications and risks.</w:t>
      </w:r>
    </w:p>
    <w:p>
      <w:pPr>
        <w:pStyle w:val="ListBullet"/>
      </w:pPr>
      <w:r>
        <w:t>Concept journey: selecting a stage reveals user action, possible environmental response, and user control.</w:t>
      </w:r>
    </w:p>
    <w:p>
      <w:pPr>
        <w:pStyle w:val="ListBullet"/>
      </w:pPr>
      <w:r>
        <w:t>Responsive room demo: a simulated client-side interaction with selectable Calm / Focus / Energise, lighting, sound, and nature preferences. It must be labelled “Concept demonstration — simulated settings, not a live AI system.”</w:t>
      </w:r>
    </w:p>
    <w:p>
      <w:pPr>
        <w:pStyle w:val="ListBullet"/>
      </w:pPr>
      <w:r>
        <w:t>Validation framework: selectable A/B/C conditions and a readable comparison of what changes and what is measured.</w:t>
      </w:r>
    </w:p>
    <w:p>
      <w:pPr>
        <w:pStyle w:val="ListBullet"/>
      </w:pPr>
      <w:r>
        <w:t>Sources page: grouped references with working links and clear verification notes.</w:t>
      </w:r>
    </w:p>
    <w:p>
      <w:pPr>
        <w:pStyle w:val="Heading1"/>
      </w:pPr>
      <w:r>
        <w:t>Technical requirements</w:t>
      </w:r>
    </w:p>
    <w:p>
      <w:pPr>
        <w:pStyle w:val="ListBullet"/>
      </w:pPr>
      <w:r>
        <w:t>Static website compatible with GitHub Pages; no backend or private API keys.</w:t>
      </w:r>
    </w:p>
    <w:p>
      <w:pPr>
        <w:pStyle w:val="ListBullet"/>
      </w:pPr>
      <w:r>
        <w:t>Responsive layouts for desktop, tablet, and mobile.</w:t>
      </w:r>
    </w:p>
    <w:p>
      <w:pPr>
        <w:pStyle w:val="ListBullet"/>
      </w:pPr>
      <w:r>
        <w:t>Use semantic HTML, accessible controls, visible keyboard focus, meaningful alt text, and adequate colour contrast.</w:t>
      </w:r>
    </w:p>
    <w:p>
      <w:pPr>
        <w:pStyle w:val="ListBullet"/>
      </w:pPr>
      <w:r>
        <w:t>Respect prefers-reduced-motion and do not rely on hover alone.</w:t>
      </w:r>
    </w:p>
    <w:p>
      <w:pPr>
        <w:pStyle w:val="ListBullet"/>
      </w:pPr>
      <w:r>
        <w:t>Use relative paths or a GitHub Pages-safe base-path strategy so repository subpaths do not break assets and navigation.</w:t>
      </w:r>
    </w:p>
    <w:p>
      <w:pPr>
        <w:pStyle w:val="ListBullet"/>
      </w:pPr>
      <w:r>
        <w:t>Check links, images, JavaScript errors, mobile overflow, and interactive controls before publishing.</w:t>
      </w:r>
    </w:p>
    <w:p>
      <w:pPr>
        <w:pStyle w:val="ListBullet"/>
      </w:pPr>
      <w:r>
        <w:t>Include README instructions for publishing and editing content.</w:t>
      </w:r>
    </w:p>
    <w:p>
      <w:pPr>
        <w:pStyle w:val="Heading1"/>
      </w:pPr>
      <w:r>
        <w:t>Source and claim verification checklist</w:t>
      </w:r>
    </w:p>
    <w:p>
      <w:r>
        <w:t>The original website source document explicitly notes that its links and figures were not independently reopened during drafting. Therefore, do not treat the following items as verified until checked at the original source.</w:t>
      </w:r>
    </w:p>
    <w:p>
      <w:pPr>
        <w:pStyle w:val="ListBullet"/>
      </w:pPr>
      <w:r>
        <w:t>Global wellness technology estimate: $57B in 2025, projected $208B by 2035, and 13.8% annual growth.</w:t>
      </w:r>
    </w:p>
    <w:p>
      <w:pPr>
        <w:pStyle w:val="ListBullet"/>
      </w:pPr>
      <w:r>
        <w:t>India health-and-wellness market estimate: $164.35B to $257.94B and 5.14% annual growth.</w:t>
      </w:r>
    </w:p>
    <w:p>
      <w:pPr>
        <w:pStyle w:val="ListBullet"/>
      </w:pPr>
      <w:r>
        <w:t>Claim that 40% of people worldwide report high anxiety on any given day.</w:t>
      </w:r>
    </w:p>
    <w:p>
      <w:pPr>
        <w:pStyle w:val="ListBullet"/>
      </w:pPr>
      <w:r>
        <w:t>Financial claims about employee savings, workplace absence, and healthcare savings associated with views of nature.</w:t>
      </w:r>
    </w:p>
    <w:p>
      <w:pPr>
        <w:pStyle w:val="ListBullet"/>
      </w:pPr>
      <w:r>
        <w:t>Claims about year-on-year online search growth and eSanjeevani figures.</w:t>
      </w:r>
    </w:p>
    <w:p>
      <w:pPr>
        <w:pStyle w:val="ListBullet"/>
      </w:pPr>
      <w:r>
        <w:t>Historical claims about the Great Bath, Pergamon, hammams, spa towns, and the dates assigned to technological developments.</w:t>
      </w:r>
    </w:p>
    <w:p>
      <w:pPr>
        <w:pStyle w:val="ListBullet"/>
      </w:pPr>
      <w:r>
        <w:t>Full bibliographic details, original links, dates, and exact wording of each cited source.</w:t>
      </w:r>
    </w:p>
    <w:p>
      <w:r>
        <w:t>Publication rule: remove an unverified statistic or mark it clearly as awaiting verification. Never invent source details or present a secondary-source paraphrase as if it were confirmed by the original publisher.</w:t>
      </w:r>
    </w:p>
    <w:p>
      <w:pPr>
        <w:pStyle w:val="Heading1"/>
      </w:pPr>
      <w:r>
        <w:t>Suggested source starting points</w:t>
      </w:r>
    </w:p>
    <w:p>
      <w:pPr>
        <w:pStyle w:val="ListBullet"/>
      </w:pPr>
      <w:r>
        <w:t>Lee, S., Shin, W., &amp; Park, E. J. (2022). Implications of neuroarchitecture for the experience of the built environment: A scoping review. Archnet-IJAR, 16(2), 225–244. https://doi.org/10.1108/ARCH-09-2021-0249</w:t>
      </w:r>
    </w:p>
    <w:p>
      <w:pPr>
        <w:pStyle w:val="ListBullet"/>
      </w:pPr>
      <w:r>
        <w:t>Zhong, W., Schröder, T., &amp; Bekkering, J. (2022). Biophilic design in architecture and its contributions to health, well-being, and sustainability: A critical review. Frontiers of Architectural Research, 11(1), 114–141. https://doi.org/10.1016/j.foar.2021.07.006</w:t>
      </w:r>
    </w:p>
    <w:p>
      <w:pPr>
        <w:pStyle w:val="ListBullet"/>
      </w:pPr>
      <w:r>
        <w:t>Kim, H., et al. (2023). Human-building interaction for indoor environmental control: Evolution of technology and future prospects. Automation in Construction, 152, 104938. https://doi.org/10.1016/j.autcon.2023.104938</w:t>
      </w:r>
    </w:p>
    <w:p>
      <w:pPr>
        <w:pStyle w:val="ListBullet"/>
      </w:pPr>
      <w:r>
        <w:t>Kaplan, S. (1995). The restorative benefits of nature: Toward an integrative framework. Journal of Environmental Psychology, 15(3), 169–182. https://doi.org/10.1016/0272-4944(95)90001-2</w:t>
      </w:r>
    </w:p>
    <w:p>
      <w:pPr>
        <w:pStyle w:val="ListBullet"/>
      </w:pPr>
      <w:r>
        <w:t>Ulrich, R. S. (1984). View through a window may influence recovery from surgery. Science, 224(4647), 420–421. https://doi.org/10.1126/science.6143402</w:t>
      </w:r>
    </w:p>
    <w:p>
      <w:pPr>
        <w:pStyle w:val="ListBullet"/>
      </w:pPr>
      <w:r>
        <w:t>Tekin, B. H., Corcoran, R., &amp; Urbano Gutiérrez, R. (2023). A systematic review and conceptual framework of biophilic design parameters in clinical environments. HERD, 16(1), 233–250. https://doi.org/10.1177/19375867221118675</w:t>
      </w:r>
    </w:p>
    <w:p>
      <w:r>
        <w:t>These are starting references carried forward from the project's research notes. Verify bibliographic metadata and relevance before publication. Check full author lists for APA 7; do not leave “et al.” in a final reference entry when the full list is required and available.</w:t>
      </w:r>
    </w:p>
    <w:p>
      <w:pPr>
        <w:pStyle w:val="Heading1"/>
      </w:pPr>
      <w:r>
        <w:t>Final publishing checklist</w:t>
      </w:r>
    </w:p>
    <w:p>
      <w:pPr>
        <w:pStyle w:val="ListBullet"/>
      </w:pPr>
      <w:r>
        <w:t>The narrative moves from context to trends, evidence, opportunity, concept, and proposed validation.</w:t>
      </w:r>
    </w:p>
    <w:p>
      <w:pPr>
        <w:pStyle w:val="ListBullet"/>
      </w:pPr>
      <w:r>
        <w:t>The three priority lenses are justified and the other trends remain visible.</w:t>
      </w:r>
    </w:p>
    <w:p>
      <w:pPr>
        <w:pStyle w:val="ListBullet"/>
      </w:pPr>
      <w:r>
        <w:t>No unsupported emotional-detection claims remain.</w:t>
      </w:r>
    </w:p>
    <w:p>
      <w:pPr>
        <w:pStyle w:val="ListBullet"/>
      </w:pPr>
      <w:r>
        <w:t>Historical context is nuanced and sources are cited.</w:t>
      </w:r>
    </w:p>
    <w:p>
      <w:pPr>
        <w:pStyle w:val="ListBullet"/>
      </w:pPr>
      <w:r>
        <w:t>All numerical claims are verified or removed.</w:t>
      </w:r>
    </w:p>
    <w:p>
      <w:pPr>
        <w:pStyle w:val="ListBullet"/>
      </w:pPr>
      <w:r>
        <w:t>The responsive-room interaction is labelled as a simulation.</w:t>
      </w:r>
    </w:p>
    <w:p>
      <w:pPr>
        <w:pStyle w:val="ListBullet"/>
      </w:pPr>
      <w:r>
        <w:t>Proposed validation is not presented as completed research.</w:t>
      </w:r>
    </w:p>
    <w:p>
      <w:pPr>
        <w:pStyle w:val="ListBullet"/>
      </w:pPr>
      <w:r>
        <w:t>The visual system is soothing, accessible, and consistent.</w:t>
      </w:r>
    </w:p>
    <w:p>
      <w:pPr>
        <w:pStyle w:val="ListBullet"/>
      </w:pPr>
      <w:r>
        <w:t>All links, pages, images, and controls work on GitHub Pages.</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369"/>
        <w:sz w:val="16"/>
      </w:rPr>
      <w:t xml:space="preserve">RESTORE · Corrected Website Content &amp; Implementation Brief  |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30463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0463B"/>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364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A96F5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30463B"/>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