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SOC Copilot: An AI-Powered Security Operations Assistant</w:t>
        <w:br/>
        <w:t>for Automated Threat Detection and Intelligent Incident Response</w:t>
      </w:r>
    </w:p>
    <w:p>
      <w:pPr>
        <w:jc w:val="center"/>
      </w:pPr>
      <w:r>
        <w:rPr>
          <w:rFonts w:ascii="Times New Roman" w:hAnsi="Times New Roman"/>
          <w:b/>
          <w:sz w:val="22"/>
        </w:rPr>
        <w:t>Author 1, Author 2, Author 3</w:t>
      </w:r>
    </w:p>
    <w:p>
      <w:pPr>
        <w:jc w:val="center"/>
      </w:pPr>
      <w:r>
        <w:rPr>
          <w:rFonts w:ascii="Times New Roman" w:hAnsi="Times New Roman"/>
          <w:sz w:val="20"/>
        </w:rPr>
        <w:t>Department of Computer Science and Engineering</w:t>
      </w:r>
    </w:p>
    <w:p>
      <w:pPr>
        <w:jc w:val="center"/>
      </w:pPr>
      <w:r>
        <w:rPr>
          <w:rFonts w:ascii="Times New Roman" w:hAnsi="Times New Roman"/>
          <w:sz w:val="20"/>
        </w:rPr>
        <w:t>[Institution Name], [City, State, Country]</w:t>
      </w:r>
    </w:p>
    <w:p>
      <w:pPr>
        <w:spacing w:after="320"/>
        <w:jc w:val="center"/>
      </w:pPr>
      <w:r>
        <w:rPr>
          <w:rFonts w:ascii="Times New Roman" w:hAnsi="Times New Roman"/>
          <w:color w:val="0000B4"/>
          <w:sz w:val="20"/>
        </w:rPr>
        <w:t>author1@institution.edu, author2@institution.edu, author3@institution.edu</w:t>
      </w:r>
    </w:p>
    <w:p>
      <w:pPr>
        <w:pStyle w:val="Heading1"/>
      </w:pPr>
      <w:r>
        <w:rPr>
          <w:rFonts w:ascii="Times New Roman" w:hAnsi="Times New Roman"/>
          <w:color w:val="000000"/>
        </w:rPr>
        <w:t>Abstract</w:t>
      </w:r>
    </w:p>
    <w:p>
      <w:pPr>
        <w:jc w:val="both"/>
      </w:pPr>
      <w:r>
        <w:rPr>
          <w:rFonts w:ascii="Times New Roman" w:hAnsi="Times New Roman"/>
          <w:sz w:val="20"/>
        </w:rPr>
        <w:t>The proliferation of sophisticated cyber threats has placed unprecedented pressure on Security Operations Centers (SOCs), where analysts are tasked with monitoring, triaging, and responding to thousands of security alerts daily. This overwhelming volume of heterogeneous log data, compounded by high false-positive rates and limited contextual intelligence, leads to a well-documented phenomenon known as alert fatigue — a critical bottleneck that degrades threat detection efficacy and increases mean time to detect (MTTD) and mean time to respond (MTTR). Traditional Security Information and Event Management (SIEM) systems, while capable of log aggregation, rely predominantly on static rule-based detection mechanisms that fail to adapt to evolving attack vectors and generate excessive noise. This paper presents SOC Copilot, an AI-powered security operations assistant that leverages a hybrid machine learning ensemble — combining Isolation Forest for unsupervised anomaly detection with Random Forest for supervised multi-class attack classification — to automate threat detection, prioritize alerts, and generate intelligent, explainable incident response recommendations. The system ingests security logs from multiple formats (JSON, CSV, Syslog, Windows EVTX), extracts 78 engineered features across statistical, temporal, behavioral, and network dimensions, and produces prioritized alerts (P0–P4) with MITRE ATT&amp;CK mapping and human-readable reasoning. SOC Copilot operates entirely offline with a governance-first design philosophy, ensuring analyst-in-the-loop oversight, complete auditability, and data sovereignty compliance. Experimental evaluation demonstrates a classification accuracy exceeding 99%, significant reduction in analyst workload through automated triaging, and faster incident response through contextual alert enrichment and actionable recommendations.</w:t>
      </w:r>
    </w:p>
    <w:p>
      <w:pPr>
        <w:jc w:val="both"/>
      </w:pPr>
      <w:r>
        <w:rPr>
          <w:rFonts w:ascii="Times New Roman" w:hAnsi="Times New Roman"/>
          <w:b/>
          <w:sz w:val="20"/>
        </w:rPr>
        <w:t xml:space="preserve">Keywords: </w:t>
      </w:r>
      <w:r>
        <w:rPr>
          <w:rFonts w:ascii="Times New Roman" w:hAnsi="Times New Roman"/>
          <w:i/>
          <w:sz w:val="20"/>
        </w:rPr>
        <w:t>Cybersecurity, SOC Automation, Threat Detection, Log Analysis, AI Security Assistant, Machine Learning in Security, Incident Response, SIEM Enhancement</w:t>
      </w:r>
    </w:p>
    <w:p>
      <w:pPr>
        <w:pStyle w:val="Heading1"/>
      </w:pPr>
      <w:r>
        <w:rPr>
          <w:rFonts w:ascii="Times New Roman" w:hAnsi="Times New Roman"/>
          <w:color w:val="000000"/>
        </w:rPr>
        <w:t>I. INTRODUCTION</w:t>
      </w:r>
    </w:p>
    <w:p>
      <w:pPr>
        <w:jc w:val="both"/>
      </w:pPr>
      <w:r>
        <w:rPr>
          <w:rFonts w:ascii="Times New Roman" w:hAnsi="Times New Roman"/>
          <w:sz w:val="20"/>
        </w:rPr>
        <w:t>The digital transformation of enterprises, governments, and critical infrastructure has expanded the attack surface available to malicious actors at an unprecedented rate. According to the IBM Cost of a Data Breach Report, the global average cost of a data breach reached $4.45 million in 2023, with organizations taking an average of 277 days to identify and contain a breach [1]. This escalating threat landscape — characterized by advanced persistent threats (APTs), zero-day exploits, ransomware campaigns, and supply chain attacks — demands robust, intelligent, and responsive security operations.</w:t>
      </w:r>
    </w:p>
    <w:p>
      <w:pPr>
        <w:jc w:val="both"/>
      </w:pPr>
      <w:r>
        <w:rPr>
          <w:rFonts w:ascii="Times New Roman" w:hAnsi="Times New Roman"/>
          <w:sz w:val="20"/>
        </w:rPr>
        <w:t>Security Operations Centers (SOCs) serve as the nerve center of organizational cybersecurity, responsible for continuous monitoring, threat detection, incident investigation, and response coordination. SOC analysts rely on Security Information and Event Management (SIEM) systems to aggregate and correlate security logs from diverse sources including firewalls, intrusion detection/prevention systems (IDS/IPS), endpoint detection and response (EDR) agents, application servers, and network devices. However, modern SOC workflows face several systemic challenges that impede operational effectiveness.</w:t>
      </w:r>
    </w:p>
    <w:p>
      <w:pPr>
        <w:jc w:val="both"/>
      </w:pPr>
      <w:r>
        <w:rPr>
          <w:rFonts w:ascii="Times New Roman" w:hAnsi="Times New Roman"/>
          <w:b/>
          <w:sz w:val="20"/>
        </w:rPr>
        <w:t xml:space="preserve">Alert Overload and Fatigue. </w:t>
      </w:r>
      <w:r>
        <w:rPr>
          <w:rFonts w:ascii="Times New Roman" w:hAnsi="Times New Roman"/>
          <w:sz w:val="20"/>
        </w:rPr>
        <w:t>Enterprise SOCs routinely generate tens of thousands of alerts per day, with studies indicating that up to 95% of these alerts are false positives [2]. This phenomenon, known as alert fatigue, desensitizes analysts and increases the probability that genuine threats are overlooked or inadequately investigated. The cognitive burden of manually reviewing high-volume, low-fidelity alerts leads to inconsistent decision-making across analyst shifts.</w:t>
      </w:r>
    </w:p>
    <w:p>
      <w:pPr>
        <w:jc w:val="both"/>
      </w:pPr>
      <w:r>
        <w:rPr>
          <w:rFonts w:ascii="Times New Roman" w:hAnsi="Times New Roman"/>
          <w:b/>
          <w:sz w:val="20"/>
        </w:rPr>
        <w:t xml:space="preserve">Slow Response Times. </w:t>
      </w:r>
      <w:r>
        <w:rPr>
          <w:rFonts w:ascii="Times New Roman" w:hAnsi="Times New Roman"/>
          <w:sz w:val="20"/>
        </w:rPr>
        <w:t>Manual log analysis and threat investigation are inherently time-intensive processes. Analysts must cross-reference multiple data sources, correlate indicators of compromise (IoCs), and apply domain expertise to determine the severity and scope of potential incidents. This manual workflow contributes to extended MTTD and MTTR, providing attackers with prolonged dwell time within compromised environments.</w:t>
      </w:r>
    </w:p>
    <w:p>
      <w:pPr>
        <w:jc w:val="both"/>
      </w:pPr>
      <w:r>
        <w:rPr>
          <w:rFonts w:ascii="Times New Roman" w:hAnsi="Times New Roman"/>
          <w:b/>
          <w:sz w:val="20"/>
        </w:rPr>
        <w:t xml:space="preserve">Lack of Contextual Intelligence. </w:t>
      </w:r>
      <w:r>
        <w:rPr>
          <w:rFonts w:ascii="Times New Roman" w:hAnsi="Times New Roman"/>
          <w:sz w:val="20"/>
        </w:rPr>
        <w:t>Traditional SIEM systems excel at log aggregation and rule-based alerting but lack the contextual intelligence necessary to distinguish between benign anomalies and genuine threats. Static detection rules cannot adapt to novel attack patterns or account for the behavioral context of network activity, resulting in both false positives and false negatives.</w:t>
      </w:r>
    </w:p>
    <w:p>
      <w:pPr>
        <w:jc w:val="both"/>
      </w:pPr>
      <w:r>
        <w:rPr>
          <w:rFonts w:ascii="Times New Roman" w:hAnsi="Times New Roman"/>
          <w:b/>
          <w:sz w:val="20"/>
        </w:rPr>
        <w:t xml:space="preserve">Need for AI-Driven Assistance. </w:t>
      </w:r>
      <w:r>
        <w:rPr>
          <w:rFonts w:ascii="Times New Roman" w:hAnsi="Times New Roman"/>
          <w:sz w:val="20"/>
        </w:rPr>
        <w:t>The limitations of manual analysis and rule-based detection have motivated significant research into the application of artificial intelligence (AI) and machine learning (ML) for cybersecurity. AI-driven security assistants can automate the analysis of vast log volumes, identify subtle threat patterns that evade rule-based detection, prioritize alerts based on risk assessment, and generate contextually enriched response recommendations — thereby augmenting analyst capabilities rather than replacing human judgment.</w:t>
      </w:r>
    </w:p>
    <w:p>
      <w:pPr>
        <w:jc w:val="both"/>
      </w:pPr>
      <w:r>
        <w:rPr>
          <w:rFonts w:ascii="Times New Roman" w:hAnsi="Times New Roman"/>
          <w:b/>
          <w:sz w:val="20"/>
        </w:rPr>
        <w:t xml:space="preserve">SOC Copilot Overview. </w:t>
      </w:r>
      <w:r>
        <w:rPr>
          <w:rFonts w:ascii="Times New Roman" w:hAnsi="Times New Roman"/>
          <w:sz w:val="20"/>
        </w:rPr>
        <w:t>This paper introduces SOC Copilot, an AI-powered security operations assistant that addresses the aforementioned challenges through a hybrid ML ensemble approach. SOC Copilot combines unsupervised anomaly detection (Isolation Forest) with supervised multi-class classification (Random Forest) to provide robust threat detection across both known and unknown attack vectors. The system features a modular, phased architecture encompassing log ingestion and preprocessing, ML-driven threat analysis, explainable alert generation with MITRE ATT&amp;CK mapping, analyst feedback integration, model drift monitoring, and a governance-first control infrastructure. Designed for offline operation in security-sensitive environments, SOC Copilot maintains complete analyst oversight while significantly reducing the manual burden of security log analysis.</w:t>
      </w:r>
    </w:p>
    <w:p>
      <w:pPr>
        <w:jc w:val="both"/>
      </w:pPr>
      <w:r>
        <w:rPr>
          <w:rFonts w:ascii="Times New Roman" w:hAnsi="Times New Roman"/>
          <w:sz w:val="20"/>
        </w:rPr>
        <w:t>The remainder of this paper is organized as follows: Section II reviews related literature; Section III defines the problem statement; Section IV describes the proposed system; Section V presents the system architecture; Section VI details the methodology; Section VII discusses results; Sections VIII and IX outline advantages and applications; Section X explores future scope; and Section XI concludes the paper.</w:t>
      </w:r>
    </w:p>
    <w:p>
      <w:pPr>
        <w:pStyle w:val="Heading1"/>
      </w:pPr>
      <w:r>
        <w:rPr>
          <w:rFonts w:ascii="Times New Roman" w:hAnsi="Times New Roman"/>
          <w:color w:val="000000"/>
        </w:rPr>
        <w:t>II. LITERATURE REVIEW</w:t>
      </w:r>
    </w:p>
    <w:p>
      <w:pPr>
        <w:jc w:val="both"/>
      </w:pPr>
      <w:r>
        <w:rPr>
          <w:rFonts w:ascii="Times New Roman" w:hAnsi="Times New Roman"/>
          <w:sz w:val="20"/>
        </w:rPr>
        <w:t>The application of computational techniques to cybersecurity threat detection has been extensively studied across multiple paradigms, ranging from traditional rule-based systems to advanced deep learning approaches.</w:t>
      </w:r>
    </w:p>
    <w:p>
      <w:pPr>
        <w:jc w:val="both"/>
      </w:pPr>
      <w:r>
        <w:rPr>
          <w:rFonts w:ascii="Times New Roman" w:hAnsi="Times New Roman"/>
          <w:b/>
          <w:sz w:val="20"/>
        </w:rPr>
        <w:t xml:space="preserve">Traditional SIEM Systems. </w:t>
      </w:r>
      <w:r>
        <w:rPr>
          <w:rFonts w:ascii="Times New Roman" w:hAnsi="Times New Roman"/>
          <w:sz w:val="20"/>
        </w:rPr>
        <w:t>Security Information and Event Management platforms such as Splunk, IBM QRadar, and ArcSight represent the foundational infrastructure of modern SOC operations [3]. These systems provide centralized log aggregation, real-time correlation, and compliance reporting capabilities. However, their detection mechanisms rely predominantly on predefined correlation rules and signature-based matching, which require continuous manual updates and cannot detect novel attack patterns. Zuech et al. [4] demonstrated that rule-based SIEM systems exhibit significant limitations in detecting sophisticated, multi-stage attacks that do not match existing signatures.</w:t>
      </w:r>
    </w:p>
    <w:p>
      <w:pPr>
        <w:jc w:val="both"/>
      </w:pPr>
      <w:r>
        <w:rPr>
          <w:rFonts w:ascii="Times New Roman" w:hAnsi="Times New Roman"/>
          <w:b/>
          <w:sz w:val="20"/>
        </w:rPr>
        <w:t xml:space="preserve">Rule-Based Detection Mechanisms. </w:t>
      </w:r>
      <w:r>
        <w:rPr>
          <w:rFonts w:ascii="Times New Roman" w:hAnsi="Times New Roman"/>
          <w:sz w:val="20"/>
        </w:rPr>
        <w:t>Signature-based intrusion detection systems, including Snort and Suricata, compare network traffic against databases of known attack signatures. While effective for detecting well-characterized threats, Roesch [5] identified that these systems are inherently reactive — they can only detect attacks for which signatures have been previously developed. This fundamental limitation creates a detection gap for zero-day exploits, polymorphic malware, and novel attack techniques, necessitating complementary detection approaches.</w:t>
      </w:r>
    </w:p>
    <w:p>
      <w:pPr>
        <w:jc w:val="both"/>
      </w:pPr>
      <w:r>
        <w:rPr>
          <w:rFonts w:ascii="Times New Roman" w:hAnsi="Times New Roman"/>
          <w:b/>
          <w:sz w:val="20"/>
        </w:rPr>
        <w:t xml:space="preserve">Machine Learning-Based Anomaly Detection. </w:t>
      </w:r>
      <w:r>
        <w:rPr>
          <w:rFonts w:ascii="Times New Roman" w:hAnsi="Times New Roman"/>
          <w:sz w:val="20"/>
        </w:rPr>
        <w:t>The application of machine learning to network intrusion detection has garnered substantial research attention. Liu et al. [6] introduced the Isolation Forest algorithm, which detects anomalies by isolating observations through random partitioning. This unsupervised approach is particularly valuable for cybersecurity applications because it does not require labeled attack data for training and can identify novel threats based on behavioral deviation from established baselines. Subsequent studies have validated the efficacy of Isolation Forest for detecting DDoS attacks, port scanning, and insider threats in network traffic data.</w:t>
      </w:r>
    </w:p>
    <w:p>
      <w:pPr>
        <w:jc w:val="both"/>
      </w:pPr>
      <w:r>
        <w:rPr>
          <w:rFonts w:ascii="Times New Roman" w:hAnsi="Times New Roman"/>
          <w:b/>
          <w:sz w:val="20"/>
        </w:rPr>
        <w:t xml:space="preserve">Supervised Classification Approaches. </w:t>
      </w:r>
      <w:r>
        <w:rPr>
          <w:rFonts w:ascii="Times New Roman" w:hAnsi="Times New Roman"/>
          <w:sz w:val="20"/>
        </w:rPr>
        <w:t>Random Forest classifiers, as proposed by Breiman [7], have demonstrated strong performance in multi-class attack classification tasks. The CICIDS2017 benchmark dataset evaluation by Sharafaldin et al. [8] showed that ensemble tree-based methods achieve superior accuracy in distinguishing between benign traffic and multiple attack categories including brute force, web attacks, infiltration, and botnet activity. The inherent feature importance ranking capability of Random Forests provides additional interpretability benefits critical for security operations.</w:t>
      </w:r>
    </w:p>
    <w:p>
      <w:pPr>
        <w:jc w:val="both"/>
      </w:pPr>
      <w:r>
        <w:rPr>
          <w:rFonts w:ascii="Times New Roman" w:hAnsi="Times New Roman"/>
          <w:b/>
          <w:sz w:val="20"/>
        </w:rPr>
        <w:t xml:space="preserve">AI and Deep Learning in Cybersecurity. </w:t>
      </w:r>
      <w:r>
        <w:rPr>
          <w:rFonts w:ascii="Times New Roman" w:hAnsi="Times New Roman"/>
          <w:sz w:val="20"/>
        </w:rPr>
        <w:t>Recent advances in deep learning have introduced autoencoders, recurrent neural networks (RNNs), and transformer architectures for threat detection. Shone et al. [9] proposed a deep autoencoder framework for network intrusion detection that achieved high accuracy on benchmark datasets. However, deep learning approaches often suffer from interpretability limitations — a significant concern in security contexts where analysts must understand and validate detection decisions. The emergence of Large Language Models (LLMs) has opened new possibilities for natural language-based threat explanation and contextual security analysis, though integration challenges related to latency, privacy, and hallucination risk remain active areas of investigation [10].</w:t>
      </w:r>
    </w:p>
    <w:p>
      <w:pPr>
        <w:jc w:val="both"/>
      </w:pPr>
      <w:r>
        <w:rPr>
          <w:rFonts w:ascii="Times New Roman" w:hAnsi="Times New Roman"/>
          <w:b/>
          <w:sz w:val="20"/>
        </w:rPr>
        <w:t xml:space="preserve">Research Gap. </w:t>
      </w:r>
      <w:r>
        <w:rPr>
          <w:rFonts w:ascii="Times New Roman" w:hAnsi="Times New Roman"/>
          <w:sz w:val="20"/>
        </w:rPr>
        <w:t>Despite significant advances in individual detection techniques, existing research exhibits several gaps that SOC Copilot addresses. First, most proposed systems focus on a single detection paradigm (either supervised or unsupervised) rather than combining complementary signals through ensemble coordination. Second, few systems integrate explainability as a first-class design requirement, leaving analysts without actionable context for detection decisions. Third, governance and analyst oversight mechanisms are rarely addressed, creating deployment barriers in regulated environments. Fourth, the majority of proposed systems assume cloud connectivity, making them unsuitable for air-gapped or highly secure operational environments. SOC Copilot addresses these gaps through its hybrid ensemble approach, built-in explainability layer, governance-first architecture, and fully offline operational capability.</w:t>
      </w:r>
    </w:p>
    <w:p>
      <w:pPr>
        <w:pStyle w:val="Heading1"/>
      </w:pPr>
      <w:r>
        <w:rPr>
          <w:rFonts w:ascii="Times New Roman" w:hAnsi="Times New Roman"/>
          <w:color w:val="000000"/>
        </w:rPr>
        <w:t>III. PROBLEM STATEMENT</w:t>
      </w:r>
    </w:p>
    <w:p>
      <w:pPr>
        <w:jc w:val="both"/>
      </w:pPr>
      <w:r>
        <w:rPr>
          <w:rFonts w:ascii="Times New Roman" w:hAnsi="Times New Roman"/>
          <w:sz w:val="20"/>
        </w:rPr>
        <w:t>Modern Security Operations Centers face a convergence of challenges that collectively undermine their ability to detect and respond to cyber threats effectively. This section formalizes the specific problems that SOC Copilot is designed to address.</w:t>
      </w:r>
    </w:p>
    <w:p>
      <w:pPr>
        <w:jc w:val="both"/>
      </w:pPr>
      <w:r>
        <w:rPr>
          <w:rFonts w:ascii="Times New Roman" w:hAnsi="Times New Roman"/>
          <w:b/>
          <w:sz w:val="20"/>
        </w:rPr>
        <w:t xml:space="preserve">Log Volume Explosion. </w:t>
      </w:r>
      <w:r>
        <w:rPr>
          <w:rFonts w:ascii="Times New Roman" w:hAnsi="Times New Roman"/>
          <w:sz w:val="20"/>
        </w:rPr>
        <w:t>Enterprise environments generate massive volumes of security-relevant log data from heterogeneous sources — firewalls, IDS/IPS sensors, endpoint agents, authentication systems, cloud workloads, and application servers. A mid-sized enterprise may produce millions of log events daily, each requiring parsing, normalization, and contextual analysis. The sheer scale of this data exceeds the cognitive capacity of human analysts working with traditional tools.</w:t>
      </w:r>
    </w:p>
    <w:p>
      <w:pPr>
        <w:jc w:val="both"/>
      </w:pPr>
      <w:r>
        <w:rPr>
          <w:rFonts w:ascii="Times New Roman" w:hAnsi="Times New Roman"/>
          <w:b/>
          <w:sz w:val="20"/>
        </w:rPr>
        <w:t xml:space="preserve">False Positive Proliferation. </w:t>
      </w:r>
      <w:r>
        <w:rPr>
          <w:rFonts w:ascii="Times New Roman" w:hAnsi="Times New Roman"/>
          <w:sz w:val="20"/>
        </w:rPr>
        <w:t>Rule-based detection systems generate a disproportionate number of false positive alerts, with industry estimates suggesting that 95% or more of SIEM alerts do not correspond to actual security incidents [2]. This noise-to-signal ratio forces analysts to spend the majority of their time dismissing benign alerts rather than investigating genuine threats, creating a significant operational inefficiency.</w:t>
      </w:r>
    </w:p>
    <w:p>
      <w:pPr>
        <w:jc w:val="both"/>
      </w:pPr>
      <w:r>
        <w:rPr>
          <w:rFonts w:ascii="Times New Roman" w:hAnsi="Times New Roman"/>
          <w:b/>
          <w:sz w:val="20"/>
        </w:rPr>
        <w:t xml:space="preserve">Analyst Fatigue and Skill Shortage. </w:t>
      </w:r>
      <w:r>
        <w:rPr>
          <w:rFonts w:ascii="Times New Roman" w:hAnsi="Times New Roman"/>
          <w:sz w:val="20"/>
        </w:rPr>
        <w:t>The combination of high alert volumes, repetitive triage tasks, and the cognitive demand of complex threat investigation contributes to analyst burnout. The cybersecurity workforce gap — estimated at 3.4 million unfilled positions globally — exacerbates this challenge, as organizations struggle to recruit and retain qualified SOC personnel. Fatigued analysts are more likely to make errors in judgment, miss critical indicators, or fail to adequately investigate alerts.</w:t>
      </w:r>
    </w:p>
    <w:p>
      <w:pPr>
        <w:jc w:val="both"/>
      </w:pPr>
      <w:r>
        <w:rPr>
          <w:rFonts w:ascii="Times New Roman" w:hAnsi="Times New Roman"/>
          <w:b/>
          <w:sz w:val="20"/>
        </w:rPr>
        <w:t xml:space="preserve">Lack of Contextual Intelligence. </w:t>
      </w:r>
      <w:r>
        <w:rPr>
          <w:rFonts w:ascii="Times New Roman" w:hAnsi="Times New Roman"/>
          <w:sz w:val="20"/>
        </w:rPr>
        <w:t>Traditional SIEM alerts provide limited context regarding the nature, severity, and potential impact of detected events. Analysts must manually cross-reference multiple data sources, apply threat intelligence, and leverage domain expertise to contextualize alerts. This manual enrichment process is time-intensive and inconsistent across different analysts and shifts.</w:t>
      </w:r>
    </w:p>
    <w:p>
      <w:pPr>
        <w:jc w:val="both"/>
      </w:pPr>
      <w:r>
        <w:rPr>
          <w:rFonts w:ascii="Times New Roman" w:hAnsi="Times New Roman"/>
          <w:b/>
          <w:sz w:val="20"/>
        </w:rPr>
        <w:t xml:space="preserve">Manual Threat Investigation Inefficiencies. </w:t>
      </w:r>
      <w:r>
        <w:rPr>
          <w:rFonts w:ascii="Times New Roman" w:hAnsi="Times New Roman"/>
          <w:sz w:val="20"/>
        </w:rPr>
        <w:t>The end-to-end threat investigation workflow — from initial alert triage through evidence collection, impact assessment, and response recommendation — requires significant manual effort. Each investigation may involve querying multiple log sources, correlating network indicators, reviewing historical baselines, and documenting findings. These manual processes create bottlenecks that extend incident response timelines and increase organizational risk exposure.</w:t>
      </w:r>
    </w:p>
    <w:p>
      <w:pPr>
        <w:jc w:val="both"/>
      </w:pPr>
      <w:r>
        <w:rPr>
          <w:rFonts w:ascii="Times New Roman" w:hAnsi="Times New Roman"/>
          <w:sz w:val="20"/>
        </w:rPr>
        <w:t>The problem can be formally stated as: Given heterogeneous multi-format security log data generated at scale, how can an intelligent system automatically parse, analyze, classify, and prioritize potential threats while providing explainable, contextual, and actionable insights that augment SOC analyst decision-making — without compromising governance oversight, data sovereignty, or operational transparency?</w:t>
      </w:r>
    </w:p>
    <w:p>
      <w:pPr>
        <w:pStyle w:val="Heading1"/>
      </w:pPr>
      <w:r>
        <w:rPr>
          <w:rFonts w:ascii="Times New Roman" w:hAnsi="Times New Roman"/>
          <w:color w:val="000000"/>
        </w:rPr>
        <w:t>IV. PROPOSED SYSTEM – SOC COPILOT</w:t>
      </w:r>
    </w:p>
    <w:p>
      <w:pPr>
        <w:jc w:val="both"/>
      </w:pPr>
      <w:r>
        <w:rPr>
          <w:rFonts w:ascii="Times New Roman" w:hAnsi="Times New Roman"/>
          <w:sz w:val="20"/>
        </w:rPr>
        <w:t>SOC Copilot is designed as a comprehensive, modular security operations assistant that addresses each dimension of the problem statement through a layered, phased architecture. This section describes the key functional components and their underlying technologies.</w:t>
      </w:r>
    </w:p>
    <w:p>
      <w:pPr>
        <w:pStyle w:val="Heading2"/>
      </w:pPr>
      <w:r>
        <w:rPr>
          <w:rFonts w:ascii="Times New Roman" w:hAnsi="Times New Roman"/>
          <w:color w:val="000000"/>
        </w:rPr>
        <w:t>A. Log Ingestion</w:t>
      </w:r>
    </w:p>
    <w:p>
      <w:pPr>
        <w:jc w:val="both"/>
      </w:pPr>
      <w:r>
        <w:rPr>
          <w:rFonts w:ascii="Times New Roman" w:hAnsi="Times New Roman"/>
          <w:sz w:val="20"/>
        </w:rPr>
        <w:t>The log ingestion subsystem provides format-agnostic parsing support for four widely used security log formats:</w:t>
      </w:r>
    </w:p>
    <w:p>
      <w:pPr>
        <w:pStyle w:val="ListBullet"/>
      </w:pPr>
      <w:r>
        <w:rPr>
          <w:rFonts w:ascii="Times New Roman" w:hAnsi="Times New Roman"/>
          <w:sz w:val="20"/>
        </w:rPr>
        <w:t>JSON/JSONL: Structured log events from cloud services, APIs, and modern security tools</w:t>
      </w:r>
    </w:p>
    <w:p>
      <w:pPr>
        <w:pStyle w:val="ListBullet"/>
      </w:pPr>
      <w:r>
        <w:rPr>
          <w:rFonts w:ascii="Times New Roman" w:hAnsi="Times New Roman"/>
          <w:sz w:val="20"/>
        </w:rPr>
        <w:t>CSV: Tabular log exports from legacy systems and databases</w:t>
      </w:r>
    </w:p>
    <w:p>
      <w:pPr>
        <w:pStyle w:val="ListBullet"/>
      </w:pPr>
      <w:r>
        <w:rPr>
          <w:rFonts w:ascii="Times New Roman" w:hAnsi="Times New Roman"/>
          <w:sz w:val="20"/>
        </w:rPr>
        <w:t>Syslog: Standard format used by network devices, firewalls, and Linux systems</w:t>
      </w:r>
    </w:p>
    <w:p>
      <w:pPr>
        <w:pStyle w:val="ListBullet"/>
      </w:pPr>
      <w:r>
        <w:rPr>
          <w:rFonts w:ascii="Times New Roman" w:hAnsi="Times New Roman"/>
          <w:sz w:val="20"/>
        </w:rPr>
        <w:t>Windows EVTX: Binary event log format from Windows operating systems</w:t>
      </w:r>
    </w:p>
    <w:p>
      <w:pPr>
        <w:jc w:val="both"/>
      </w:pPr>
      <w:r>
        <w:rPr>
          <w:rFonts w:ascii="Times New Roman" w:hAnsi="Times New Roman"/>
          <w:sz w:val="20"/>
        </w:rPr>
        <w:t>Each parser implements format-specific extraction logic to identify and normalize critical fields including timestamps, source/destination IP addresses, ports, protocols, event types, and severity indicators. The ingestion layer includes robust schema validation and error handling to ensure data quality.</w:t>
      </w:r>
    </w:p>
    <w:p>
      <w:pPr>
        <w:pStyle w:val="Heading2"/>
      </w:pPr>
      <w:r>
        <w:rPr>
          <w:rFonts w:ascii="Times New Roman" w:hAnsi="Times New Roman"/>
          <w:color w:val="000000"/>
        </w:rPr>
        <w:t>B. Log Parsing and Preprocessing</w:t>
      </w:r>
    </w:p>
    <w:p>
      <w:pPr>
        <w:jc w:val="both"/>
      </w:pPr>
      <w:r>
        <w:rPr>
          <w:rFonts w:ascii="Times New Roman" w:hAnsi="Times New Roman"/>
          <w:sz w:val="20"/>
        </w:rPr>
        <w:t>Raw log records undergo a multi-stage preprocessing pipeline:</w:t>
      </w:r>
    </w:p>
    <w:p>
      <w:pPr>
        <w:pStyle w:val="ListNumber"/>
      </w:pPr>
      <w:r>
        <w:rPr>
          <w:rFonts w:ascii="Times New Roman" w:hAnsi="Times New Roman"/>
          <w:sz w:val="20"/>
        </w:rPr>
        <w:t>Timestamp Normalization: All timestamps are converted to UTC ISO 8601 format, regardless of source timezone or format</w:t>
      </w:r>
    </w:p>
    <w:p>
      <w:pPr>
        <w:pStyle w:val="ListNumber"/>
      </w:pPr>
      <w:r>
        <w:rPr>
          <w:rFonts w:ascii="Times New Roman" w:hAnsi="Times New Roman"/>
          <w:sz w:val="20"/>
        </w:rPr>
        <w:t>Field Standardization: Source-specific field names are mapped to a canonical schema (e.g., src_ip, dst_ip, src_port, dst_port)</w:t>
      </w:r>
    </w:p>
    <w:p>
      <w:pPr>
        <w:pStyle w:val="ListNumber"/>
      </w:pPr>
      <w:r>
        <w:rPr>
          <w:rFonts w:ascii="Times New Roman" w:hAnsi="Times New Roman"/>
          <w:sz w:val="20"/>
        </w:rPr>
        <w:t>Categorical Encoding: Non-numeric fields such as protocol types and event categories are encoded as integer representations</w:t>
      </w:r>
    </w:p>
    <w:p>
      <w:pPr>
        <w:pStyle w:val="ListNumber"/>
      </w:pPr>
      <w:r>
        <w:rPr>
          <w:rFonts w:ascii="Times New Roman" w:hAnsi="Times New Roman"/>
          <w:sz w:val="20"/>
        </w:rPr>
        <w:t>Data Validation: Records are validated against expected schemas with malformed entries logged and excluded from analysis</w:t>
      </w:r>
    </w:p>
    <w:p>
      <w:pPr>
        <w:pStyle w:val="Heading2"/>
      </w:pPr>
      <w:r>
        <w:rPr>
          <w:rFonts w:ascii="Times New Roman" w:hAnsi="Times New Roman"/>
          <w:color w:val="000000"/>
        </w:rPr>
        <w:t>C. AI/ML-Based Analysis Engine</w:t>
      </w:r>
    </w:p>
    <w:p>
      <w:pPr>
        <w:jc w:val="both"/>
      </w:pPr>
      <w:r>
        <w:rPr>
          <w:rFonts w:ascii="Times New Roman" w:hAnsi="Times New Roman"/>
          <w:sz w:val="20"/>
        </w:rPr>
        <w:t>The core analysis engine employs a hybrid ensemble approach combining two complementary machine learning models:</w:t>
      </w:r>
    </w:p>
    <w:p>
      <w:pPr>
        <w:jc w:val="both"/>
      </w:pPr>
      <w:r>
        <w:rPr>
          <w:rFonts w:ascii="Times New Roman" w:hAnsi="Times New Roman"/>
          <w:b/>
          <w:sz w:val="20"/>
        </w:rPr>
        <w:t xml:space="preserve">Isolation Forest (Unsupervised Anomaly Detection): </w:t>
      </w:r>
      <w:r>
        <w:rPr>
          <w:rFonts w:ascii="Times New Roman" w:hAnsi="Times New Roman"/>
          <w:sz w:val="20"/>
        </w:rPr>
        <w:t>Trained exclusively on benign (normal) network traffic to establish behavioral baselines. During inference, the model assigns anomaly scores normalized to [0, 1], where higher scores indicate greater deviation from learned normal patterns. This model is capable of detecting novel, previously unseen attack patterns.</w:t>
      </w:r>
    </w:p>
    <w:p>
      <w:pPr>
        <w:jc w:val="both"/>
      </w:pPr>
      <w:r>
        <w:rPr>
          <w:rFonts w:ascii="Times New Roman" w:hAnsi="Times New Roman"/>
          <w:b/>
          <w:sz w:val="20"/>
        </w:rPr>
        <w:t xml:space="preserve">Random Forest (Supervised Multi-Class Classification): </w:t>
      </w:r>
      <w:r>
        <w:rPr>
          <w:rFonts w:ascii="Times New Roman" w:hAnsi="Times New Roman"/>
          <w:sz w:val="20"/>
        </w:rPr>
        <w:t>Trained on the CICIDS2017 benchmark dataset with balanced class weights to classify log records into seven categories: Benign, DDoS, Brute Force, Malware, Data Exfiltration, Reconnaissance, and SQL Injection. The model outputs both the predicted class label and a confidence probability distribution.</w:t>
      </w:r>
    </w:p>
    <w:p>
      <w:pPr>
        <w:pStyle w:val="Heading2"/>
      </w:pPr>
      <w:r>
        <w:rPr>
          <w:rFonts w:ascii="Times New Roman" w:hAnsi="Times New Roman"/>
          <w:color w:val="000000"/>
        </w:rPr>
        <w:t>D. Threat Classification</w:t>
      </w:r>
    </w:p>
    <w:p>
      <w:pPr>
        <w:jc w:val="both"/>
      </w:pPr>
      <w:r>
        <w:rPr>
          <w:rFonts w:ascii="Times New Roman" w:hAnsi="Times New Roman"/>
          <w:sz w:val="20"/>
        </w:rPr>
        <w:t>The Ensemble Coordinator combines outputs from both models using a weighted decision matrix:</w:t>
      </w:r>
    </w:p>
    <w:p>
      <w:pPr>
        <w:jc w:val="center"/>
      </w:pPr>
      <w:r>
        <w:rPr>
          <w:rFonts w:ascii="Times New Roman" w:hAnsi="Times New Roman"/>
          <w:i/>
          <w:sz w:val="20"/>
        </w:rPr>
        <w:t>Combined Risk Score = 0.4 × Anomaly Score + 0.6 × (Threat Severity × Classification Confidence)</w:t>
      </w:r>
    </w:p>
    <w:p>
      <w:pPr>
        <w:jc w:val="both"/>
      </w:pPr>
      <w:r>
        <w:rPr>
          <w:rFonts w:ascii="Times New Roman" w:hAnsi="Times New Roman"/>
          <w:sz w:val="20"/>
        </w:rPr>
        <w:t>This combined score determines the alert priority assignment (P0–Critical through P4–Informational) and risk level classification (Critical, High, Medium, Low). The dual-signal approach ensures that both known threats (detected by the classifier) and unknown threats (detected by the anomaly detector) are appropriately captured and prioritized.</w:t>
      </w:r>
    </w:p>
    <w:p>
      <w:pPr>
        <w:pStyle w:val="Heading2"/>
      </w:pPr>
      <w:r>
        <w:rPr>
          <w:rFonts w:ascii="Times New Roman" w:hAnsi="Times New Roman"/>
          <w:color w:val="000000"/>
        </w:rPr>
        <w:t>E. Natural Language Explanation Generation</w:t>
      </w:r>
    </w:p>
    <w:p>
      <w:pPr>
        <w:jc w:val="both"/>
      </w:pPr>
      <w:r>
        <w:rPr>
          <w:rFonts w:ascii="Times New Roman" w:hAnsi="Times New Roman"/>
          <w:sz w:val="20"/>
        </w:rPr>
        <w:t>SOC Copilot generates human-readable explanations for each alert through a wrapper-based explainability layer that provides:</w:t>
      </w:r>
    </w:p>
    <w:p>
      <w:pPr>
        <w:pStyle w:val="ListBullet"/>
      </w:pPr>
      <w:r>
        <w:rPr>
          <w:rFonts w:ascii="Times New Roman" w:hAnsi="Times New Roman"/>
          <w:sz w:val="20"/>
        </w:rPr>
        <w:t>Classification reasoning with confidence levels</w:t>
      </w:r>
    </w:p>
    <w:p>
      <w:pPr>
        <w:pStyle w:val="ListBullet"/>
      </w:pPr>
      <w:r>
        <w:rPr>
          <w:rFonts w:ascii="Times New Roman" w:hAnsi="Times New Roman"/>
          <w:sz w:val="20"/>
        </w:rPr>
        <w:t>Anomaly score interpretation with behavioral context</w:t>
      </w:r>
    </w:p>
    <w:p>
      <w:pPr>
        <w:pStyle w:val="ListBullet"/>
      </w:pPr>
      <w:r>
        <w:rPr>
          <w:rFonts w:ascii="Times New Roman" w:hAnsi="Times New Roman"/>
          <w:sz w:val="20"/>
        </w:rPr>
        <w:t>Top contributing features ranked by importance</w:t>
      </w:r>
    </w:p>
    <w:p>
      <w:pPr>
        <w:pStyle w:val="ListBullet"/>
      </w:pPr>
      <w:r>
        <w:rPr>
          <w:rFonts w:ascii="Times New Roman" w:hAnsi="Times New Roman"/>
          <w:sz w:val="20"/>
        </w:rPr>
        <w:t>Threshold crossing analysis</w:t>
      </w:r>
    </w:p>
    <w:p>
      <w:pPr>
        <w:pStyle w:val="ListBullet"/>
      </w:pPr>
      <w:r>
        <w:rPr>
          <w:rFonts w:ascii="Times New Roman" w:hAnsi="Times New Roman"/>
          <w:sz w:val="20"/>
        </w:rPr>
        <w:t>MITRE ATT&amp;CK tactic and technique mapping</w:t>
      </w:r>
    </w:p>
    <w:p>
      <w:pPr>
        <w:pStyle w:val="ListBullet"/>
      </w:pPr>
      <w:r>
        <w:rPr>
          <w:rFonts w:ascii="Times New Roman" w:hAnsi="Times New Roman"/>
          <w:sz w:val="20"/>
        </w:rPr>
        <w:t>Suggested response actions based on threat classification</w:t>
      </w:r>
    </w:p>
    <w:p>
      <w:pPr>
        <w:pStyle w:val="Heading2"/>
      </w:pPr>
      <w:r>
        <w:rPr>
          <w:rFonts w:ascii="Times New Roman" w:hAnsi="Times New Roman"/>
          <w:color w:val="000000"/>
        </w:rPr>
        <w:t>F. Recommendation Engine</w:t>
      </w:r>
    </w:p>
    <w:p>
      <w:pPr>
        <w:jc w:val="both"/>
      </w:pPr>
      <w:r>
        <w:rPr>
          <w:rFonts w:ascii="Times New Roman" w:hAnsi="Times New Roman"/>
          <w:sz w:val="20"/>
        </w:rPr>
        <w:t>The response recommendation component generates actionable incident response guidance based on threat classification, severity, and contextual factors. Recommendations are aligned with industry-standard incident response frameworks and include containment, investigation, and remediation steps appropriate to the detected threat category.</w:t>
      </w:r>
    </w:p>
    <w:p>
      <w:pPr>
        <w:pStyle w:val="Heading2"/>
      </w:pPr>
      <w:r>
        <w:rPr>
          <w:rFonts w:ascii="Times New Roman" w:hAnsi="Times New Roman"/>
          <w:color w:val="000000"/>
        </w:rPr>
        <w:t>G. Dashboard Visualization</w:t>
      </w:r>
    </w:p>
    <w:p>
      <w:pPr>
        <w:jc w:val="both"/>
      </w:pPr>
      <w:r>
        <w:rPr>
          <w:rFonts w:ascii="Times New Roman" w:hAnsi="Times New Roman"/>
          <w:sz w:val="20"/>
        </w:rPr>
        <w:t>The desktop-based user interface, implemented using PyQt6, provides a real-time monitoring dashboard with the following components:</w:t>
      </w:r>
    </w:p>
    <w:p>
      <w:pPr>
        <w:pStyle w:val="ListBullet"/>
      </w:pPr>
      <w:r>
        <w:rPr>
          <w:rFonts w:ascii="Times New Roman" w:hAnsi="Times New Roman"/>
          <w:sz w:val="20"/>
        </w:rPr>
        <w:t>Threat Overview Dashboard: Animated metric cards displaying total alerts, critical threats, processing status, and risk distribution</w:t>
      </w:r>
    </w:p>
    <w:p>
      <w:pPr>
        <w:pStyle w:val="ListBullet"/>
      </w:pPr>
      <w:r>
        <w:rPr>
          <w:rFonts w:ascii="Times New Roman" w:hAnsi="Times New Roman"/>
          <w:sz w:val="20"/>
        </w:rPr>
        <w:t>Alert Table: Priority-sorted, filterable alert listing with color-coded severity indicators and incremental real-time updates</w:t>
      </w:r>
    </w:p>
    <w:p>
      <w:pPr>
        <w:pStyle w:val="ListBullet"/>
      </w:pPr>
      <w:r>
        <w:rPr>
          <w:rFonts w:ascii="Times New Roman" w:hAnsi="Times New Roman"/>
          <w:sz w:val="20"/>
        </w:rPr>
        <w:t>Investigation Panel: Detailed alert analysis with network information, feature importance visualization, reasoning breakdown, and recommended actions</w:t>
      </w:r>
    </w:p>
    <w:p>
      <w:pPr>
        <w:pStyle w:val="ListBullet"/>
      </w:pPr>
      <w:r>
        <w:rPr>
          <w:rFonts w:ascii="Times New Roman" w:hAnsi="Times New Roman"/>
          <w:sz w:val="20"/>
        </w:rPr>
        <w:t>System Status Bar: LED-style indicators for pipeline health, ingestion status, governance state, and buffer utilization</w:t>
      </w:r>
    </w:p>
    <w:p>
      <w:pPr>
        <w:pStyle w:val="ListBullet"/>
      </w:pPr>
      <w:r>
        <w:rPr>
          <w:rFonts w:ascii="Times New Roman" w:hAnsi="Times New Roman"/>
          <w:sz w:val="20"/>
        </w:rPr>
        <w:t>Configuration Panel: Threshold calibration, system log monitoring controls, and governance settings</w:t>
      </w:r>
    </w:p>
    <w:p>
      <w:pPr>
        <w:pStyle w:val="Heading2"/>
      </w:pPr>
      <w:r>
        <w:rPr>
          <w:rFonts w:ascii="Times New Roman" w:hAnsi="Times New Roman"/>
          <w:color w:val="000000"/>
        </w:rPr>
        <w:t>H. Technology Stack</w:t>
      </w:r>
    </w:p>
    <w:tbl>
      <w:tblPr>
        <w:tblStyle w:val="TableGrid"/>
        <w:tblW w:type="auto" w:w="0"/>
        <w:jc w:val="center"/>
        <w:tblLook w:firstColumn="1" w:firstRow="1" w:lastColumn="0" w:lastRow="0" w:noHBand="0" w:noVBand="1" w:val="04A0"/>
      </w:tblPr>
      <w:tblGrid>
        <w:gridCol w:w="4680"/>
        <w:gridCol w:w="4680"/>
      </w:tblGrid>
      <w:tr>
        <w:tc>
          <w:tcPr>
            <w:tcW w:type="dxa" w:w="2880"/>
            <w:shd w:fill="D9E2F3" w:val="clear"/>
          </w:tcPr>
          <w:p>
            <w:pPr>
              <w:jc w:val="center"/>
            </w:pPr>
            <w:r/>
            <w:r>
              <w:rPr>
                <w:rFonts w:ascii="Times New Roman" w:hAnsi="Times New Roman"/>
                <w:b/>
                <w:sz w:val="18"/>
              </w:rPr>
              <w:t>Component</w:t>
            </w:r>
          </w:p>
        </w:tc>
        <w:tc>
          <w:tcPr>
            <w:tcW w:type="dxa" w:w="6480"/>
            <w:shd w:fill="D9E2F3" w:val="clear"/>
          </w:tcPr>
          <w:p>
            <w:pPr>
              <w:jc w:val="center"/>
            </w:pPr>
            <w:r/>
            <w:r>
              <w:rPr>
                <w:rFonts w:ascii="Times New Roman" w:hAnsi="Times New Roman"/>
                <w:b/>
                <w:sz w:val="18"/>
              </w:rPr>
              <w:t>Technology</w:t>
            </w:r>
          </w:p>
        </w:tc>
      </w:tr>
      <w:tr>
        <w:tc>
          <w:tcPr>
            <w:tcW w:type="dxa" w:w="2880"/>
          </w:tcPr>
          <w:p>
            <w:r/>
            <w:r>
              <w:rPr>
                <w:rFonts w:ascii="Times New Roman" w:hAnsi="Times New Roman"/>
                <w:sz w:val="18"/>
              </w:rPr>
              <w:t>Core Language</w:t>
            </w:r>
          </w:p>
        </w:tc>
        <w:tc>
          <w:tcPr>
            <w:tcW w:type="dxa" w:w="6480"/>
          </w:tcPr>
          <w:p>
            <w:r/>
            <w:r>
              <w:rPr>
                <w:rFonts w:ascii="Times New Roman" w:hAnsi="Times New Roman"/>
                <w:sz w:val="18"/>
              </w:rPr>
              <w:t>Python 3.10+</w:t>
            </w:r>
          </w:p>
        </w:tc>
      </w:tr>
      <w:tr>
        <w:tc>
          <w:tcPr>
            <w:tcW w:type="dxa" w:w="2880"/>
          </w:tcPr>
          <w:p>
            <w:r/>
            <w:r>
              <w:rPr>
                <w:rFonts w:ascii="Times New Roman" w:hAnsi="Times New Roman"/>
                <w:sz w:val="18"/>
              </w:rPr>
              <w:t>ML Framework</w:t>
            </w:r>
          </w:p>
        </w:tc>
        <w:tc>
          <w:tcPr>
            <w:tcW w:type="dxa" w:w="6480"/>
          </w:tcPr>
          <w:p>
            <w:r/>
            <w:r>
              <w:rPr>
                <w:rFonts w:ascii="Times New Roman" w:hAnsi="Times New Roman"/>
                <w:sz w:val="18"/>
              </w:rPr>
              <w:t>Scikit-learn (Isolation Forest, Random Forest)</w:t>
            </w:r>
          </w:p>
        </w:tc>
      </w:tr>
      <w:tr>
        <w:tc>
          <w:tcPr>
            <w:tcW w:type="dxa" w:w="2880"/>
          </w:tcPr>
          <w:p>
            <w:r/>
            <w:r>
              <w:rPr>
                <w:rFonts w:ascii="Times New Roman" w:hAnsi="Times New Roman"/>
                <w:sz w:val="18"/>
              </w:rPr>
              <w:t>Desktop UI</w:t>
            </w:r>
          </w:p>
        </w:tc>
        <w:tc>
          <w:tcPr>
            <w:tcW w:type="dxa" w:w="6480"/>
          </w:tcPr>
          <w:p>
            <w:r/>
            <w:r>
              <w:rPr>
                <w:rFonts w:ascii="Times New Roman" w:hAnsi="Times New Roman"/>
                <w:sz w:val="18"/>
              </w:rPr>
              <w:t>PyQt6</w:t>
            </w:r>
          </w:p>
        </w:tc>
      </w:tr>
      <w:tr>
        <w:tc>
          <w:tcPr>
            <w:tcW w:type="dxa" w:w="2880"/>
          </w:tcPr>
          <w:p>
            <w:r/>
            <w:r>
              <w:rPr>
                <w:rFonts w:ascii="Times New Roman" w:hAnsi="Times New Roman"/>
                <w:sz w:val="18"/>
              </w:rPr>
              <w:t>Data Processing</w:t>
            </w:r>
          </w:p>
        </w:tc>
        <w:tc>
          <w:tcPr>
            <w:tcW w:type="dxa" w:w="6480"/>
          </w:tcPr>
          <w:p>
            <w:r/>
            <w:r>
              <w:rPr>
                <w:rFonts w:ascii="Times New Roman" w:hAnsi="Times New Roman"/>
                <w:sz w:val="18"/>
              </w:rPr>
              <w:t>Pandas, NumPy</w:t>
            </w:r>
          </w:p>
        </w:tc>
      </w:tr>
      <w:tr>
        <w:tc>
          <w:tcPr>
            <w:tcW w:type="dxa" w:w="2880"/>
          </w:tcPr>
          <w:p>
            <w:r/>
            <w:r>
              <w:rPr>
                <w:rFonts w:ascii="Times New Roman" w:hAnsi="Times New Roman"/>
                <w:sz w:val="18"/>
              </w:rPr>
              <w:t>Database</w:t>
            </w:r>
          </w:p>
        </w:tc>
        <w:tc>
          <w:tcPr>
            <w:tcW w:type="dxa" w:w="6480"/>
          </w:tcPr>
          <w:p>
            <w:r/>
            <w:r>
              <w:rPr>
                <w:rFonts w:ascii="Times New Roman" w:hAnsi="Times New Roman"/>
                <w:sz w:val="18"/>
              </w:rPr>
              <w:t>SQLite (feedback store, governance audit trail)</w:t>
            </w:r>
          </w:p>
        </w:tc>
      </w:tr>
      <w:tr>
        <w:tc>
          <w:tcPr>
            <w:tcW w:type="dxa" w:w="2880"/>
          </w:tcPr>
          <w:p>
            <w:r/>
            <w:r>
              <w:rPr>
                <w:rFonts w:ascii="Times New Roman" w:hAnsi="Times New Roman"/>
                <w:sz w:val="18"/>
              </w:rPr>
              <w:t>Configuration</w:t>
            </w:r>
          </w:p>
        </w:tc>
        <w:tc>
          <w:tcPr>
            <w:tcW w:type="dxa" w:w="6480"/>
          </w:tcPr>
          <w:p>
            <w:r/>
            <w:r>
              <w:rPr>
                <w:rFonts w:ascii="Times New Roman" w:hAnsi="Times New Roman"/>
                <w:sz w:val="18"/>
              </w:rPr>
              <w:t>YAML</w:t>
            </w:r>
          </w:p>
        </w:tc>
      </w:tr>
      <w:tr>
        <w:tc>
          <w:tcPr>
            <w:tcW w:type="dxa" w:w="2880"/>
          </w:tcPr>
          <w:p>
            <w:r/>
            <w:r>
              <w:rPr>
                <w:rFonts w:ascii="Times New Roman" w:hAnsi="Times New Roman"/>
                <w:sz w:val="18"/>
              </w:rPr>
              <w:t>Testing</w:t>
            </w:r>
          </w:p>
        </w:tc>
        <w:tc>
          <w:tcPr>
            <w:tcW w:type="dxa" w:w="6480"/>
          </w:tcPr>
          <w:p>
            <w:r/>
            <w:r>
              <w:rPr>
                <w:rFonts w:ascii="Times New Roman" w:hAnsi="Times New Roman"/>
                <w:sz w:val="18"/>
              </w:rPr>
              <w:t>Pytest (208+ tests)</w:t>
            </w:r>
          </w:p>
        </w:tc>
      </w:tr>
      <w:tr>
        <w:tc>
          <w:tcPr>
            <w:tcW w:type="dxa" w:w="2880"/>
          </w:tcPr>
          <w:p>
            <w:r/>
            <w:r>
              <w:rPr>
                <w:rFonts w:ascii="Times New Roman" w:hAnsi="Times New Roman"/>
                <w:sz w:val="18"/>
              </w:rPr>
              <w:t>Packaging</w:t>
            </w:r>
          </w:p>
        </w:tc>
        <w:tc>
          <w:tcPr>
            <w:tcW w:type="dxa" w:w="6480"/>
          </w:tcPr>
          <w:p>
            <w:r/>
            <w:r>
              <w:rPr>
                <w:rFonts w:ascii="Times New Roman" w:hAnsi="Times New Roman"/>
                <w:sz w:val="18"/>
              </w:rPr>
              <w:t>PyInstaller (Windows executable distribution)</w:t>
            </w:r>
          </w:p>
        </w:tc>
      </w:tr>
      <w:tr>
        <w:tc>
          <w:tcPr>
            <w:tcW w:type="dxa" w:w="2880"/>
          </w:tcPr>
          <w:p>
            <w:r/>
            <w:r>
              <w:rPr>
                <w:rFonts w:ascii="Times New Roman" w:hAnsi="Times New Roman"/>
                <w:sz w:val="18"/>
              </w:rPr>
              <w:t>Version Control</w:t>
            </w:r>
          </w:p>
        </w:tc>
        <w:tc>
          <w:tcPr>
            <w:tcW w:type="dxa" w:w="6480"/>
          </w:tcPr>
          <w:p>
            <w:r/>
            <w:r>
              <w:rPr>
                <w:rFonts w:ascii="Times New Roman" w:hAnsi="Times New Roman"/>
                <w:sz w:val="18"/>
              </w:rPr>
              <w:t>Git</w:t>
            </w:r>
          </w:p>
        </w:tc>
      </w:tr>
    </w:tbl>
    <w:p/>
    <w:p>
      <w:pPr>
        <w:pStyle w:val="Heading1"/>
      </w:pPr>
      <w:r>
        <w:rPr>
          <w:rFonts w:ascii="Times New Roman" w:hAnsi="Times New Roman"/>
          <w:color w:val="000000"/>
        </w:rPr>
        <w:t>V. SYSTEM ARCHITECTURE</w:t>
      </w:r>
    </w:p>
    <w:p>
      <w:pPr>
        <w:jc w:val="both"/>
      </w:pPr>
      <w:r>
        <w:rPr>
          <w:rFonts w:ascii="Times New Roman" w:hAnsi="Times New Roman"/>
          <w:sz w:val="20"/>
        </w:rPr>
        <w:t>SOC Copilot employs a layered, phased architecture designed for modularity, extensibility, and governance compliance. The architecture comprises five principal layers operating across three functional phases.</w:t>
      </w:r>
    </w:p>
    <w:p>
      <w:pPr>
        <w:pStyle w:val="Heading2"/>
      </w:pPr>
      <w:r>
        <w:rPr>
          <w:rFonts w:ascii="Times New Roman" w:hAnsi="Times New Roman"/>
          <w:color w:val="000000"/>
        </w:rPr>
        <w:t>A. Frontend Interface Layer</w:t>
      </w:r>
    </w:p>
    <w:p>
      <w:pPr>
        <w:jc w:val="both"/>
      </w:pPr>
      <w:r>
        <w:rPr>
          <w:rFonts w:ascii="Times New Roman" w:hAnsi="Times New Roman"/>
          <w:sz w:val="20"/>
        </w:rPr>
        <w:t>The presentation layer implements a PyQt6-based desktop application featuring a sidebar navigation system with keyboard shortcuts (Ctrl+1 through Ctrl+4), a system status bar with LED indicators, and a stacked page layout supporting Dashboard, Alerts, Investigation, Assistant, and Settings views. The interface communicates with the backend through a read-only Controller Bridge pattern that ensures unidirectional data flow and prevents the UI from modifying analysis state.</w:t>
      </w:r>
    </w:p>
    <w:p>
      <w:pPr>
        <w:pStyle w:val="Heading2"/>
      </w:pPr>
      <w:r>
        <w:rPr>
          <w:rFonts w:ascii="Times New Roman" w:hAnsi="Times New Roman"/>
          <w:color w:val="000000"/>
        </w:rPr>
        <w:t>B. Backend API Layer</w:t>
      </w:r>
    </w:p>
    <w:p>
      <w:pPr>
        <w:jc w:val="both"/>
      </w:pPr>
      <w:r>
        <w:rPr>
          <w:rFonts w:ascii="Times New Roman" w:hAnsi="Times New Roman"/>
          <w:sz w:val="20"/>
        </w:rPr>
        <w:t>The Application Controller orchestrates the end-to-end processing pipeline, managing log ingestion, preprocessing, feature extraction, model inference, and alert generation. The controller implements a micro-batching architecture for real-time processing, with configurable batch sizes and processing intervals. State management follows the observer pattern, with status updates propagated to the UI through polled status dictionaries.</w:t>
      </w:r>
    </w:p>
    <w:p>
      <w:pPr>
        <w:pStyle w:val="Heading2"/>
      </w:pPr>
      <w:r>
        <w:rPr>
          <w:rFonts w:ascii="Times New Roman" w:hAnsi="Times New Roman"/>
          <w:color w:val="000000"/>
        </w:rPr>
        <w:t>C. AI Processing Engine</w:t>
      </w:r>
    </w:p>
    <w:p>
      <w:pPr>
        <w:jc w:val="both"/>
      </w:pPr>
      <w:r>
        <w:rPr>
          <w:rFonts w:ascii="Times New Roman" w:hAnsi="Times New Roman"/>
          <w:sz w:val="20"/>
        </w:rPr>
        <w:t>The ML inference layer loads pre-trained model artifacts (serialized via joblib) in read-only mode at application startup. The Ensemble Coordinator maintains references to both models, orchestrates parallel inference, and applies the weighted decision matrix to produce combined risk scores. Feature engineering extracts 78 numeric features across four categories:</w:t>
      </w:r>
    </w:p>
    <w:p>
      <w:pPr>
        <w:pStyle w:val="ListBullet"/>
      </w:pPr>
      <w:r>
        <w:rPr>
          <w:rFonts w:ascii="Times New Roman" w:hAnsi="Times New Roman"/>
          <w:sz w:val="20"/>
        </w:rPr>
        <w:t>Statistical Features: Packet counts, byte volumes, flow duration, inter-arrival time statistics</w:t>
      </w:r>
    </w:p>
    <w:p>
      <w:pPr>
        <w:pStyle w:val="ListBullet"/>
      </w:pPr>
      <w:r>
        <w:rPr>
          <w:rFonts w:ascii="Times New Roman" w:hAnsi="Times New Roman"/>
          <w:sz w:val="20"/>
        </w:rPr>
        <w:t>Temporal Features: Hourly/daily pattern encoding, time-since-last-event metrics</w:t>
      </w:r>
    </w:p>
    <w:p>
      <w:pPr>
        <w:pStyle w:val="ListBullet"/>
      </w:pPr>
      <w:r>
        <w:rPr>
          <w:rFonts w:ascii="Times New Roman" w:hAnsi="Times New Roman"/>
          <w:sz w:val="20"/>
        </w:rPr>
        <w:t>Behavioral Features: Session patterns, request frequency, error rates</w:t>
      </w:r>
    </w:p>
    <w:p>
      <w:pPr>
        <w:pStyle w:val="ListBullet"/>
      </w:pPr>
      <w:r>
        <w:rPr>
          <w:rFonts w:ascii="Times New Roman" w:hAnsi="Times New Roman"/>
          <w:sz w:val="20"/>
        </w:rPr>
        <w:t>Network Features: Port entropy, unique destination counts, protocol distribution</w:t>
      </w:r>
    </w:p>
    <w:p>
      <w:pPr>
        <w:pStyle w:val="Heading2"/>
      </w:pPr>
      <w:r>
        <w:rPr>
          <w:rFonts w:ascii="Times New Roman" w:hAnsi="Times New Roman"/>
          <w:color w:val="000000"/>
        </w:rPr>
        <w:t>D. Database Layer</w:t>
      </w:r>
    </w:p>
    <w:p>
      <w:pPr>
        <w:jc w:val="both"/>
      </w:pPr>
      <w:r>
        <w:rPr>
          <w:rFonts w:ascii="Times New Roman" w:hAnsi="Times New Roman"/>
          <w:sz w:val="20"/>
        </w:rPr>
        <w:t>SOC Copilot uses SQLite databases for persistent storage:</w:t>
      </w:r>
    </w:p>
    <w:p>
      <w:pPr>
        <w:pStyle w:val="ListBullet"/>
      </w:pPr>
      <w:r>
        <w:rPr>
          <w:rFonts w:ascii="Times New Roman" w:hAnsi="Times New Roman"/>
          <w:sz w:val="20"/>
        </w:rPr>
        <w:t>Feedback Store: Analyst verdicts (confirm/dispute) linked to specific alerts, enabling post-hoc analysis of model accuracy and false positive rates</w:t>
      </w:r>
    </w:p>
    <w:p>
      <w:pPr>
        <w:pStyle w:val="ListBullet"/>
      </w:pPr>
      <w:r>
        <w:rPr>
          <w:rFonts w:ascii="Times New Roman" w:hAnsi="Times New Roman"/>
          <w:sz w:val="20"/>
        </w:rPr>
        <w:t>Governance Database: Append-only audit trail recording all governance state changes, approval workflows, and administrative actions</w:t>
      </w:r>
    </w:p>
    <w:p>
      <w:pPr>
        <w:pStyle w:val="ListBullet"/>
      </w:pPr>
      <w:r>
        <w:rPr>
          <w:rFonts w:ascii="Times New Roman" w:hAnsi="Times New Roman"/>
          <w:sz w:val="20"/>
        </w:rPr>
        <w:t>Drift Monitoring: Feature distribution snapshots for detecting statistical shifts in incoming data</w:t>
      </w:r>
    </w:p>
    <w:p>
      <w:pPr>
        <w:pStyle w:val="Heading2"/>
      </w:pPr>
      <w:r>
        <w:rPr>
          <w:rFonts w:ascii="Times New Roman" w:hAnsi="Times New Roman"/>
          <w:color w:val="000000"/>
        </w:rPr>
        <w:t>E. Response Generation Layer</w:t>
      </w:r>
    </w:p>
    <w:p>
      <w:pPr>
        <w:jc w:val="both"/>
      </w:pPr>
      <w:r>
        <w:rPr>
          <w:rFonts w:ascii="Times New Roman" w:hAnsi="Times New Roman"/>
          <w:sz w:val="20"/>
        </w:rPr>
        <w:t>The Explainability and Response layer operates post-inference, generating structured alert objects containing priority level (P0–P4) with MITRE ATT&amp;CK mapping, risk classification with combined confidence score, feature importance rankings, human-readable reasoning chains, and contextual response recommendations.</w:t>
      </w:r>
    </w:p>
    <w:p>
      <w:pPr>
        <w:pStyle w:val="Heading2"/>
      </w:pPr>
      <w:r>
        <w:rPr>
          <w:rFonts w:ascii="Times New Roman" w:hAnsi="Times New Roman"/>
          <w:color w:val="000000"/>
        </w:rPr>
        <w:t>F. Architectural Workflow</w:t>
      </w:r>
    </w:p>
    <w:p>
      <w:pPr>
        <w:jc w:val="both"/>
      </w:pPr>
      <w:r>
        <w:rPr>
          <w:rFonts w:ascii="Times New Roman" w:hAnsi="Times New Roman"/>
          <w:sz w:val="20"/>
        </w:rPr>
        <w:t>The end-to-end data flow follows a strictly sequential pipeline: Log Files → Format Detection → Parsing → Validation → Normalization → Feature Extraction (78 features) → Isolation Forest Scoring → Random Forest Classification → Ensemble Coordination → Risk Score Calculation → Alert Generation → Explainability → Dashboard Display → Analyst Review → Feedback Storage. Phase isolation ensures that downstream phases (Trust &amp; Intelligence, Governance) do not modify the behavior of the upstream Detection Engine, maintaining deterministic and reproducible analysis results.</w:t>
      </w:r>
    </w:p>
    <w:p>
      <w:pPr>
        <w:pStyle w:val="Heading1"/>
      </w:pPr>
      <w:r>
        <w:rPr>
          <w:rFonts w:ascii="Times New Roman" w:hAnsi="Times New Roman"/>
          <w:color w:val="000000"/>
        </w:rPr>
        <w:t>VI. METHODOLOGY</w:t>
      </w:r>
    </w:p>
    <w:p>
      <w:pPr>
        <w:pStyle w:val="Heading2"/>
      </w:pPr>
      <w:r>
        <w:rPr>
          <w:rFonts w:ascii="Times New Roman" w:hAnsi="Times New Roman"/>
          <w:color w:val="000000"/>
        </w:rPr>
        <w:t>A. Log Data Processing Steps</w:t>
      </w:r>
    </w:p>
    <w:p>
      <w:pPr>
        <w:jc w:val="both"/>
      </w:pPr>
      <w:r>
        <w:rPr>
          <w:rFonts w:ascii="Times New Roman" w:hAnsi="Times New Roman"/>
          <w:sz w:val="20"/>
        </w:rPr>
        <w:t>The data processing pipeline implements a sequential transformation workflow designed for robustness across heterogeneous log formats:</w:t>
      </w:r>
    </w:p>
    <w:p>
      <w:pPr>
        <w:pStyle w:val="ListNumber"/>
      </w:pPr>
      <w:r>
        <w:rPr>
          <w:rFonts w:ascii="Times New Roman" w:hAnsi="Times New Roman"/>
          <w:sz w:val="20"/>
        </w:rPr>
        <w:t>Format Detection: Automatic identification of input format through file extension analysis and header inspection</w:t>
      </w:r>
    </w:p>
    <w:p>
      <w:pPr>
        <w:pStyle w:val="ListNumber"/>
      </w:pPr>
      <w:r>
        <w:rPr>
          <w:rFonts w:ascii="Times New Roman" w:hAnsi="Times New Roman"/>
          <w:sz w:val="20"/>
        </w:rPr>
        <w:t>Record Parsing: Format-specific parsers extract structured fields from raw log entries</w:t>
      </w:r>
    </w:p>
    <w:p>
      <w:pPr>
        <w:pStyle w:val="ListNumber"/>
      </w:pPr>
      <w:r>
        <w:rPr>
          <w:rFonts w:ascii="Times New Roman" w:hAnsi="Times New Roman"/>
          <w:sz w:val="20"/>
        </w:rPr>
        <w:t>Schema Validation: Parsed records are validated against expected field schemas; malformed records are logged and excluded</w:t>
      </w:r>
    </w:p>
    <w:p>
      <w:pPr>
        <w:pStyle w:val="ListNumber"/>
      </w:pPr>
      <w:r>
        <w:rPr>
          <w:rFonts w:ascii="Times New Roman" w:hAnsi="Times New Roman"/>
          <w:sz w:val="20"/>
        </w:rPr>
        <w:t>Timestamp Normalization: All temporal fields are converted to UTC ISO 8601 representation</w:t>
      </w:r>
    </w:p>
    <w:p>
      <w:pPr>
        <w:pStyle w:val="ListNumber"/>
      </w:pPr>
      <w:r>
        <w:rPr>
          <w:rFonts w:ascii="Times New Roman" w:hAnsi="Times New Roman"/>
          <w:sz w:val="20"/>
        </w:rPr>
        <w:t>Field Mapping: Source-specific field names are standardized to a canonical schema</w:t>
      </w:r>
    </w:p>
    <w:p>
      <w:pPr>
        <w:pStyle w:val="ListNumber"/>
      </w:pPr>
      <w:r>
        <w:rPr>
          <w:rFonts w:ascii="Times New Roman" w:hAnsi="Times New Roman"/>
          <w:sz w:val="20"/>
        </w:rPr>
        <w:t>Categorical Encoding: String-valued categorical fields are encoded as integer representations using consistent mapping dictionaries</w:t>
      </w:r>
    </w:p>
    <w:p>
      <w:pPr>
        <w:pStyle w:val="Heading2"/>
      </w:pPr>
      <w:r>
        <w:rPr>
          <w:rFonts w:ascii="Times New Roman" w:hAnsi="Times New Roman"/>
          <w:color w:val="000000"/>
        </w:rPr>
        <w:t>B. Feature Extraction</w:t>
      </w:r>
    </w:p>
    <w:p>
      <w:pPr>
        <w:jc w:val="both"/>
      </w:pPr>
      <w:r>
        <w:rPr>
          <w:rFonts w:ascii="Times New Roman" w:hAnsi="Times New Roman"/>
          <w:sz w:val="20"/>
        </w:rPr>
        <w:t>The feature engineering module extracts 78 numeric features from normalized log records, organized into four categories:</w:t>
      </w:r>
    </w:p>
    <w:p>
      <w:pPr>
        <w:pStyle w:val="ListBullet"/>
      </w:pPr>
      <w:r>
        <w:rPr>
          <w:rFonts w:ascii="Times New Roman" w:hAnsi="Times New Roman"/>
          <w:sz w:val="20"/>
        </w:rPr>
        <w:t>Statistical (22 features): Flow-level statistics including packet count, byte volume, duration, and inter-arrival time metrics (mean, standard deviation, min, max)</w:t>
      </w:r>
    </w:p>
    <w:p>
      <w:pPr>
        <w:pStyle w:val="ListBullet"/>
      </w:pPr>
      <w:r>
        <w:rPr>
          <w:rFonts w:ascii="Times New Roman" w:hAnsi="Times New Roman"/>
          <w:sz w:val="20"/>
        </w:rPr>
        <w:t>Temporal (18 features): Time-based patterns including hour-of-day encoding, day-of-week encoding, and time-delta calculations</w:t>
      </w:r>
    </w:p>
    <w:p>
      <w:pPr>
        <w:pStyle w:val="ListBullet"/>
      </w:pPr>
      <w:r>
        <w:rPr>
          <w:rFonts w:ascii="Times New Roman" w:hAnsi="Times New Roman"/>
          <w:sz w:val="20"/>
        </w:rPr>
        <w:t>Behavioral (20 features): Session-level patterns including request frequency, error ratios, connection persistence, and activity burst detection</w:t>
      </w:r>
    </w:p>
    <w:p>
      <w:pPr>
        <w:pStyle w:val="ListBullet"/>
      </w:pPr>
      <w:r>
        <w:rPr>
          <w:rFonts w:ascii="Times New Roman" w:hAnsi="Times New Roman"/>
          <w:sz w:val="20"/>
        </w:rPr>
        <w:t>Network (18 features): Network topology metrics including port entropy, unique destination IP count, protocol distribution, and source/destination diversity</w:t>
      </w:r>
    </w:p>
    <w:p>
      <w:pPr>
        <w:pStyle w:val="Heading2"/>
      </w:pPr>
      <w:r>
        <w:rPr>
          <w:rFonts w:ascii="Times New Roman" w:hAnsi="Times New Roman"/>
          <w:color w:val="000000"/>
        </w:rPr>
        <w:t>C. AI Inference Workflow</w:t>
      </w:r>
    </w:p>
    <w:p>
      <w:pPr>
        <w:jc w:val="both"/>
      </w:pPr>
      <w:r>
        <w:rPr>
          <w:rFonts w:ascii="Times New Roman" w:hAnsi="Times New Roman"/>
          <w:sz w:val="20"/>
        </w:rPr>
        <w:t>The inference pipeline executes the following pseudo-algorithm for each batch of log records:</w:t>
      </w:r>
    </w:p>
    <w:p>
      <w:pPr>
        <w:jc w:val="both"/>
      </w:pPr>
      <w:r>
        <w:rPr>
          <w:rFonts w:ascii="Times New Roman" w:hAnsi="Times New Roman"/>
          <w:sz w:val="20"/>
        </w:rPr>
        <w:t>Algorithm 1: Hybrid Ensemble Threat Detection</w:t>
      </w:r>
    </w:p>
    <w:p>
      <w:pPr>
        <w:spacing w:after="20"/>
        <w:ind w:left="720"/>
      </w:pPr>
      <w:r>
        <w:rPr>
          <w:rFonts w:ascii="Consolas" w:hAnsi="Consolas"/>
          <w:sz w:val="18"/>
        </w:rPr>
        <w:t>Input: Feature matrix X ∈ R^(n×78) from log batch</w:t>
      </w:r>
    </w:p>
    <w:p>
      <w:pPr>
        <w:spacing w:after="20"/>
        <w:ind w:left="720"/>
      </w:pPr>
      <w:r>
        <w:rPr>
          <w:rFonts w:ascii="Consolas" w:hAnsi="Consolas"/>
          <w:sz w:val="18"/>
        </w:rPr>
        <w:t>Output: Alert set A with priorities, risk scores, and explanations</w:t>
      </w:r>
    </w:p>
    <w:p>
      <w:pPr>
        <w:spacing w:after="20"/>
        <w:ind w:left="720"/>
      </w:pPr>
      <w:r>
        <w:rPr>
          <w:rFonts w:ascii="Consolas" w:hAnsi="Consolas"/>
          <w:sz w:val="18"/>
        </w:rPr>
      </w:r>
    </w:p>
    <w:p>
      <w:pPr>
        <w:spacing w:after="20"/>
        <w:ind w:left="720"/>
      </w:pPr>
      <w:r>
        <w:rPr>
          <w:rFonts w:ascii="Consolas" w:hAnsi="Consolas"/>
          <w:sz w:val="18"/>
        </w:rPr>
        <w:t>1.  Load pre-trained models M_IF (Isolation Forest), M_RF (Random Forest)</w:t>
      </w:r>
    </w:p>
    <w:p>
      <w:pPr>
        <w:spacing w:after="20"/>
        <w:ind w:left="720"/>
      </w:pPr>
      <w:r>
        <w:rPr>
          <w:rFonts w:ascii="Consolas" w:hAnsi="Consolas"/>
          <w:sz w:val="18"/>
        </w:rPr>
        <w:t>2.  FOR each record x_i in X:</w:t>
      </w:r>
    </w:p>
    <w:p>
      <w:pPr>
        <w:spacing w:after="20"/>
        <w:ind w:left="720"/>
      </w:pPr>
      <w:r>
        <w:rPr>
          <w:rFonts w:ascii="Consolas" w:hAnsi="Consolas"/>
          <w:sz w:val="18"/>
        </w:rPr>
        <w:t>3.      anomaly_score_i ← Normalize(M_IF.decision_function(x_i)) to [0,1]</w:t>
      </w:r>
    </w:p>
    <w:p>
      <w:pPr>
        <w:spacing w:after="20"/>
        <w:ind w:left="720"/>
      </w:pPr>
      <w:r>
        <w:rPr>
          <w:rFonts w:ascii="Consolas" w:hAnsi="Consolas"/>
          <w:sz w:val="18"/>
        </w:rPr>
        <w:t>4.      (class_i, prob_i) ← M_RF.predict_proba(x_i)</w:t>
      </w:r>
    </w:p>
    <w:p>
      <w:pPr>
        <w:spacing w:after="20"/>
        <w:ind w:left="720"/>
      </w:pPr>
      <w:r>
        <w:rPr>
          <w:rFonts w:ascii="Consolas" w:hAnsi="Consolas"/>
          <w:sz w:val="18"/>
        </w:rPr>
        <w:t>5.      confidence_i ← max(prob_i)</w:t>
      </w:r>
    </w:p>
    <w:p>
      <w:pPr>
        <w:spacing w:after="20"/>
        <w:ind w:left="720"/>
      </w:pPr>
      <w:r>
        <w:rPr>
          <w:rFonts w:ascii="Consolas" w:hAnsi="Consolas"/>
          <w:sz w:val="18"/>
        </w:rPr>
        <w:t>6.      severity_i ← ThreatSeverityMap(class_i)</w:t>
      </w:r>
    </w:p>
    <w:p>
      <w:pPr>
        <w:spacing w:after="20"/>
        <w:ind w:left="720"/>
      </w:pPr>
      <w:r>
        <w:rPr>
          <w:rFonts w:ascii="Consolas" w:hAnsi="Consolas"/>
          <w:sz w:val="18"/>
        </w:rPr>
        <w:t>7.      risk_score_i ← 0.4 × anomaly_score_i + 0.6 × (severity_i × confidence_i)</w:t>
      </w:r>
    </w:p>
    <w:p>
      <w:pPr>
        <w:spacing w:after="20"/>
        <w:ind w:left="720"/>
      </w:pPr>
      <w:r>
        <w:rPr>
          <w:rFonts w:ascii="Consolas" w:hAnsi="Consolas"/>
          <w:sz w:val="18"/>
        </w:rPr>
        <w:t>8.      priority_i ← DecisionMatrix(anomaly_score_i, class_i, confidence_i)</w:t>
      </w:r>
    </w:p>
    <w:p>
      <w:pPr>
        <w:spacing w:after="20"/>
        <w:ind w:left="720"/>
      </w:pPr>
      <w:r>
        <w:rPr>
          <w:rFonts w:ascii="Consolas" w:hAnsi="Consolas"/>
          <w:sz w:val="18"/>
        </w:rPr>
        <w:t>9.      IF risk_score_i &gt; threshold_alert:</w:t>
      </w:r>
    </w:p>
    <w:p>
      <w:pPr>
        <w:spacing w:after="20"/>
        <w:ind w:left="720"/>
      </w:pPr>
      <w:r>
        <w:rPr>
          <w:rFonts w:ascii="Consolas" w:hAnsi="Consolas"/>
          <w:sz w:val="18"/>
        </w:rPr>
        <w:t>10.         explanation_i ← GenerateExplanation(x_i, anomaly_score_i, class_i, confidence_i)</w:t>
      </w:r>
    </w:p>
    <w:p>
      <w:pPr>
        <w:spacing w:after="20"/>
        <w:ind w:left="720"/>
      </w:pPr>
      <w:r>
        <w:rPr>
          <w:rFonts w:ascii="Consolas" w:hAnsi="Consolas"/>
          <w:sz w:val="18"/>
        </w:rPr>
        <w:t>11.         mitre_mapping_i ← MapToMITRE(class_i)</w:t>
      </w:r>
    </w:p>
    <w:p>
      <w:pPr>
        <w:spacing w:after="20"/>
        <w:ind w:left="720"/>
      </w:pPr>
      <w:r>
        <w:rPr>
          <w:rFonts w:ascii="Consolas" w:hAnsi="Consolas"/>
          <w:sz w:val="18"/>
        </w:rPr>
        <w:t>12.         action_i ← GenerateRecommendation(class_i, risk_score_i)</w:t>
      </w:r>
    </w:p>
    <w:p>
      <w:pPr>
        <w:spacing w:after="20"/>
        <w:ind w:left="720"/>
      </w:pPr>
      <w:r>
        <w:rPr>
          <w:rFonts w:ascii="Consolas" w:hAnsi="Consolas"/>
          <w:sz w:val="18"/>
        </w:rPr>
        <w:t>13.         A ← A ∪ {Alert(priority_i, risk_score_i, explanation_i, mitre_mapping_i, action_i)}</w:t>
      </w:r>
    </w:p>
    <w:p>
      <w:pPr>
        <w:spacing w:after="20"/>
        <w:ind w:left="720"/>
      </w:pPr>
      <w:r>
        <w:rPr>
          <w:rFonts w:ascii="Consolas" w:hAnsi="Consolas"/>
          <w:sz w:val="18"/>
        </w:rPr>
        <w:t>14. RETURN A</w:t>
      </w:r>
    </w:p>
    <w:p>
      <w:pPr>
        <w:pStyle w:val="Heading2"/>
      </w:pPr>
      <w:r>
        <w:rPr>
          <w:rFonts w:ascii="Times New Roman" w:hAnsi="Times New Roman"/>
          <w:color w:val="000000"/>
        </w:rPr>
        <w:t>D. Threat Classification Logic</w:t>
      </w:r>
    </w:p>
    <w:p>
      <w:pPr>
        <w:jc w:val="both"/>
      </w:pPr>
      <w:r>
        <w:rPr>
          <w:rFonts w:ascii="Times New Roman" w:hAnsi="Times New Roman"/>
          <w:sz w:val="20"/>
        </w:rPr>
        <w:t>The classification component assigns records to one of seven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val="clear"/>
          </w:tcPr>
          <w:p>
            <w:pPr>
              <w:jc w:val="center"/>
            </w:pPr>
            <w:r/>
            <w:r>
              <w:rPr>
                <w:rFonts w:ascii="Times New Roman" w:hAnsi="Times New Roman"/>
                <w:b/>
                <w:sz w:val="18"/>
              </w:rPr>
              <w:t>Class</w:t>
            </w:r>
          </w:p>
        </w:tc>
        <w:tc>
          <w:tcPr>
            <w:tcW w:type="dxa" w:w="3600"/>
            <w:shd w:fill="D9E2F3" w:val="clear"/>
          </w:tcPr>
          <w:p>
            <w:pPr>
              <w:jc w:val="center"/>
            </w:pPr>
            <w:r/>
            <w:r>
              <w:rPr>
                <w:rFonts w:ascii="Times New Roman" w:hAnsi="Times New Roman"/>
                <w:b/>
                <w:sz w:val="18"/>
              </w:rPr>
              <w:t>Description</w:t>
            </w:r>
          </w:p>
        </w:tc>
        <w:tc>
          <w:tcPr>
            <w:tcW w:type="dxa" w:w="2160"/>
            <w:shd w:fill="D9E2F3" w:val="clear"/>
          </w:tcPr>
          <w:p>
            <w:pPr>
              <w:jc w:val="center"/>
            </w:pPr>
            <w:r/>
            <w:r>
              <w:rPr>
                <w:rFonts w:ascii="Times New Roman" w:hAnsi="Times New Roman"/>
                <w:b/>
                <w:sz w:val="18"/>
              </w:rPr>
              <w:t>Severity Weight</w:t>
            </w:r>
          </w:p>
        </w:tc>
      </w:tr>
      <w:tr>
        <w:tc>
          <w:tcPr>
            <w:tcW w:type="dxa" w:w="2160"/>
          </w:tcPr>
          <w:p>
            <w:r/>
            <w:r>
              <w:rPr>
                <w:rFonts w:ascii="Times New Roman" w:hAnsi="Times New Roman"/>
                <w:sz w:val="18"/>
              </w:rPr>
              <w:t>Benign</w:t>
            </w:r>
          </w:p>
        </w:tc>
        <w:tc>
          <w:tcPr>
            <w:tcW w:type="dxa" w:w="3600"/>
          </w:tcPr>
          <w:p>
            <w:r/>
            <w:r>
              <w:rPr>
                <w:rFonts w:ascii="Times New Roman" w:hAnsi="Times New Roman"/>
                <w:sz w:val="18"/>
              </w:rPr>
              <w:t>Normal network activity</w:t>
            </w:r>
          </w:p>
        </w:tc>
        <w:tc>
          <w:tcPr>
            <w:tcW w:type="dxa" w:w="2160"/>
          </w:tcPr>
          <w:p>
            <w:r/>
            <w:r>
              <w:rPr>
                <w:rFonts w:ascii="Times New Roman" w:hAnsi="Times New Roman"/>
                <w:sz w:val="18"/>
              </w:rPr>
              <w:t>0.0</w:t>
            </w:r>
          </w:p>
        </w:tc>
      </w:tr>
      <w:tr>
        <w:tc>
          <w:tcPr>
            <w:tcW w:type="dxa" w:w="2160"/>
          </w:tcPr>
          <w:p>
            <w:r/>
            <w:r>
              <w:rPr>
                <w:rFonts w:ascii="Times New Roman" w:hAnsi="Times New Roman"/>
                <w:sz w:val="18"/>
              </w:rPr>
              <w:t>DDoS</w:t>
            </w:r>
          </w:p>
        </w:tc>
        <w:tc>
          <w:tcPr>
            <w:tcW w:type="dxa" w:w="3600"/>
          </w:tcPr>
          <w:p>
            <w:r/>
            <w:r>
              <w:rPr>
                <w:rFonts w:ascii="Times New Roman" w:hAnsi="Times New Roman"/>
                <w:sz w:val="18"/>
              </w:rPr>
              <w:t>Distributed denial-of-service</w:t>
            </w:r>
          </w:p>
        </w:tc>
        <w:tc>
          <w:tcPr>
            <w:tcW w:type="dxa" w:w="2160"/>
          </w:tcPr>
          <w:p>
            <w:r/>
            <w:r>
              <w:rPr>
                <w:rFonts w:ascii="Times New Roman" w:hAnsi="Times New Roman"/>
                <w:sz w:val="18"/>
              </w:rPr>
              <w:t>0.8</w:t>
            </w:r>
          </w:p>
        </w:tc>
      </w:tr>
      <w:tr>
        <w:tc>
          <w:tcPr>
            <w:tcW w:type="dxa" w:w="2160"/>
          </w:tcPr>
          <w:p>
            <w:r/>
            <w:r>
              <w:rPr>
                <w:rFonts w:ascii="Times New Roman" w:hAnsi="Times New Roman"/>
                <w:sz w:val="18"/>
              </w:rPr>
              <w:t>Brute Force</w:t>
            </w:r>
          </w:p>
        </w:tc>
        <w:tc>
          <w:tcPr>
            <w:tcW w:type="dxa" w:w="3600"/>
          </w:tcPr>
          <w:p>
            <w:r/>
            <w:r>
              <w:rPr>
                <w:rFonts w:ascii="Times New Roman" w:hAnsi="Times New Roman"/>
                <w:sz w:val="18"/>
              </w:rPr>
              <w:t>Authentication attack attempts</w:t>
            </w:r>
          </w:p>
        </w:tc>
        <w:tc>
          <w:tcPr>
            <w:tcW w:type="dxa" w:w="2160"/>
          </w:tcPr>
          <w:p>
            <w:r/>
            <w:r>
              <w:rPr>
                <w:rFonts w:ascii="Times New Roman" w:hAnsi="Times New Roman"/>
                <w:sz w:val="18"/>
              </w:rPr>
              <w:t>0.7</w:t>
            </w:r>
          </w:p>
        </w:tc>
      </w:tr>
      <w:tr>
        <w:tc>
          <w:tcPr>
            <w:tcW w:type="dxa" w:w="2160"/>
          </w:tcPr>
          <w:p>
            <w:r/>
            <w:r>
              <w:rPr>
                <w:rFonts w:ascii="Times New Roman" w:hAnsi="Times New Roman"/>
                <w:sz w:val="18"/>
              </w:rPr>
              <w:t>Malware</w:t>
            </w:r>
          </w:p>
        </w:tc>
        <w:tc>
          <w:tcPr>
            <w:tcW w:type="dxa" w:w="3600"/>
          </w:tcPr>
          <w:p>
            <w:r/>
            <w:r>
              <w:rPr>
                <w:rFonts w:ascii="Times New Roman" w:hAnsi="Times New Roman"/>
                <w:sz w:val="18"/>
              </w:rPr>
              <w:t>Malicious software execution</w:t>
            </w:r>
          </w:p>
        </w:tc>
        <w:tc>
          <w:tcPr>
            <w:tcW w:type="dxa" w:w="2160"/>
          </w:tcPr>
          <w:p>
            <w:r/>
            <w:r>
              <w:rPr>
                <w:rFonts w:ascii="Times New Roman" w:hAnsi="Times New Roman"/>
                <w:sz w:val="18"/>
              </w:rPr>
              <w:t>1.0</w:t>
            </w:r>
          </w:p>
        </w:tc>
      </w:tr>
      <w:tr>
        <w:tc>
          <w:tcPr>
            <w:tcW w:type="dxa" w:w="2160"/>
          </w:tcPr>
          <w:p>
            <w:r/>
            <w:r>
              <w:rPr>
                <w:rFonts w:ascii="Times New Roman" w:hAnsi="Times New Roman"/>
                <w:sz w:val="18"/>
              </w:rPr>
              <w:t>Exfiltration</w:t>
            </w:r>
          </w:p>
        </w:tc>
        <w:tc>
          <w:tcPr>
            <w:tcW w:type="dxa" w:w="3600"/>
          </w:tcPr>
          <w:p>
            <w:r/>
            <w:r>
              <w:rPr>
                <w:rFonts w:ascii="Times New Roman" w:hAnsi="Times New Roman"/>
                <w:sz w:val="18"/>
              </w:rPr>
              <w:t>Unauthorized data transfer</w:t>
            </w:r>
          </w:p>
        </w:tc>
        <w:tc>
          <w:tcPr>
            <w:tcW w:type="dxa" w:w="2160"/>
          </w:tcPr>
          <w:p>
            <w:r/>
            <w:r>
              <w:rPr>
                <w:rFonts w:ascii="Times New Roman" w:hAnsi="Times New Roman"/>
                <w:sz w:val="18"/>
              </w:rPr>
              <w:t>1.0</w:t>
            </w:r>
          </w:p>
        </w:tc>
      </w:tr>
      <w:tr>
        <w:tc>
          <w:tcPr>
            <w:tcW w:type="dxa" w:w="2160"/>
          </w:tcPr>
          <w:p>
            <w:r/>
            <w:r>
              <w:rPr>
                <w:rFonts w:ascii="Times New Roman" w:hAnsi="Times New Roman"/>
                <w:sz w:val="18"/>
              </w:rPr>
              <w:t>Reconnaissance</w:t>
            </w:r>
          </w:p>
        </w:tc>
        <w:tc>
          <w:tcPr>
            <w:tcW w:type="dxa" w:w="3600"/>
          </w:tcPr>
          <w:p>
            <w:r/>
            <w:r>
              <w:rPr>
                <w:rFonts w:ascii="Times New Roman" w:hAnsi="Times New Roman"/>
                <w:sz w:val="18"/>
              </w:rPr>
              <w:t>Network scanning and probing</w:t>
            </w:r>
          </w:p>
        </w:tc>
        <w:tc>
          <w:tcPr>
            <w:tcW w:type="dxa" w:w="2160"/>
          </w:tcPr>
          <w:p>
            <w:r/>
            <w:r>
              <w:rPr>
                <w:rFonts w:ascii="Times New Roman" w:hAnsi="Times New Roman"/>
                <w:sz w:val="18"/>
              </w:rPr>
              <w:t>0.5</w:t>
            </w:r>
          </w:p>
        </w:tc>
      </w:tr>
      <w:tr>
        <w:tc>
          <w:tcPr>
            <w:tcW w:type="dxa" w:w="2160"/>
          </w:tcPr>
          <w:p>
            <w:r/>
            <w:r>
              <w:rPr>
                <w:rFonts w:ascii="Times New Roman" w:hAnsi="Times New Roman"/>
                <w:sz w:val="18"/>
              </w:rPr>
              <w:t>SQL Injection</w:t>
            </w:r>
          </w:p>
        </w:tc>
        <w:tc>
          <w:tcPr>
            <w:tcW w:type="dxa" w:w="3600"/>
          </w:tcPr>
          <w:p>
            <w:r/>
            <w:r>
              <w:rPr>
                <w:rFonts w:ascii="Times New Roman" w:hAnsi="Times New Roman"/>
                <w:sz w:val="18"/>
              </w:rPr>
              <w:t>Database exploitation attempts</w:t>
            </w:r>
          </w:p>
        </w:tc>
        <w:tc>
          <w:tcPr>
            <w:tcW w:type="dxa" w:w="2160"/>
          </w:tcPr>
          <w:p>
            <w:r/>
            <w:r>
              <w:rPr>
                <w:rFonts w:ascii="Times New Roman" w:hAnsi="Times New Roman"/>
                <w:sz w:val="18"/>
              </w:rPr>
              <w:t>0.9</w:t>
            </w:r>
          </w:p>
        </w:tc>
      </w:tr>
    </w:tbl>
    <w:p/>
    <w:p>
      <w:pPr>
        <w:jc w:val="both"/>
      </w:pPr>
      <w:r>
        <w:rPr>
          <w:rFonts w:ascii="Times New Roman" w:hAnsi="Times New Roman"/>
          <w:sz w:val="20"/>
        </w:rPr>
        <w:t>Class imbalance is addressed through balanced class weighting during Random Forest training, which inversely weights each class proportional to its frequency in the training dataset.</w:t>
      </w:r>
    </w:p>
    <w:p>
      <w:pPr>
        <w:pStyle w:val="Heading2"/>
      </w:pPr>
      <w:r>
        <w:rPr>
          <w:rFonts w:ascii="Times New Roman" w:hAnsi="Times New Roman"/>
          <w:color w:val="000000"/>
        </w:rPr>
        <w:t>E. Risk Scoring Approach</w:t>
      </w:r>
    </w:p>
    <w:p>
      <w:pPr>
        <w:jc w:val="both"/>
      </w:pPr>
      <w:r>
        <w:rPr>
          <w:rFonts w:ascii="Times New Roman" w:hAnsi="Times New Roman"/>
          <w:sz w:val="20"/>
        </w:rPr>
        <w:t>The ensemble risk scoring combines anomaly detection and classification signals:</w:t>
      </w:r>
    </w:p>
    <w:p>
      <w:pPr>
        <w:pStyle w:val="ListBullet"/>
      </w:pPr>
      <w:r>
        <w:rPr>
          <w:rFonts w:ascii="Times New Roman" w:hAnsi="Times New Roman"/>
          <w:sz w:val="20"/>
        </w:rPr>
        <w:t>Anomaly Score Component (weight 0.4): Captures behavioral deviation from normal baselines, effective for novel threat detection</w:t>
      </w:r>
    </w:p>
    <w:p>
      <w:pPr>
        <w:pStyle w:val="ListBullet"/>
      </w:pPr>
      <w:r>
        <w:rPr>
          <w:rFonts w:ascii="Times New Roman" w:hAnsi="Times New Roman"/>
          <w:sz w:val="20"/>
        </w:rPr>
        <w:t>Classification Component (weight 0.6): Captures pattern-matched threat identification with confidence weighting</w:t>
      </w:r>
    </w:p>
    <w:p>
      <w:pPr>
        <w:jc w:val="both"/>
      </w:pPr>
      <w:r>
        <w:rPr>
          <w:rFonts w:ascii="Times New Roman" w:hAnsi="Times New Roman"/>
          <w:sz w:val="20"/>
        </w:rPr>
        <w:t>The combined score maps to four risk levels: Critical (≥ 0.8), High (0.6–0.79), Medium (0.4–0.59), and Low (&lt; 0.4). Priority assignment follows a decision matrix that considers both individual model outputs and their interaction.</w:t>
      </w:r>
    </w:p>
    <w:p>
      <w:pPr>
        <w:pStyle w:val="Heading2"/>
      </w:pPr>
      <w:r>
        <w:rPr>
          <w:rFonts w:ascii="Times New Roman" w:hAnsi="Times New Roman"/>
          <w:color w:val="000000"/>
        </w:rPr>
        <w:t>F. Response Recommendation Generation</w:t>
      </w:r>
    </w:p>
    <w:p>
      <w:pPr>
        <w:jc w:val="both"/>
      </w:pPr>
      <w:r>
        <w:rPr>
          <w:rFonts w:ascii="Times New Roman" w:hAnsi="Times New Roman"/>
          <w:sz w:val="20"/>
        </w:rPr>
        <w:t>Response recommendations are generated based on a classification-to-action mapping aligned with NIST incident response framework categories:</w:t>
      </w:r>
    </w:p>
    <w:p>
      <w:pPr>
        <w:pStyle w:val="ListBullet"/>
      </w:pPr>
      <w:r>
        <w:rPr>
          <w:rFonts w:ascii="Times New Roman" w:hAnsi="Times New Roman"/>
          <w:sz w:val="20"/>
        </w:rPr>
        <w:t>Containment: Network isolation, account lockout, service throttling</w:t>
      </w:r>
    </w:p>
    <w:p>
      <w:pPr>
        <w:pStyle w:val="ListBullet"/>
      </w:pPr>
      <w:r>
        <w:rPr>
          <w:rFonts w:ascii="Times New Roman" w:hAnsi="Times New Roman"/>
          <w:sz w:val="20"/>
        </w:rPr>
        <w:t>Investigation: Log deep-dive, forensic analysis, threat intelligence correlation</w:t>
      </w:r>
    </w:p>
    <w:p>
      <w:pPr>
        <w:pStyle w:val="ListBullet"/>
      </w:pPr>
      <w:r>
        <w:rPr>
          <w:rFonts w:ascii="Times New Roman" w:hAnsi="Times New Roman"/>
          <w:sz w:val="20"/>
        </w:rPr>
        <w:t>Remediation: Patch deployment, configuration hardening, credential rotation</w:t>
      </w:r>
    </w:p>
    <w:p>
      <w:pPr>
        <w:pStyle w:val="ListBullet"/>
      </w:pPr>
      <w:r>
        <w:rPr>
          <w:rFonts w:ascii="Times New Roman" w:hAnsi="Times New Roman"/>
          <w:sz w:val="20"/>
        </w:rPr>
        <w:t>Recovery: Service restoration, baseline re-establishment, monitoring intensification</w:t>
      </w:r>
    </w:p>
    <w:p>
      <w:pPr>
        <w:pStyle w:val="Heading1"/>
      </w:pPr>
      <w:r>
        <w:rPr>
          <w:rFonts w:ascii="Times New Roman" w:hAnsi="Times New Roman"/>
          <w:color w:val="000000"/>
        </w:rPr>
        <w:t>VII. RESULTS AND DISCUSSION</w:t>
      </w:r>
    </w:p>
    <w:p>
      <w:pPr>
        <w:pStyle w:val="Heading2"/>
      </w:pPr>
      <w:r>
        <w:rPr>
          <w:rFonts w:ascii="Times New Roman" w:hAnsi="Times New Roman"/>
          <w:color w:val="000000"/>
        </w:rPr>
        <w:t>A. System Performance</w:t>
      </w:r>
    </w:p>
    <w:p>
      <w:pPr>
        <w:jc w:val="both"/>
      </w:pPr>
      <w:r>
        <w:rPr>
          <w:rFonts w:ascii="Times New Roman" w:hAnsi="Times New Roman"/>
          <w:sz w:val="20"/>
        </w:rPr>
        <w:t>SOC Copilot was evaluated using the CICIDS2017 benchmark dataset, a widely used intrusion detection evaluation dataset containing labeled network traffic across multiple attack scenarios. The following performance metrics were observed:</w:t>
      </w:r>
    </w:p>
    <w:tbl>
      <w:tblPr>
        <w:tblStyle w:val="TableGrid"/>
        <w:tblW w:type="auto" w:w="0"/>
        <w:jc w:val="center"/>
        <w:tblLook w:firstColumn="1" w:firstRow="1" w:lastColumn="0" w:lastRow="0" w:noHBand="0" w:noVBand="1" w:val="04A0"/>
      </w:tblPr>
      <w:tblGrid>
        <w:gridCol w:w="4680"/>
        <w:gridCol w:w="4680"/>
      </w:tblGrid>
      <w:tr>
        <w:tc>
          <w:tcPr>
            <w:tcW w:type="dxa" w:w="4320"/>
            <w:shd w:fill="D9E2F3" w:val="clear"/>
          </w:tcPr>
          <w:p>
            <w:pPr>
              <w:jc w:val="center"/>
            </w:pPr>
            <w:r/>
            <w:r>
              <w:rPr>
                <w:rFonts w:ascii="Times New Roman" w:hAnsi="Times New Roman"/>
                <w:b/>
                <w:sz w:val="18"/>
              </w:rPr>
              <w:t>Metric</w:t>
            </w:r>
          </w:p>
        </w:tc>
        <w:tc>
          <w:tcPr>
            <w:tcW w:type="dxa" w:w="5040"/>
            <w:shd w:fill="D9E2F3" w:val="clear"/>
          </w:tcPr>
          <w:p>
            <w:pPr>
              <w:jc w:val="center"/>
            </w:pPr>
            <w:r/>
            <w:r>
              <w:rPr>
                <w:rFonts w:ascii="Times New Roman" w:hAnsi="Times New Roman"/>
                <w:b/>
                <w:sz w:val="18"/>
              </w:rPr>
              <w:t>Value</w:t>
            </w:r>
          </w:p>
        </w:tc>
      </w:tr>
      <w:tr>
        <w:tc>
          <w:tcPr>
            <w:tcW w:type="dxa" w:w="4320"/>
          </w:tcPr>
          <w:p>
            <w:r/>
            <w:r>
              <w:rPr>
                <w:rFonts w:ascii="Times New Roman" w:hAnsi="Times New Roman"/>
                <w:sz w:val="18"/>
              </w:rPr>
              <w:t>Random Forest Classification Accuracy</w:t>
            </w:r>
          </w:p>
        </w:tc>
        <w:tc>
          <w:tcPr>
            <w:tcW w:type="dxa" w:w="5040"/>
          </w:tcPr>
          <w:p>
            <w:r/>
            <w:r>
              <w:rPr>
                <w:rFonts w:ascii="Times New Roman" w:hAnsi="Times New Roman"/>
                <w:sz w:val="18"/>
              </w:rPr>
              <w:t>99.99%</w:t>
            </w:r>
          </w:p>
        </w:tc>
      </w:tr>
      <w:tr>
        <w:tc>
          <w:tcPr>
            <w:tcW w:type="dxa" w:w="4320"/>
          </w:tcPr>
          <w:p>
            <w:r/>
            <w:r>
              <w:rPr>
                <w:rFonts w:ascii="Times New Roman" w:hAnsi="Times New Roman"/>
                <w:sz w:val="18"/>
              </w:rPr>
              <w:t>Isolation Forest Anomaly Separation</w:t>
            </w:r>
          </w:p>
        </w:tc>
        <w:tc>
          <w:tcPr>
            <w:tcW w:type="dxa" w:w="5040"/>
          </w:tcPr>
          <w:p>
            <w:r/>
            <w:r>
              <w:rPr>
                <w:rFonts w:ascii="Times New Roman" w:hAnsi="Times New Roman"/>
                <w:sz w:val="18"/>
              </w:rPr>
              <w:t>Confirmed (attack means &gt; benign means)</w:t>
            </w:r>
          </w:p>
        </w:tc>
      </w:tr>
      <w:tr>
        <w:tc>
          <w:tcPr>
            <w:tcW w:type="dxa" w:w="4320"/>
          </w:tcPr>
          <w:p>
            <w:r/>
            <w:r>
              <w:rPr>
                <w:rFonts w:ascii="Times New Roman" w:hAnsi="Times New Roman"/>
                <w:sz w:val="18"/>
              </w:rPr>
              <w:t>Feature Extraction (78 features)</w:t>
            </w:r>
          </w:p>
        </w:tc>
        <w:tc>
          <w:tcPr>
            <w:tcW w:type="dxa" w:w="5040"/>
          </w:tcPr>
          <w:p>
            <w:r/>
            <w:r>
              <w:rPr>
                <w:rFonts w:ascii="Times New Roman" w:hAnsi="Times New Roman"/>
                <w:sz w:val="18"/>
              </w:rPr>
              <w:t>Consistent across all formats</w:t>
            </w:r>
          </w:p>
        </w:tc>
      </w:tr>
      <w:tr>
        <w:tc>
          <w:tcPr>
            <w:tcW w:type="dxa" w:w="4320"/>
          </w:tcPr>
          <w:p>
            <w:r/>
            <w:r>
              <w:rPr>
                <w:rFonts w:ascii="Times New Roman" w:hAnsi="Times New Roman"/>
                <w:sz w:val="18"/>
              </w:rPr>
              <w:t>Model Loading Time</w:t>
            </w:r>
          </w:p>
        </w:tc>
        <w:tc>
          <w:tcPr>
            <w:tcW w:type="dxa" w:w="5040"/>
          </w:tcPr>
          <w:p>
            <w:r/>
            <w:r>
              <w:rPr>
                <w:rFonts w:ascii="Times New Roman" w:hAnsi="Times New Roman"/>
                <w:sz w:val="18"/>
              </w:rPr>
              <w:t>1–2 seconds</w:t>
            </w:r>
          </w:p>
        </w:tc>
      </w:tr>
      <w:tr>
        <w:tc>
          <w:tcPr>
            <w:tcW w:type="dxa" w:w="4320"/>
          </w:tcPr>
          <w:p>
            <w:r/>
            <w:r>
              <w:rPr>
                <w:rFonts w:ascii="Times New Roman" w:hAnsi="Times New Roman"/>
                <w:sz w:val="18"/>
              </w:rPr>
              <w:t>Single Record Analysis Latency</w:t>
            </w:r>
          </w:p>
        </w:tc>
        <w:tc>
          <w:tcPr>
            <w:tcW w:type="dxa" w:w="5040"/>
          </w:tcPr>
          <w:p>
            <w:r/>
            <w:r>
              <w:rPr>
                <w:rFonts w:ascii="Times New Roman" w:hAnsi="Times New Roman"/>
                <w:sz w:val="18"/>
              </w:rPr>
              <w:t>&lt; 10 ms</w:t>
            </w:r>
          </w:p>
        </w:tc>
      </w:tr>
      <w:tr>
        <w:tc>
          <w:tcPr>
            <w:tcW w:type="dxa" w:w="4320"/>
          </w:tcPr>
          <w:p>
            <w:r/>
            <w:r>
              <w:rPr>
                <w:rFonts w:ascii="Times New Roman" w:hAnsi="Times New Roman"/>
                <w:sz w:val="18"/>
              </w:rPr>
              <w:t>Batch Analysis (1,000 records)</w:t>
            </w:r>
          </w:p>
        </w:tc>
        <w:tc>
          <w:tcPr>
            <w:tcW w:type="dxa" w:w="5040"/>
          </w:tcPr>
          <w:p>
            <w:r/>
            <w:r>
              <w:rPr>
                <w:rFonts w:ascii="Times New Roman" w:hAnsi="Times New Roman"/>
                <w:sz w:val="18"/>
              </w:rPr>
              <w:t>2–5 seconds</w:t>
            </w:r>
          </w:p>
        </w:tc>
      </w:tr>
      <w:tr>
        <w:tc>
          <w:tcPr>
            <w:tcW w:type="dxa" w:w="4320"/>
          </w:tcPr>
          <w:p>
            <w:r/>
            <w:r>
              <w:rPr>
                <w:rFonts w:ascii="Times New Roman" w:hAnsi="Times New Roman"/>
                <w:sz w:val="18"/>
              </w:rPr>
              <w:t>Large-Scale Analysis (100,000 records)</w:t>
            </w:r>
          </w:p>
        </w:tc>
        <w:tc>
          <w:tcPr>
            <w:tcW w:type="dxa" w:w="5040"/>
          </w:tcPr>
          <w:p>
            <w:r/>
            <w:r>
              <w:rPr>
                <w:rFonts w:ascii="Times New Roman" w:hAnsi="Times New Roman"/>
                <w:sz w:val="18"/>
              </w:rPr>
              <w:t>2–5 minutes</w:t>
            </w:r>
          </w:p>
        </w:tc>
      </w:tr>
    </w:tbl>
    <w:p/>
    <w:p>
      <w:pPr>
        <w:pStyle w:val="Heading2"/>
      </w:pPr>
      <w:r>
        <w:rPr>
          <w:rFonts w:ascii="Times New Roman" w:hAnsi="Times New Roman"/>
          <w:color w:val="000000"/>
        </w:rPr>
        <w:t>B. Example Log Analysis</w:t>
      </w:r>
    </w:p>
    <w:p>
      <w:pPr>
        <w:jc w:val="both"/>
      </w:pPr>
      <w:r>
        <w:rPr>
          <w:rFonts w:ascii="Times New Roman" w:hAnsi="Times New Roman"/>
          <w:sz w:val="20"/>
        </w:rPr>
        <w:t>An illustrative analysis of a network log record demonstrating malware-associated activity:</w:t>
      </w:r>
    </w:p>
    <w:p>
      <w:pPr>
        <w:pStyle w:val="ListBullet"/>
      </w:pPr>
      <w:r>
        <w:rPr>
          <w:rFonts w:ascii="Times New Roman" w:hAnsi="Times New Roman"/>
          <w:sz w:val="20"/>
        </w:rPr>
        <w:t>Input: Network flow record with anomalous port entropy (0.92), high unique destination count (47), and irregular inter-arrival timing</w:t>
      </w:r>
    </w:p>
    <w:p>
      <w:pPr>
        <w:pStyle w:val="ListBullet"/>
      </w:pPr>
      <w:r>
        <w:rPr>
          <w:rFonts w:ascii="Times New Roman" w:hAnsi="Times New Roman"/>
          <w:sz w:val="20"/>
        </w:rPr>
        <w:t>Isolation Forest Score: 0.85 (highly anomalous)</w:t>
      </w:r>
    </w:p>
    <w:p>
      <w:pPr>
        <w:pStyle w:val="ListBullet"/>
      </w:pPr>
      <w:r>
        <w:rPr>
          <w:rFonts w:ascii="Times New Roman" w:hAnsi="Times New Roman"/>
          <w:sz w:val="20"/>
        </w:rPr>
        <w:t>Random Forest Classification: Malware (confidence: 92.5%)</w:t>
      </w:r>
    </w:p>
    <w:p>
      <w:pPr>
        <w:pStyle w:val="ListBullet"/>
      </w:pPr>
      <w:r>
        <w:rPr>
          <w:rFonts w:ascii="Times New Roman" w:hAnsi="Times New Roman"/>
          <w:sz w:val="20"/>
        </w:rPr>
        <w:t>Combined Risk Score: 0.4 × 0.85 + 0.6 × (1.0 × 0.925) = 0.895 → Critical</w:t>
      </w:r>
    </w:p>
    <w:p>
      <w:pPr>
        <w:pStyle w:val="ListBullet"/>
      </w:pPr>
      <w:r>
        <w:rPr>
          <w:rFonts w:ascii="Times New Roman" w:hAnsi="Times New Roman"/>
          <w:sz w:val="20"/>
        </w:rPr>
        <w:t>Priority: P0 (Critical)</w:t>
      </w:r>
    </w:p>
    <w:p>
      <w:pPr>
        <w:pStyle w:val="ListBullet"/>
      </w:pPr>
      <w:r>
        <w:rPr>
          <w:rFonts w:ascii="Times New Roman" w:hAnsi="Times New Roman"/>
          <w:sz w:val="20"/>
        </w:rPr>
        <w:t>Generated Reasoning: "Classified as Malware with 92.5% confidence. High anomaly score (0.85) indicates unusual behavior. Top contributing features: port_entropy (0.15), unique_destinations (0.12), time_since_last (0.09)."</w:t>
      </w:r>
    </w:p>
    <w:p>
      <w:pPr>
        <w:pStyle w:val="ListBullet"/>
      </w:pPr>
      <w:r>
        <w:rPr>
          <w:rFonts w:ascii="Times New Roman" w:hAnsi="Times New Roman"/>
          <w:sz w:val="20"/>
        </w:rPr>
        <w:t>Recommended Action: "Isolate endpoint and investigate process execution. Review lateral movement indicators."</w:t>
      </w:r>
    </w:p>
    <w:p>
      <w:pPr>
        <w:pStyle w:val="Heading2"/>
      </w:pPr>
      <w:r>
        <w:rPr>
          <w:rFonts w:ascii="Times New Roman" w:hAnsi="Times New Roman"/>
          <w:color w:val="000000"/>
        </w:rPr>
        <w:t>C. Alert Classification Accuracy</w:t>
      </w:r>
    </w:p>
    <w:p>
      <w:pPr>
        <w:jc w:val="both"/>
      </w:pPr>
      <w:r>
        <w:rPr>
          <w:rFonts w:ascii="Times New Roman" w:hAnsi="Times New Roman"/>
          <w:sz w:val="20"/>
        </w:rPr>
        <w:t>The dual-model ensemble approach demonstrates distinct advantages over single-model baselines: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D9E2F3" w:val="clear"/>
          </w:tcPr>
          <w:p>
            <w:pPr>
              <w:jc w:val="center"/>
            </w:pPr>
            <w:r/>
            <w:r>
              <w:rPr>
                <w:rFonts w:ascii="Times New Roman" w:hAnsi="Times New Roman"/>
                <w:b/>
                <w:sz w:val="18"/>
              </w:rPr>
              <w:t>Approach</w:t>
            </w:r>
          </w:p>
        </w:tc>
        <w:tc>
          <w:tcPr>
            <w:tcW w:type="dxa" w:w="2160"/>
            <w:shd w:fill="D9E2F3" w:val="clear"/>
          </w:tcPr>
          <w:p>
            <w:pPr>
              <w:jc w:val="center"/>
            </w:pPr>
            <w:r/>
            <w:r>
              <w:rPr>
                <w:rFonts w:ascii="Times New Roman" w:hAnsi="Times New Roman"/>
                <w:b/>
                <w:sz w:val="18"/>
              </w:rPr>
              <w:t>Known Threats</w:t>
            </w:r>
          </w:p>
        </w:tc>
        <w:tc>
          <w:tcPr>
            <w:tcW w:type="dxa" w:w="2160"/>
            <w:shd w:fill="D9E2F3" w:val="clear"/>
          </w:tcPr>
          <w:p>
            <w:pPr>
              <w:jc w:val="center"/>
            </w:pPr>
            <w:r/>
            <w:r>
              <w:rPr>
                <w:rFonts w:ascii="Times New Roman" w:hAnsi="Times New Roman"/>
                <w:b/>
                <w:sz w:val="18"/>
              </w:rPr>
              <w:t>Novel Threats</w:t>
            </w:r>
          </w:p>
        </w:tc>
        <w:tc>
          <w:tcPr>
            <w:tcW w:type="dxa" w:w="2160"/>
            <w:shd w:fill="D9E2F3" w:val="clear"/>
          </w:tcPr>
          <w:p>
            <w:pPr>
              <w:jc w:val="center"/>
            </w:pPr>
            <w:r/>
            <w:r>
              <w:rPr>
                <w:rFonts w:ascii="Times New Roman" w:hAnsi="Times New Roman"/>
                <w:b/>
                <w:sz w:val="18"/>
              </w:rPr>
              <w:t>False Positive Rate</w:t>
            </w:r>
          </w:p>
        </w:tc>
      </w:tr>
      <w:tr>
        <w:tc>
          <w:tcPr>
            <w:tcW w:type="dxa" w:w="2880"/>
          </w:tcPr>
          <w:p>
            <w:r/>
            <w:r>
              <w:rPr>
                <w:rFonts w:ascii="Times New Roman" w:hAnsi="Times New Roman"/>
                <w:sz w:val="18"/>
              </w:rPr>
              <w:t>Rule-Based SIEM</w:t>
            </w:r>
          </w:p>
        </w:tc>
        <w:tc>
          <w:tcPr>
            <w:tcW w:type="dxa" w:w="2160"/>
          </w:tcPr>
          <w:p>
            <w:r/>
            <w:r>
              <w:rPr>
                <w:rFonts w:ascii="Times New Roman" w:hAnsi="Times New Roman"/>
                <w:sz w:val="18"/>
              </w:rPr>
              <w:t>High</w:t>
            </w:r>
          </w:p>
        </w:tc>
        <w:tc>
          <w:tcPr>
            <w:tcW w:type="dxa" w:w="2160"/>
          </w:tcPr>
          <w:p>
            <w:r/>
            <w:r>
              <w:rPr>
                <w:rFonts w:ascii="Times New Roman" w:hAnsi="Times New Roman"/>
                <w:sz w:val="18"/>
              </w:rPr>
              <w:t>None</w:t>
            </w:r>
          </w:p>
        </w:tc>
        <w:tc>
          <w:tcPr>
            <w:tcW w:type="dxa" w:w="2160"/>
          </w:tcPr>
          <w:p>
            <w:r/>
            <w:r>
              <w:rPr>
                <w:rFonts w:ascii="Times New Roman" w:hAnsi="Times New Roman"/>
                <w:sz w:val="18"/>
              </w:rPr>
              <w:t>High</w:t>
            </w:r>
          </w:p>
        </w:tc>
      </w:tr>
      <w:tr>
        <w:tc>
          <w:tcPr>
            <w:tcW w:type="dxa" w:w="2880"/>
          </w:tcPr>
          <w:p>
            <w:r/>
            <w:r>
              <w:rPr>
                <w:rFonts w:ascii="Times New Roman" w:hAnsi="Times New Roman"/>
                <w:sz w:val="18"/>
              </w:rPr>
              <w:t>Isolation Forest Only</w:t>
            </w:r>
          </w:p>
        </w:tc>
        <w:tc>
          <w:tcPr>
            <w:tcW w:type="dxa" w:w="2160"/>
          </w:tcPr>
          <w:p>
            <w:r/>
            <w:r>
              <w:rPr>
                <w:rFonts w:ascii="Times New Roman" w:hAnsi="Times New Roman"/>
                <w:sz w:val="18"/>
              </w:rPr>
              <w:t>Moderate</w:t>
            </w:r>
          </w:p>
        </w:tc>
        <w:tc>
          <w:tcPr>
            <w:tcW w:type="dxa" w:w="2160"/>
          </w:tcPr>
          <w:p>
            <w:r/>
            <w:r>
              <w:rPr>
                <w:rFonts w:ascii="Times New Roman" w:hAnsi="Times New Roman"/>
                <w:sz w:val="18"/>
              </w:rPr>
              <w:t>High</w:t>
            </w:r>
          </w:p>
        </w:tc>
        <w:tc>
          <w:tcPr>
            <w:tcW w:type="dxa" w:w="2160"/>
          </w:tcPr>
          <w:p>
            <w:r/>
            <w:r>
              <w:rPr>
                <w:rFonts w:ascii="Times New Roman" w:hAnsi="Times New Roman"/>
                <w:sz w:val="18"/>
              </w:rPr>
              <w:t>Moderate</w:t>
            </w:r>
          </w:p>
        </w:tc>
      </w:tr>
      <w:tr>
        <w:tc>
          <w:tcPr>
            <w:tcW w:type="dxa" w:w="2880"/>
          </w:tcPr>
          <w:p>
            <w:r/>
            <w:r>
              <w:rPr>
                <w:rFonts w:ascii="Times New Roman" w:hAnsi="Times New Roman"/>
                <w:sz w:val="18"/>
              </w:rPr>
              <w:t>Random Forest Only</w:t>
            </w:r>
          </w:p>
        </w:tc>
        <w:tc>
          <w:tcPr>
            <w:tcW w:type="dxa" w:w="2160"/>
          </w:tcPr>
          <w:p>
            <w:r/>
            <w:r>
              <w:rPr>
                <w:rFonts w:ascii="Times New Roman" w:hAnsi="Times New Roman"/>
                <w:sz w:val="18"/>
              </w:rPr>
              <w:t>High</w:t>
            </w:r>
          </w:p>
        </w:tc>
        <w:tc>
          <w:tcPr>
            <w:tcW w:type="dxa" w:w="2160"/>
          </w:tcPr>
          <w:p>
            <w:r/>
            <w:r>
              <w:rPr>
                <w:rFonts w:ascii="Times New Roman" w:hAnsi="Times New Roman"/>
                <w:sz w:val="18"/>
              </w:rPr>
              <w:t>None</w:t>
            </w:r>
          </w:p>
        </w:tc>
        <w:tc>
          <w:tcPr>
            <w:tcW w:type="dxa" w:w="2160"/>
          </w:tcPr>
          <w:p>
            <w:r/>
            <w:r>
              <w:rPr>
                <w:rFonts w:ascii="Times New Roman" w:hAnsi="Times New Roman"/>
                <w:sz w:val="18"/>
              </w:rPr>
              <w:t>Low</w:t>
            </w:r>
          </w:p>
        </w:tc>
      </w:tr>
      <w:tr>
        <w:tc>
          <w:tcPr>
            <w:tcW w:type="dxa" w:w="2880"/>
          </w:tcPr>
          <w:p>
            <w:r/>
            <w:r>
              <w:rPr>
                <w:rFonts w:ascii="Times New Roman" w:hAnsi="Times New Roman"/>
                <w:sz w:val="18"/>
              </w:rPr>
              <w:t>SOC Copilot Ensemble</w:t>
            </w:r>
          </w:p>
        </w:tc>
        <w:tc>
          <w:tcPr>
            <w:tcW w:type="dxa" w:w="2160"/>
          </w:tcPr>
          <w:p>
            <w:r/>
            <w:r>
              <w:rPr>
                <w:rFonts w:ascii="Times New Roman" w:hAnsi="Times New Roman"/>
                <w:sz w:val="18"/>
              </w:rPr>
              <w:t>High</w:t>
            </w:r>
          </w:p>
        </w:tc>
        <w:tc>
          <w:tcPr>
            <w:tcW w:type="dxa" w:w="2160"/>
          </w:tcPr>
          <w:p>
            <w:r/>
            <w:r>
              <w:rPr>
                <w:rFonts w:ascii="Times New Roman" w:hAnsi="Times New Roman"/>
                <w:sz w:val="18"/>
              </w:rPr>
              <w:t>High</w:t>
            </w:r>
          </w:p>
        </w:tc>
        <w:tc>
          <w:tcPr>
            <w:tcW w:type="dxa" w:w="2160"/>
          </w:tcPr>
          <w:p>
            <w:r/>
            <w:r>
              <w:rPr>
                <w:rFonts w:ascii="Times New Roman" w:hAnsi="Times New Roman"/>
                <w:sz w:val="18"/>
              </w:rPr>
              <w:t>Low</w:t>
            </w:r>
          </w:p>
        </w:tc>
      </w:tr>
    </w:tbl>
    <w:p/>
    <w:p>
      <w:pPr>
        <w:pStyle w:val="Heading2"/>
      </w:pPr>
      <w:r>
        <w:rPr>
          <w:rFonts w:ascii="Times New Roman" w:hAnsi="Times New Roman"/>
          <w:color w:val="000000"/>
        </w:rPr>
        <w:t>D. Improvement in Response Time</w:t>
      </w:r>
    </w:p>
    <w:p>
      <w:pPr>
        <w:jc w:val="both"/>
      </w:pPr>
      <w:r>
        <w:rPr>
          <w:rFonts w:ascii="Times New Roman" w:hAnsi="Times New Roman"/>
          <w:sz w:val="20"/>
        </w:rPr>
        <w:t>SOC Copilot contributes to reduced incident response timelines through several mechanisms:</w:t>
      </w:r>
    </w:p>
    <w:p>
      <w:pPr>
        <w:pStyle w:val="ListBullet"/>
      </w:pPr>
      <w:r>
        <w:rPr>
          <w:rFonts w:ascii="Times New Roman" w:hAnsi="Times New Roman"/>
          <w:sz w:val="20"/>
        </w:rPr>
        <w:t>Automated Triaging: Eliminates manual alert-by-alert review by pre-classifying and prioritizing threats</w:t>
      </w:r>
    </w:p>
    <w:p>
      <w:pPr>
        <w:pStyle w:val="ListBullet"/>
      </w:pPr>
      <w:r>
        <w:rPr>
          <w:rFonts w:ascii="Times New Roman" w:hAnsi="Times New Roman"/>
          <w:sz w:val="20"/>
        </w:rPr>
        <w:t>Contextual Enrichment: Generated explanations provide immediate threat context, reducing initial assessment time from minutes to seconds</w:t>
      </w:r>
    </w:p>
    <w:p>
      <w:pPr>
        <w:pStyle w:val="ListBullet"/>
      </w:pPr>
      <w:r>
        <w:rPr>
          <w:rFonts w:ascii="Times New Roman" w:hAnsi="Times New Roman"/>
          <w:sz w:val="20"/>
        </w:rPr>
        <w:t>Actionable Recommendations: Classification-specific response guidance eliminates independent strategy development for routine threat categories</w:t>
      </w:r>
    </w:p>
    <w:p>
      <w:pPr>
        <w:pStyle w:val="ListBullet"/>
      </w:pPr>
      <w:r>
        <w:rPr>
          <w:rFonts w:ascii="Times New Roman" w:hAnsi="Times New Roman"/>
          <w:sz w:val="20"/>
        </w:rPr>
        <w:t>MITRE ATT&amp;CK Mapping: Automatic technique identification accelerates threat intelligence correlation and documentation</w:t>
      </w:r>
    </w:p>
    <w:p>
      <w:pPr>
        <w:pStyle w:val="Heading2"/>
      </w:pPr>
      <w:r>
        <w:rPr>
          <w:rFonts w:ascii="Times New Roman" w:hAnsi="Times New Roman"/>
          <w:color w:val="000000"/>
        </w:rPr>
        <w:t>E. Reduction in Analyst Workload</w:t>
      </w:r>
    </w:p>
    <w:p>
      <w:pPr>
        <w:jc w:val="both"/>
      </w:pPr>
      <w:r>
        <w:rPr>
          <w:rFonts w:ascii="Times New Roman" w:hAnsi="Times New Roman"/>
          <w:sz w:val="20"/>
        </w:rPr>
        <w:t>The system addresses analyst workload through:</w:t>
      </w:r>
    </w:p>
    <w:p>
      <w:pPr>
        <w:pStyle w:val="ListBullet"/>
      </w:pPr>
      <w:r>
        <w:rPr>
          <w:rFonts w:ascii="Times New Roman" w:hAnsi="Times New Roman"/>
          <w:sz w:val="20"/>
        </w:rPr>
        <w:t>Noise Reduction: Multi-model validation reduces false positives compared to single-signal detection</w:t>
      </w:r>
    </w:p>
    <w:p>
      <w:pPr>
        <w:pStyle w:val="ListBullet"/>
      </w:pPr>
      <w:r>
        <w:rPr>
          <w:rFonts w:ascii="Times New Roman" w:hAnsi="Times New Roman"/>
          <w:sz w:val="20"/>
        </w:rPr>
        <w:t>Priority-Based Focus: P0-P4 classification enables analysts to allocate attention proportional to risk severity</w:t>
      </w:r>
    </w:p>
    <w:p>
      <w:pPr>
        <w:pStyle w:val="ListBullet"/>
      </w:pPr>
      <w:r>
        <w:rPr>
          <w:rFonts w:ascii="Times New Roman" w:hAnsi="Times New Roman"/>
          <w:sz w:val="20"/>
        </w:rPr>
        <w:t>Batch Processing: Automated analysis of large log volumes replaces manual line-by-line review</w:t>
      </w:r>
    </w:p>
    <w:p>
      <w:pPr>
        <w:pStyle w:val="ListBullet"/>
      </w:pPr>
      <w:r>
        <w:rPr>
          <w:rFonts w:ascii="Times New Roman" w:hAnsi="Times New Roman"/>
          <w:sz w:val="20"/>
        </w:rPr>
        <w:t>Explanation Generation: Automated reasoning eliminates repetitive analytical tasks</w:t>
      </w:r>
    </w:p>
    <w:p>
      <w:pPr>
        <w:pStyle w:val="ListBullet"/>
      </w:pPr>
      <w:r>
        <w:rPr>
          <w:rFonts w:ascii="Times New Roman" w:hAnsi="Times New Roman"/>
          <w:sz w:val="20"/>
        </w:rPr>
        <w:t>Feedback Loop: Analyst verdicts are captured and stored for accuracy analysis without additional workflow overhead</w:t>
      </w:r>
    </w:p>
    <w:p>
      <w:pPr>
        <w:pStyle w:val="Heading1"/>
      </w:pPr>
      <w:r>
        <w:rPr>
          <w:rFonts w:ascii="Times New Roman" w:hAnsi="Times New Roman"/>
          <w:color w:val="000000"/>
        </w:rPr>
        <w:t>VIII. ADVANTAGES</w:t>
      </w:r>
    </w:p>
    <w:p>
      <w:pPr>
        <w:jc w:val="both"/>
      </w:pPr>
      <w:r>
        <w:rPr>
          <w:rFonts w:ascii="Times New Roman" w:hAnsi="Times New Roman"/>
          <w:sz w:val="20"/>
        </w:rPr>
        <w:t>SOC Copilot offers several significant advantages over traditional SOC tooling:</w:t>
      </w:r>
    </w:p>
    <w:p>
      <w:pPr>
        <w:pStyle w:val="ListNumber"/>
      </w:pPr>
      <w:r>
        <w:rPr>
          <w:rFonts w:ascii="Times New Roman" w:hAnsi="Times New Roman"/>
          <w:sz w:val="20"/>
        </w:rPr>
        <w:t>Reduced SOC Workload: Automated classification and prioritization of security alerts eliminates the need for manual triage of the full alert volume, allowing analysts to focus on confirmed high-priority threats.</w:t>
      </w:r>
    </w:p>
    <w:p>
      <w:pPr>
        <w:pStyle w:val="ListNumber"/>
      </w:pPr>
      <w:r>
        <w:rPr>
          <w:rFonts w:ascii="Times New Roman" w:hAnsi="Times New Roman"/>
          <w:sz w:val="20"/>
        </w:rPr>
        <w:t>Faster Triaging: Sub-10ms per-record analysis latency and automated priority assignment enable near-instantaneous alert triaging that would require hours of manual effort for equivalent log volumes.</w:t>
      </w:r>
    </w:p>
    <w:p>
      <w:pPr>
        <w:pStyle w:val="ListNumber"/>
      </w:pPr>
      <w:r>
        <w:rPr>
          <w:rFonts w:ascii="Times New Roman" w:hAnsi="Times New Roman"/>
          <w:sz w:val="20"/>
        </w:rPr>
        <w:t>Context-Aware Insights: The explainability layer provides feature-level reasoning, MITRE ATT&amp;CK mapping, and contextual recommendations that go beyond simple binary alert notifications.</w:t>
      </w:r>
    </w:p>
    <w:p>
      <w:pPr>
        <w:pStyle w:val="ListNumber"/>
      </w:pPr>
      <w:r>
        <w:rPr>
          <w:rFonts w:ascii="Times New Roman" w:hAnsi="Times New Roman"/>
          <w:sz w:val="20"/>
        </w:rPr>
        <w:t>Scalable Architecture: The modular, phased design supports incremental capability expansion without modifying the frozen detection engine.</w:t>
      </w:r>
    </w:p>
    <w:p>
      <w:pPr>
        <w:pStyle w:val="ListNumber"/>
      </w:pPr>
      <w:r>
        <w:rPr>
          <w:rFonts w:ascii="Times New Roman" w:hAnsi="Times New Roman"/>
          <w:sz w:val="20"/>
        </w:rPr>
        <w:t>Intelligent Automation with Governance: SOC Copilot maintains strict governance controls with a disabled-by-default policy, ensuring all automation requires explicit analyst approval.</w:t>
      </w:r>
    </w:p>
    <w:p>
      <w:pPr>
        <w:pStyle w:val="ListNumber"/>
      </w:pPr>
      <w:r>
        <w:rPr>
          <w:rFonts w:ascii="Times New Roman" w:hAnsi="Times New Roman"/>
          <w:sz w:val="20"/>
        </w:rPr>
        <w:t>Offline Operation and Data Sovereignty: Fully offline operation ensures compatibility with air-gapped networks and eliminates data privacy concerns.</w:t>
      </w:r>
    </w:p>
    <w:p>
      <w:pPr>
        <w:pStyle w:val="ListNumber"/>
      </w:pPr>
      <w:r>
        <w:rPr>
          <w:rFonts w:ascii="Times New Roman" w:hAnsi="Times New Roman"/>
          <w:sz w:val="20"/>
        </w:rPr>
        <w:t>Hybrid Detection Capability: The combination of unsupervised and supervised models provides detection coverage across both known attack signatures and novel, zero-day threats.</w:t>
      </w:r>
    </w:p>
    <w:p>
      <w:pPr>
        <w:pStyle w:val="ListNumber"/>
      </w:pPr>
      <w:r>
        <w:rPr>
          <w:rFonts w:ascii="Times New Roman" w:hAnsi="Times New Roman"/>
          <w:sz w:val="20"/>
        </w:rPr>
        <w:t>Reproducibility and Auditability: Deterministic scoring with fixed random seeds and append-only audit logging ensures results are reproducible and fully auditable.</w:t>
      </w:r>
    </w:p>
    <w:p>
      <w:pPr>
        <w:pStyle w:val="Heading1"/>
      </w:pPr>
      <w:r>
        <w:rPr>
          <w:rFonts w:ascii="Times New Roman" w:hAnsi="Times New Roman"/>
          <w:color w:val="000000"/>
        </w:rPr>
        <w:t>IX. APPLICATIONS</w:t>
      </w:r>
    </w:p>
    <w:p>
      <w:pPr>
        <w:jc w:val="both"/>
      </w:pPr>
      <w:r>
        <w:rPr>
          <w:rFonts w:ascii="Times New Roman" w:hAnsi="Times New Roman"/>
          <w:sz w:val="20"/>
        </w:rPr>
        <w:t>SOC Copilot is applicable across diverse cybersecurity operational contexts:</w:t>
      </w:r>
    </w:p>
    <w:p>
      <w:pPr>
        <w:pStyle w:val="ListNumber"/>
      </w:pPr>
      <w:r>
        <w:rPr>
          <w:rFonts w:ascii="Times New Roman" w:hAnsi="Times New Roman"/>
          <w:sz w:val="20"/>
        </w:rPr>
        <w:t>Enterprise SOC Teams: Large organizations with dedicated security operations can integrate SOC Copilot as an analyst augmentation tool, reducing alert fatigue while maintaining human-in-the-loop oversight.</w:t>
      </w:r>
    </w:p>
    <w:p>
      <w:pPr>
        <w:pStyle w:val="ListNumber"/>
      </w:pPr>
      <w:r>
        <w:rPr>
          <w:rFonts w:ascii="Times New Roman" w:hAnsi="Times New Roman"/>
          <w:sz w:val="20"/>
        </w:rPr>
        <w:t>Managed Security Service Providers (MSSPs): Service providers managing security operations for multiple clients can employ SOC Copilot to standardize and accelerate threat detection across diverse client environments.</w:t>
      </w:r>
    </w:p>
    <w:p>
      <w:pPr>
        <w:pStyle w:val="ListNumber"/>
      </w:pPr>
      <w:r>
        <w:rPr>
          <w:rFonts w:ascii="Times New Roman" w:hAnsi="Times New Roman"/>
          <w:sz w:val="20"/>
        </w:rPr>
        <w:t>Cloud Security Monitoring: Organizations monitoring hybrid or multi-cloud infrastructure can leverage SOC Copilot's multi-format log ingestion to analyze security events from cloud-native logging services alongside traditional infrastructure logs.</w:t>
      </w:r>
    </w:p>
    <w:p>
      <w:pPr>
        <w:pStyle w:val="ListNumber"/>
      </w:pPr>
      <w:r>
        <w:rPr>
          <w:rFonts w:ascii="Times New Roman" w:hAnsi="Times New Roman"/>
          <w:sz w:val="20"/>
        </w:rPr>
        <w:t>Government Cybersecurity Centers: Government agencies and national CERT/CSIRT teams operating in classified or air-gapped environments benefit from SOC Copilot's fully offline architecture.</w:t>
      </w:r>
    </w:p>
    <w:p>
      <w:pPr>
        <w:pStyle w:val="ListNumber"/>
      </w:pPr>
      <w:r>
        <w:rPr>
          <w:rFonts w:ascii="Times New Roman" w:hAnsi="Times New Roman"/>
          <w:sz w:val="20"/>
        </w:rPr>
        <w:t>Critical Infrastructure Protection: Organizations responsible for critical infrastructure (energy, healthcare, finance) can deploy SOC Copilot in environments where cloud connectivity is restricted or prohibited.</w:t>
      </w:r>
    </w:p>
    <w:p>
      <w:pPr>
        <w:pStyle w:val="ListNumber"/>
      </w:pPr>
      <w:r>
        <w:rPr>
          <w:rFonts w:ascii="Times New Roman" w:hAnsi="Times New Roman"/>
          <w:sz w:val="20"/>
        </w:rPr>
        <w:t>Cybersecurity Education and Training: Academic institutions can use SOC Copilot as a pedagogical tool for teaching threat detection concepts, log analysis techniques, and ML applications in cybersecurity.</w:t>
      </w:r>
    </w:p>
    <w:p>
      <w:pPr>
        <w:pStyle w:val="Heading1"/>
      </w:pPr>
      <w:r>
        <w:rPr>
          <w:rFonts w:ascii="Times New Roman" w:hAnsi="Times New Roman"/>
          <w:color w:val="000000"/>
        </w:rPr>
        <w:t>X. FUTURE SCOPE</w:t>
      </w:r>
    </w:p>
    <w:p>
      <w:pPr>
        <w:jc w:val="both"/>
      </w:pPr>
      <w:r>
        <w:rPr>
          <w:rFonts w:ascii="Times New Roman" w:hAnsi="Times New Roman"/>
          <w:sz w:val="20"/>
        </w:rPr>
        <w:t>Several enhancement trajectories are identified for future development:</w:t>
      </w:r>
    </w:p>
    <w:p>
      <w:pPr>
        <w:pStyle w:val="ListNumber"/>
      </w:pPr>
      <w:r>
        <w:rPr>
          <w:rFonts w:ascii="Times New Roman" w:hAnsi="Times New Roman"/>
          <w:sz w:val="20"/>
        </w:rPr>
        <w:t>Real-Time SIEM Integration: Development of streaming connectors for popular SIEM platforms (Splunk, Elastic SIEM, QRadar) to enable SOC Copilot analysis as an inline enrichment layer within existing SOC workflows.</w:t>
      </w:r>
    </w:p>
    <w:p>
      <w:pPr>
        <w:pStyle w:val="ListNumber"/>
      </w:pPr>
      <w:r>
        <w:rPr>
          <w:rFonts w:ascii="Times New Roman" w:hAnsi="Times New Roman"/>
          <w:sz w:val="20"/>
        </w:rPr>
        <w:t>Advanced ML Anomaly Detection: Integration of deep autoencoder networks for improved anomaly detection in high-dimensional feature spaces. The autoencoder framework shell already exists within the system architecture.</w:t>
      </w:r>
    </w:p>
    <w:p>
      <w:pPr>
        <w:pStyle w:val="ListNumber"/>
      </w:pPr>
      <w:r>
        <w:rPr>
          <w:rFonts w:ascii="Times New Roman" w:hAnsi="Times New Roman"/>
          <w:sz w:val="20"/>
        </w:rPr>
        <w:t>Automated Remediation: Implementation of orchestrated response actions (SOAR integration) within the governance framework, enabling approved automated containment actions subject to existing approval workflow and kill switch controls.</w:t>
      </w:r>
    </w:p>
    <w:p>
      <w:pPr>
        <w:pStyle w:val="ListNumber"/>
      </w:pPr>
      <w:r>
        <w:rPr>
          <w:rFonts w:ascii="Times New Roman" w:hAnsi="Times New Roman"/>
          <w:sz w:val="20"/>
        </w:rPr>
        <w:t>Multi-Tenant Deployment: Architectural extension to support multi-tenant operation for MSSPs, including tenant-specific model configurations, isolated data processing pipelines, and centralized management dashboards.</w:t>
      </w:r>
    </w:p>
    <w:p>
      <w:pPr>
        <w:pStyle w:val="ListNumber"/>
      </w:pPr>
      <w:r>
        <w:rPr>
          <w:rFonts w:ascii="Times New Roman" w:hAnsi="Times New Roman"/>
          <w:sz w:val="20"/>
        </w:rPr>
        <w:t>Cloud-Native Deployment: Containerized deployment using Docker and Kubernetes for scalable, elastic processing of high-volume log streams in cloud SOC environments.</w:t>
      </w:r>
    </w:p>
    <w:p>
      <w:pPr>
        <w:pStyle w:val="ListNumber"/>
      </w:pPr>
      <w:r>
        <w:rPr>
          <w:rFonts w:ascii="Times New Roman" w:hAnsi="Times New Roman"/>
          <w:sz w:val="20"/>
        </w:rPr>
        <w:t>Transformer-Based Sequence Analysis: Integration of transformer architectures for improved understanding of attack sequences and multi-stage threat patterns.</w:t>
      </w:r>
    </w:p>
    <w:p>
      <w:pPr>
        <w:pStyle w:val="ListNumber"/>
      </w:pPr>
      <w:r>
        <w:rPr>
          <w:rFonts w:ascii="Times New Roman" w:hAnsi="Times New Roman"/>
          <w:sz w:val="20"/>
        </w:rPr>
        <w:t>Natural Language Query Interface: Development of an LLM-powered conversational interface enabling analysts to query security data and investigate incidents using natural language commands.</w:t>
      </w:r>
    </w:p>
    <w:p>
      <w:pPr>
        <w:pStyle w:val="Heading1"/>
      </w:pPr>
      <w:r>
        <w:rPr>
          <w:rFonts w:ascii="Times New Roman" w:hAnsi="Times New Roman"/>
          <w:color w:val="000000"/>
        </w:rPr>
        <w:t>XI. CONCLUSION</w:t>
      </w:r>
    </w:p>
    <w:p>
      <w:pPr>
        <w:jc w:val="both"/>
      </w:pPr>
      <w:r>
        <w:rPr>
          <w:rFonts w:ascii="Times New Roman" w:hAnsi="Times New Roman"/>
          <w:sz w:val="20"/>
        </w:rPr>
        <w:t>This paper presented SOC Copilot, an AI-powered security operations assistant designed to address the critical challenges facing modern Security Operations Centers. By combining Isolation Forest for unsupervised anomaly detection with Random Forest for supervised multi-class attack classification, SOC Copilot achieves robust threat detection across both known attack patterns and novel behavioral anomalies.</w:t>
      </w:r>
    </w:p>
    <w:p>
      <w:pPr>
        <w:jc w:val="both"/>
      </w:pPr>
      <w:r>
        <w:rPr>
          <w:rFonts w:ascii="Times New Roman" w:hAnsi="Times New Roman"/>
          <w:sz w:val="20"/>
        </w:rPr>
        <w:t>The system's key contributions include: (1) a hybrid ML ensemble architecture with weighted decision fusion achieving classification accuracy exceeding 99%; (2) a comprehensive 78-feature engineering framework spanning statistical, temporal, behavioral, and network dimensions; (3) a built-in explainability layer providing human-readable reasoning, feature importance analysis, and MITRE ATT&amp;CK mapping for every generated alert; (4) a governance-first design philosophy with disabled-by-default automation, kill switch controls, and append-only audit logging; and (5) fully offline operational capability ensuring data sovereignty and air-gap compatibility.</w:t>
      </w:r>
    </w:p>
    <w:p>
      <w:pPr>
        <w:jc w:val="both"/>
      </w:pPr>
      <w:r>
        <w:rPr>
          <w:rFonts w:ascii="Times New Roman" w:hAnsi="Times New Roman"/>
          <w:sz w:val="20"/>
        </w:rPr>
        <w:t>SOC Copilot represents a significant step toward intelligent, trustworthy security automation that respects the critical role of human judgment in cybersecurity operations. By augmenting — rather than replacing — SOC analyst capabilities, the system addresses alert fatigue, reduces investigation timelines, and improves the consistency and quality of threat detection and incident response.</w:t>
      </w:r>
    </w:p>
    <w:p>
      <w:pPr>
        <w:jc w:val="both"/>
      </w:pPr>
      <w:r>
        <w:rPr>
          <w:rFonts w:ascii="Times New Roman" w:hAnsi="Times New Roman"/>
          <w:sz w:val="20"/>
        </w:rPr>
        <w:t>The potential industry impact of AI-powered security assistants extends beyond operational efficiency gains. As cyber threats continue to evolve in sophistication and scale, intelligent systems like SOC Copilot will become essential components of organizational cybersecurity strategy, enabling SOCs to maintain effective threat detection and response capabilities despite the increasing disparity between threat volume and available analyst resources.</w:t>
      </w:r>
    </w:p>
    <w:p>
      <w:pPr>
        <w:pStyle w:val="Heading1"/>
      </w:pPr>
      <w:r>
        <w:rPr>
          <w:rFonts w:ascii="Times New Roman" w:hAnsi="Times New Roman"/>
          <w:color w:val="000000"/>
        </w:rPr>
        <w:t>REFERENCES</w:t>
      </w:r>
    </w:p>
    <w:p>
      <w:pPr>
        <w:spacing w:after="80"/>
        <w:ind w:left="432" w:hanging="432"/>
      </w:pPr>
      <w:r>
        <w:rPr>
          <w:rFonts w:ascii="Times New Roman" w:hAnsi="Times New Roman"/>
          <w:sz w:val="18"/>
        </w:rPr>
        <w:t>[1] IBM Security, "Cost of a Data Breach Report 2023," IBM Corporation, Armonk, NY, USA, 2023.</w:t>
      </w:r>
    </w:p>
    <w:p>
      <w:pPr>
        <w:spacing w:after="80"/>
        <w:ind w:left="432" w:hanging="432"/>
      </w:pPr>
      <w:r>
        <w:rPr>
          <w:rFonts w:ascii="Times New Roman" w:hAnsi="Times New Roman"/>
          <w:sz w:val="18"/>
        </w:rPr>
        <w:t>[2] Ponemon Institute, "The Economics of Security Operations Centers: What is the True Cost for Effective Results?," Ponemon Institute LLC, Traverse City, MI, USA, 2020.</w:t>
      </w:r>
    </w:p>
    <w:p>
      <w:pPr>
        <w:spacing w:after="80"/>
        <w:ind w:left="432" w:hanging="432"/>
      </w:pPr>
      <w:r>
        <w:rPr>
          <w:rFonts w:ascii="Times New Roman" w:hAnsi="Times New Roman"/>
          <w:sz w:val="18"/>
        </w:rPr>
        <w:t>[3] A. Chuvakin, K. Schmidt, and C. Phillips, Logging and Log Management: The Authoritative Guide to Understanding the Concepts Surrounding Logging and Log Management, Syngress Publishing, 2012.</w:t>
      </w:r>
    </w:p>
    <w:p>
      <w:pPr>
        <w:spacing w:after="80"/>
        <w:ind w:left="432" w:hanging="432"/>
      </w:pPr>
      <w:r>
        <w:rPr>
          <w:rFonts w:ascii="Times New Roman" w:hAnsi="Times New Roman"/>
          <w:sz w:val="18"/>
        </w:rPr>
        <w:t>[4] R. Zuech, T. M. Khoshgoftaar, and R. Wald, "Intrusion detection and big heterogeneous data: a survey," Journal of Big Data, vol. 2, no. 1, pp. 1–41, 2015.</w:t>
      </w:r>
    </w:p>
    <w:p>
      <w:pPr>
        <w:spacing w:after="80"/>
        <w:ind w:left="432" w:hanging="432"/>
      </w:pPr>
      <w:r>
        <w:rPr>
          <w:rFonts w:ascii="Times New Roman" w:hAnsi="Times New Roman"/>
          <w:sz w:val="18"/>
        </w:rPr>
        <w:t>[5] M. Roesch, "Snort — Lightweight intrusion detection for networks," in Proc. 13th Systems Administration Conference (LISA '99), USENIX, Seattle, WA, USA, 1999, pp. 229–238.</w:t>
      </w:r>
    </w:p>
    <w:p>
      <w:pPr>
        <w:spacing w:after="80"/>
        <w:ind w:left="432" w:hanging="432"/>
      </w:pPr>
      <w:r>
        <w:rPr>
          <w:rFonts w:ascii="Times New Roman" w:hAnsi="Times New Roman"/>
          <w:sz w:val="18"/>
        </w:rPr>
        <w:t>[6] F. T. Liu, K. M. Ting, and Z.-H. Zhou, "Isolation forest," in Proc. IEEE International Conference on Data Mining (ICDM 2008), Pisa, Italy, 2008, pp. 413–422.</w:t>
      </w:r>
    </w:p>
    <w:p>
      <w:pPr>
        <w:spacing w:after="80"/>
        <w:ind w:left="432" w:hanging="432"/>
      </w:pPr>
      <w:r>
        <w:rPr>
          <w:rFonts w:ascii="Times New Roman" w:hAnsi="Times New Roman"/>
          <w:sz w:val="18"/>
        </w:rPr>
        <w:t>[7] L. Breiman, "Random forests," Machine Learning, vol. 45, no. 1, pp. 5–32, 2001.</w:t>
      </w:r>
    </w:p>
    <w:p>
      <w:pPr>
        <w:spacing w:after="80"/>
        <w:ind w:left="432" w:hanging="432"/>
      </w:pPr>
      <w:r>
        <w:rPr>
          <w:rFonts w:ascii="Times New Roman" w:hAnsi="Times New Roman"/>
          <w:sz w:val="18"/>
        </w:rPr>
        <w:t>[8] I. Sharafaldin, A. H. Lashkari, and A. A. Ghorbani, "Toward generating a new intrusion detection dataset and intrusion traffic characterization," in Proc. 4th International Conference on Information Systems Security and Privacy (ICISSP 2018), Funchal, Madeira, Portugal, 2018, pp. 108–116.</w:t>
      </w:r>
    </w:p>
    <w:p>
      <w:pPr>
        <w:spacing w:after="80"/>
        <w:ind w:left="432" w:hanging="432"/>
      </w:pPr>
      <w:r>
        <w:rPr>
          <w:rFonts w:ascii="Times New Roman" w:hAnsi="Times New Roman"/>
          <w:sz w:val="18"/>
        </w:rPr>
        <w:t>[9] N. Shone, T. N. Ngoc, V. D. Phai, and Q. Shi, "A deep learning approach to network intrusion detection," IEEE Transactions on Emerging Topics in Computational Intelligence, vol. 2, no. 1, pp. 41–50, Feb. 2018.</w:t>
      </w:r>
    </w:p>
    <w:p>
      <w:pPr>
        <w:spacing w:after="80"/>
        <w:ind w:left="432" w:hanging="432"/>
      </w:pPr>
      <w:r>
        <w:rPr>
          <w:rFonts w:ascii="Times New Roman" w:hAnsi="Times New Roman"/>
          <w:sz w:val="18"/>
        </w:rPr>
        <w:t>[10] M. Ferrag, O. Friha, D. Hamouda, L. Maglaras, and H. Janicke, "Edge-IIoTset: A new comprehensive realistic cyber security dataset of IoT and IIoT applications for centralized and federated learning," IEEE Access, vol. 10, pp. 40281–40306, 2022.</w:t>
      </w:r>
    </w:p>
    <w:p>
      <w:pPr>
        <w:spacing w:after="80"/>
        <w:ind w:left="432" w:hanging="432"/>
      </w:pPr>
      <w:r>
        <w:rPr>
          <w:rFonts w:ascii="Times New Roman" w:hAnsi="Times New Roman"/>
          <w:sz w:val="18"/>
        </w:rPr>
        <w:t>[11] M. Ahmed, A. Naser Mahmood, and J. Hu, "A survey of network anomaly detection techniques," Journal of Network and Computer Applications, vol. 60, pp. 19–31, 2016.</w:t>
      </w:r>
    </w:p>
    <w:p>
      <w:pPr>
        <w:spacing w:after="80"/>
        <w:ind w:left="432" w:hanging="432"/>
      </w:pPr>
      <w:r>
        <w:rPr>
          <w:rFonts w:ascii="Times New Roman" w:hAnsi="Times New Roman"/>
          <w:sz w:val="18"/>
        </w:rPr>
        <w:t>[12] G. Apruzzese, M. Colajanni, L. Ferretti, A. Guido, and M. Marchetti, "On the effectiveness of machine and deep learning for cyber security," in Proc. 10th International Conference on Cyber Conflict (CyCon), Tallinn, Estonia, 2018, pp. 371–390.</w:t>
      </w:r>
    </w:p>
    <w:p/>
    <w:p>
      <w:pPr>
        <w:jc w:val="center"/>
      </w:pPr>
      <w:r>
        <w:rPr>
          <w:rFonts w:ascii="Times New Roman" w:hAnsi="Times New Roman"/>
          <w:i/>
          <w:sz w:val="18"/>
        </w:rPr>
        <w:t>Manuscript received [Date]. This work was carried out as part of an academic project in the Department of Computer Science and Engineering at [Institution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