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KANISH TYAGI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San Francisco, CA (Open to Relocation)  |  +1 (682) 217-0329  |  kanishtyagi123@gmail.com  |  </w:t>
      </w:r>
      <w:hyperlink w:history="1" r:id="rId9eakuqzyzn75_s2nm1qtr">
        <w:r>
          <w:rPr>
            <w:rStyle w:val="Hyperlink"/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u2wxidnjshzsup-qkpcyl">
        <w:r>
          <w:rPr>
            <w:rStyle w:val="Hyperlink"/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lan_qbnz8jd87sspumlcb">
        <w:r>
          <w:rPr>
            <w:rStyle w:val="Hyperlink"/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7C3AED" w:sz="8" w:space="2"/>
        </w:pBdr>
        <w:spacing w:after="40" w:before="130"/>
      </w:pPr>
      <w:r>
        <w:rPr>
          <w:rFonts w:ascii="Arial" w:cs="Arial" w:eastAsia="Arial" w:hAnsi="Arial"/>
          <w:b/>
          <w:bCs/>
          <w:caps/>
          <w:color w:val="1A1A1A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M.S. Data Science</w:t>
      </w:r>
      <w:r>
        <w:rPr>
          <w:rFonts w:ascii="Arial" w:cs="Arial" w:eastAsia="Arial" w:hAnsi="Arial"/>
          <w:sz w:val="20"/>
          <w:szCs w:val="20"/>
        </w:rPr>
        <w:t xml:space="preserve">  —  University of Texas at Arlington  |  GPA: 3.67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Arlington, TX  |  Dec 2026</w:t>
      </w:r>
    </w:p>
    <w:p>
      <w:pPr>
        <w:tabs>
          <w:tab w:val="right" w:pos="9360"/>
        </w:tabs>
        <w:spacing w:after="20" w:before="30"/>
      </w:pPr>
      <w:r>
        <w:rPr>
          <w:rFonts w:ascii="Arial" w:cs="Arial" w:eastAsia="Arial" w:hAnsi="Arial"/>
          <w:sz w:val="19"/>
          <w:szCs w:val="19"/>
        </w:rPr>
        <w:t xml:space="preserve">B.Tech, Computer Science &amp; Engineering  —  UPTU Lucknow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India  |  Jul 2022</w:t>
      </w:r>
    </w:p>
    <w:p>
      <w:pPr>
        <w:pBdr>
          <w:bottom w:val="single" w:color="7C3AED" w:sz="8" w:space="2"/>
        </w:pBdr>
        <w:spacing w:after="40" w:before="130"/>
      </w:pPr>
      <w:r>
        <w:rPr>
          <w:rFonts w:ascii="Arial" w:cs="Arial" w:eastAsia="Arial" w:hAnsi="Arial"/>
          <w:b/>
          <w:bCs/>
          <w:caps/>
          <w:color w:val="1A1A1A"/>
          <w:sz w:val="21"/>
          <w:szCs w:val="21"/>
        </w:rPr>
        <w:t xml:space="preserve">Skills</w:t>
      </w:r>
    </w:p>
    <w:p>
      <w:pPr>
        <w:spacing w:after="18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Product &amp; Fintech: </w:t>
      </w:r>
      <w:r>
        <w:rPr>
          <w:rFonts w:ascii="Arial" w:cs="Arial" w:eastAsia="Arial" w:hAnsi="Arial"/>
          <w:sz w:val="19"/>
          <w:szCs w:val="19"/>
        </w:rPr>
        <w:t xml:space="preserve">Product Strategy | User Research | PRDs &amp; User Stories | Feature Prioritization | Payments &amp; FX Workflows | Compliance-aware Product Design | Edge Case Identification | Failure Mode Analysis | Cross-border Transaction Flows | Agile/Scrum | Roadmapping | GTM Strategy</w:t>
      </w:r>
    </w:p>
    <w:p>
      <w:pPr>
        <w:spacing w:after="18" w:before="18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Technical: </w:t>
      </w:r>
      <w:r>
        <w:rPr>
          <w:rFonts w:ascii="Arial" w:cs="Arial" w:eastAsia="Arial" w:hAnsi="Arial"/>
          <w:sz w:val="19"/>
          <w:szCs w:val="19"/>
        </w:rPr>
        <w:t xml:space="preserve">Python | SQL | LLM APIs (Claude, OpenAI) | REST APIs | Data Pipelines | Pandas | Scikit-learn | Power BI | Git | Notion | Jira | Postman | Streamlit | Selenium</w:t>
      </w:r>
    </w:p>
    <w:p>
      <w:pPr>
        <w:pBdr>
          <w:bottom w:val="single" w:color="7C3AED" w:sz="8" w:space="2"/>
        </w:pBdr>
        <w:spacing w:after="40" w:before="130"/>
      </w:pPr>
      <w:r>
        <w:rPr>
          <w:rFonts w:ascii="Arial" w:cs="Arial" w:eastAsia="Arial" w:hAnsi="Arial"/>
          <w:b/>
          <w:bCs/>
          <w:caps/>
          <w:color w:val="1A1A1A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Product Strategy Contributor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| ConsenTerra · FoundersBoost NYC Spring 2026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Remote | Jan – Mar 2026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Owned product strategy end-to-end for an AI compliance startup — designed pricing tiers, GTM positioning, and onboarding flows for a B2B product operating in a highly regulated space where edge cases and compliance gaps are expensive.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Conducted competitive analysis across 6 alternatives — identified market positioning gaps and built a value proposition framework that shaped the product's differentiation strategy in a crowded compliance-tech market.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Translated ambiguous business requirements into clear PRDs and user stories — working directly with the founder and engineering team in a 0-to-1 execution environment with no PM safety net.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Open Source Contributor — AI Governance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| Microsoft · agent-governance-toolkit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Remote | Mar 2026 – Present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Contributed 7 merged PRs to Microsoft's AI governance platform — built policy validation tooling and security pipelines ensuring AI agent behavior stayed within defined compliance boundaries.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Applied failure-mode thinking to governance workflows — identified behavioral edge cases in agent outputs before they reached production, directly mirroring the compliance-critical mindset required in cross-border payments.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QA Engineer → Software Engineer Intern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| Wingman Partners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India | Oct 2021 – Nov 2024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executed structured test plans across 3 enterprise SaaS platforms — identified 200+ failure-mode scenarios including payment flow edge cases, API integration gaps, and data validation failures that would have caused production incidents.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Python + Selenium automation frameworks reducing regression cycle time by 40% — wrote SQL queries across 100K+ records validating data integrity across transaction-equivalent pipelines.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Collaborated directly with PMs and engineers to translate failure findings into actionable product requirements — reducing production bug rate by 35% through systematic edge case documentation and spec refinement.</w:t>
      </w:r>
    </w:p>
    <w:p>
      <w:pPr>
        <w:pBdr>
          <w:bottom w:val="single" w:color="7C3AED" w:sz="8" w:space="2"/>
        </w:pBdr>
        <w:spacing w:after="40" w:before="130"/>
      </w:pPr>
      <w:r>
        <w:rPr>
          <w:rFonts w:ascii="Arial" w:cs="Arial" w:eastAsia="Arial" w:hAnsi="Arial"/>
          <w:b/>
          <w:bCs/>
          <w:caps/>
          <w:color w:val="1A1A1A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Adaptive AI Study Tutor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| Claude API · Reinforcement Learning · SQLite · Streamlit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Live | 2025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and shipped a live AI product end-to-end — designed user flow, built data pipeline, integrated Claude API, deployed to production. Demonstrated 0-to-1 execution in a fast-moving environment with no team support.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GenAI ROI Analysis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| Python · NLP · Pandas · 60,907 Records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UTA Symposium Speaker | 2025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Analyzed 60,907 responses to quantify GenAI adoption ROI across 12 user personas — built data pipeline, surfaced behavioral patterns, and delivered findings at UTA Business Analytics Symposium 2026 as invited speaker.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B2B SaaS Pricing &amp; GTM Strategy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| ConsenTerra · FoundersBoost NYC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Product Strategy | 2026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full pricing architecture and competitive positioning framework for an AI startup — modeled tiers against 6 competitors, identified underserved segments, and produced investor-ready GTM collateral for FoundersBoost NYC pitch.</w:t>
      </w:r>
    </w:p>
    <w:p>
      <w:pPr>
        <w:pBdr>
          <w:bottom w:val="single" w:color="7C3AED" w:sz="8" w:space="2"/>
        </w:pBdr>
        <w:spacing w:after="40" w:before="130"/>
      </w:pPr>
      <w:r>
        <w:rPr>
          <w:rFonts w:ascii="Arial" w:cs="Arial" w:eastAsia="Arial" w:hAnsi="Arial"/>
          <w:b/>
          <w:bCs/>
          <w:caps/>
          <w:color w:val="1A1A1A"/>
          <w:sz w:val="21"/>
          <w:szCs w:val="21"/>
        </w:rPr>
        <w:t xml:space="preserve">Achievements &amp; Certifications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2nd Runner-Up — AWS GenAI Hackathon (Texas Universities)  |  Speaker — UTA Business Analytics Symposium 2026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IBM AI Product Manager Certificate  |  Google Project Management Certificate  |  Google Data Analytics Certificate  |  ISTQB Certified</w:t>
      </w:r>
    </w:p>
    <w:sectPr>
      <w:pgSz w:w="12240" w:h="15840" w:orient="portrait"/>
      <w:pgMar w:top="820" w:right="820" w:bottom="8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eakuqzyzn75_s2nm1qtr" Type="http://schemas.openxmlformats.org/officeDocument/2006/relationships/hyperlink" Target="https://www.linkedin.com/in/kanishtyagi123/" TargetMode="External"/><Relationship Id="rIdu2wxidnjshzsup-qkpcyl" Type="http://schemas.openxmlformats.org/officeDocument/2006/relationships/hyperlink" Target="https://github.com/kanish5" TargetMode="External"/><Relationship Id="rIdlan_qbnz8jd87sspumlcb" Type="http://schemas.openxmlformats.org/officeDocument/2006/relationships/hyperlink" Target="https://kanish5.github.io/kanish-portfol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2026-05-27T23:52:37.739Z</dcterms:created>
  <dcterms:modified xsi:type="dcterms:W3CDTF">2026-05-27T23:52:37.751Z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