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000000">
      <w:pPr>
        <w:rPr>
          <w:sz w:val="2"/>
        </w:rPr>
      </w:pPr>
      <w:r>
        <w:rPr>
          <w:noProof/>
          <w:sz w:val="2"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85.05pt;margin-top:722.65pt;width:198pt;height:19.85pt;z-index:1;mso-position-horizontal-relative:page" filled="f" stroked="f">
            <v:textbox inset="0,0,0,0">
              <w:txbxContent>
                <w:p w:rsidR="00000000" w:rsidRDefault="00000000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GE.09-</w:t>
                  </w:r>
                  <w:r>
                    <w:rPr>
                      <w:lang w:val="en-US"/>
                    </w:rPr>
                    <w:fldChar w:fldCharType="begin"/>
                  </w:r>
                  <w:r>
                    <w:rPr>
                      <w:lang w:val="en-US"/>
                    </w:rPr>
                    <w:instrText xml:space="preserve"> FILLIN  "Введите номер документа" \* MERGEFORMAT </w:instrText>
                  </w:r>
                  <w:r>
                    <w:rPr>
                      <w:lang w:val="en-US"/>
                    </w:rPr>
                    <w:fldChar w:fldCharType="separate"/>
                  </w:r>
                  <w:r>
                    <w:rPr>
                      <w:lang w:val="en-US"/>
                    </w:rPr>
                    <w:t>43453</w:t>
                  </w:r>
                  <w:r>
                    <w:rPr>
                      <w:lang w:val="en-US"/>
                    </w:rPr>
                    <w:fldChar w:fldCharType="end"/>
                  </w:r>
                  <w:r>
                    <w:rPr>
                      <w:lang w:val="en-US"/>
                    </w:rPr>
                    <w:t xml:space="preserve">   (R)    090709    090709</w:t>
                  </w:r>
                </w:p>
              </w:txbxContent>
            </v:textbox>
            <w10:wrap anchorx="page"/>
            <w10:anchorlock/>
          </v:shape>
        </w:pict>
      </w:r>
    </w:p>
    <w:tbl>
      <w:tblPr>
        <w:tblW w:w="9639" w:type="dxa"/>
        <w:tblInd w:w="8" w:type="dxa"/>
        <w:tblBorders>
          <w:bottom w:val="single" w:sz="1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81"/>
        <w:gridCol w:w="4458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181" w:type="dxa"/>
          </w:tcPr>
          <w:p w:rsidR="00000000" w:rsidRDefault="00000000">
            <w:pPr>
              <w:spacing w:line="240" w:lineRule="auto"/>
              <w:rPr>
                <w:b/>
                <w:sz w:val="30"/>
              </w:rPr>
            </w:pPr>
            <w:r>
              <w:rPr>
                <w:b/>
                <w:sz w:val="30"/>
              </w:rPr>
              <w:t xml:space="preserve">ОРГАНИЗАЦИЯ </w:t>
            </w:r>
            <w:r>
              <w:rPr>
                <w:b/>
                <w:sz w:val="30"/>
              </w:rPr>
              <w:br/>
              <w:t>ОБЪЕДИНЕННЫХ НАЦИЙ</w:t>
            </w:r>
          </w:p>
          <w:p w:rsidR="00000000" w:rsidRDefault="00000000">
            <w:pPr>
              <w:tabs>
                <w:tab w:val="left" w:pos="0"/>
                <w:tab w:val="left" w:pos="7086"/>
              </w:tabs>
              <w:suppressAutoHyphens/>
              <w:spacing w:line="216" w:lineRule="auto"/>
              <w:rPr>
                <w:b/>
                <w:sz w:val="20"/>
              </w:rPr>
            </w:pPr>
          </w:p>
        </w:tc>
        <w:tc>
          <w:tcPr>
            <w:tcW w:w="4458" w:type="dxa"/>
          </w:tcPr>
          <w:p w:rsidR="00000000" w:rsidRDefault="00000000">
            <w:pPr>
              <w:pStyle w:val="Heading1"/>
              <w:jc w:val="right"/>
              <w:rPr>
                <w:sz w:val="72"/>
              </w:rPr>
            </w:pPr>
            <w:r>
              <w:rPr>
                <w:sz w:val="72"/>
              </w:rPr>
              <w:t>CCPR</w:t>
            </w:r>
          </w:p>
        </w:tc>
      </w:tr>
    </w:tbl>
    <w:p w:rsidR="00000000" w:rsidRDefault="00000000"/>
    <w:tbl>
      <w:tblPr>
        <w:tblW w:w="0" w:type="auto"/>
        <w:tblInd w:w="8" w:type="dxa"/>
        <w:tblBorders>
          <w:bottom w:val="single" w:sz="2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18"/>
        <w:gridCol w:w="4961"/>
        <w:gridCol w:w="326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18" w:type="dxa"/>
          </w:tcPr>
          <w:bookmarkStart w:id="0" w:name="_MON_1113892296"/>
          <w:bookmarkEnd w:id="0"/>
          <w:p w:rsidR="00000000" w:rsidRDefault="00000000">
            <w:pPr>
              <w:tabs>
                <w:tab w:val="left" w:pos="0"/>
                <w:tab w:val="left" w:pos="7086"/>
              </w:tabs>
              <w:suppressAutoHyphens/>
              <w:ind w:right="270"/>
              <w:rPr>
                <w:sz w:val="2"/>
              </w:rPr>
            </w:pPr>
            <w:r>
              <w:rPr>
                <w:sz w:val="20"/>
              </w:rPr>
              <w:object w:dxaOrig="1207" w:dyaOrig="98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0pt;height:49.5pt" o:ole="" fillcolor="window">
                  <v:imagedata r:id="rId7" o:title=""/>
                </v:shape>
                <o:OLEObject Type="Embed" ProgID="Word.Picture.8" ShapeID="_x0000_i1025" DrawAspect="Content" ObjectID="_1393017608" r:id="rId8"/>
              </w:object>
            </w:r>
          </w:p>
          <w:p w:rsidR="00000000" w:rsidRDefault="00000000">
            <w:pPr>
              <w:tabs>
                <w:tab w:val="left" w:pos="0"/>
                <w:tab w:val="left" w:pos="7086"/>
              </w:tabs>
              <w:suppressAutoHyphens/>
              <w:spacing w:line="1" w:lineRule="exact"/>
              <w:ind w:left="30" w:right="270"/>
              <w:rPr>
                <w:vanish/>
                <w:sz w:val="20"/>
              </w:rPr>
            </w:pPr>
            <w:r>
              <w:rPr>
                <w:vanish/>
                <w:sz w:val="20"/>
              </w:rPr>
              <w:fldChar w:fldCharType="begin"/>
            </w:r>
            <w:r>
              <w:rPr>
                <w:vanish/>
                <w:sz w:val="20"/>
              </w:rPr>
              <w:instrText>SEQ _endnote  \* ARABIC</w:instrText>
            </w:r>
            <w:r>
              <w:rPr>
                <w:vanish/>
                <w:sz w:val="20"/>
              </w:rPr>
              <w:fldChar w:fldCharType="separate"/>
            </w:r>
            <w:r>
              <w:rPr>
                <w:vanish/>
                <w:sz w:val="20"/>
              </w:rPr>
              <w:t>1</w:t>
            </w:r>
            <w:r>
              <w:rPr>
                <w:vanish/>
                <w:sz w:val="20"/>
              </w:rPr>
              <w:fldChar w:fldCharType="end"/>
            </w:r>
          </w:p>
          <w:p w:rsidR="00000000" w:rsidRDefault="00000000">
            <w:pPr>
              <w:tabs>
                <w:tab w:val="left" w:pos="0"/>
                <w:tab w:val="left" w:pos="7086"/>
              </w:tabs>
              <w:suppressAutoHyphens/>
              <w:rPr>
                <w:sz w:val="20"/>
              </w:rPr>
            </w:pPr>
          </w:p>
        </w:tc>
        <w:tc>
          <w:tcPr>
            <w:tcW w:w="4961" w:type="dxa"/>
          </w:tcPr>
          <w:p w:rsidR="00000000" w:rsidRDefault="00000000">
            <w:pPr>
              <w:tabs>
                <w:tab w:val="left" w:pos="0"/>
                <w:tab w:val="left" w:pos="7086"/>
              </w:tabs>
              <w:suppressAutoHyphens/>
              <w:ind w:right="284"/>
              <w:rPr>
                <w:sz w:val="32"/>
              </w:rPr>
            </w:pPr>
            <w:r>
              <w:rPr>
                <w:sz w:val="32"/>
              </w:rPr>
              <w:t xml:space="preserve">МЕЖДУНАРОДНЫЙ ПАКТ </w:t>
            </w:r>
            <w:r>
              <w:rPr>
                <w:sz w:val="32"/>
              </w:rPr>
              <w:br/>
              <w:t xml:space="preserve">О ГРАЖДАНСКИХ </w:t>
            </w:r>
            <w:r>
              <w:rPr>
                <w:sz w:val="32"/>
              </w:rPr>
              <w:br/>
              <w:t xml:space="preserve">И ПОЛИТИЧЕСКИХ </w:t>
            </w:r>
            <w:r>
              <w:rPr>
                <w:sz w:val="32"/>
              </w:rPr>
              <w:br/>
              <w:t>ПРАВАХ</w:t>
            </w:r>
          </w:p>
          <w:p w:rsidR="00000000" w:rsidRDefault="00000000">
            <w:pPr>
              <w:tabs>
                <w:tab w:val="left" w:pos="0"/>
                <w:tab w:val="left" w:pos="7086"/>
              </w:tabs>
              <w:suppressAutoHyphens/>
              <w:ind w:right="284"/>
              <w:rPr>
                <w:sz w:val="32"/>
              </w:rPr>
            </w:pPr>
          </w:p>
        </w:tc>
        <w:tc>
          <w:tcPr>
            <w:tcW w:w="3260" w:type="dxa"/>
          </w:tcPr>
          <w:p w:rsidR="00000000" w:rsidRDefault="00000000">
            <w:pPr>
              <w:spacing w:line="240" w:lineRule="auto"/>
              <w:rPr>
                <w:sz w:val="22"/>
              </w:rPr>
            </w:pPr>
            <w:r>
              <w:rPr>
                <w:sz w:val="22"/>
                <w:lang w:val="en-US"/>
              </w:rPr>
              <w:t>Distr</w:t>
            </w:r>
            <w:r>
              <w:rPr>
                <w:sz w:val="22"/>
              </w:rPr>
              <w:t>.</w:t>
            </w:r>
          </w:p>
          <w:p w:rsidR="00000000" w:rsidRDefault="00000000">
            <w:pPr>
              <w:spacing w:line="240" w:lineRule="auto"/>
              <w:rPr>
                <w:sz w:val="22"/>
              </w:rPr>
            </w:pPr>
            <w:r>
              <w:rPr>
                <w:sz w:val="22"/>
                <w:lang w:val="en-US"/>
              </w:rPr>
              <w:fldChar w:fldCharType="begin">
                <w:ffData>
                  <w:name w:val="ПолеСоСписком1"/>
                  <w:enabled/>
                  <w:calcOnExit w:val="0"/>
                  <w:ddList>
                    <w:listEntry w:val="GENERAL"/>
                    <w:listEntry w:val="RESTRICTED"/>
                    <w:listEntry w:val="LIMITED"/>
                  </w:ddList>
                </w:ffData>
              </w:fldChar>
            </w:r>
            <w:bookmarkStart w:id="1" w:name="ПолеСоСписком1"/>
            <w:r>
              <w:rPr>
                <w:sz w:val="22"/>
              </w:rPr>
              <w:instrText xml:space="preserve"> </w:instrText>
            </w:r>
            <w:r>
              <w:rPr>
                <w:sz w:val="22"/>
                <w:lang w:val="en-US"/>
              </w:rPr>
              <w:instrText>FORMDROPDOWN</w:instrText>
            </w:r>
            <w:r>
              <w:rPr>
                <w:sz w:val="22"/>
              </w:rPr>
              <w:instrText xml:space="preserve"> </w:instrText>
            </w:r>
            <w:r>
              <w:rPr>
                <w:sz w:val="22"/>
                <w:lang w:val="en-US"/>
              </w:rPr>
            </w:r>
            <w:r>
              <w:rPr>
                <w:sz w:val="22"/>
                <w:lang w:val="en-US"/>
              </w:rPr>
              <w:fldChar w:fldCharType="end"/>
            </w:r>
            <w:bookmarkEnd w:id="1"/>
          </w:p>
          <w:p w:rsidR="00000000" w:rsidRDefault="00000000">
            <w:pPr>
              <w:spacing w:line="240" w:lineRule="auto"/>
              <w:rPr>
                <w:sz w:val="22"/>
              </w:rPr>
            </w:pPr>
          </w:p>
          <w:p w:rsidR="00000000" w:rsidRDefault="00000000">
            <w:pPr>
              <w:spacing w:line="240" w:lineRule="auto"/>
              <w:rPr>
                <w:sz w:val="22"/>
                <w:lang w:val="fr-FR"/>
              </w:rPr>
            </w:pPr>
            <w:r>
              <w:rPr>
                <w:sz w:val="22"/>
                <w:lang w:val="en-US"/>
              </w:rPr>
              <w:fldChar w:fldCharType="begin"/>
            </w:r>
            <w:r>
              <w:rPr>
                <w:sz w:val="22"/>
                <w:lang w:val="fr-FR"/>
              </w:rPr>
              <w:instrText xml:space="preserve"> FILLIN  "</w:instrText>
            </w:r>
            <w:r>
              <w:rPr>
                <w:sz w:val="22"/>
              </w:rPr>
              <w:instrText>Введите</w:instrText>
            </w:r>
            <w:r>
              <w:rPr>
                <w:sz w:val="22"/>
                <w:lang w:val="fr-FR"/>
              </w:rPr>
              <w:instrText xml:space="preserve"> </w:instrText>
            </w:r>
            <w:r>
              <w:rPr>
                <w:sz w:val="22"/>
              </w:rPr>
              <w:instrText>символ</w:instrText>
            </w:r>
            <w:r>
              <w:rPr>
                <w:sz w:val="22"/>
                <w:lang w:val="fr-FR"/>
              </w:rPr>
              <w:instrText xml:space="preserve"> </w:instrText>
            </w:r>
            <w:r>
              <w:rPr>
                <w:sz w:val="22"/>
              </w:rPr>
              <w:instrText>документа</w:instrText>
            </w:r>
            <w:r>
              <w:rPr>
                <w:sz w:val="22"/>
                <w:lang w:val="fr-FR"/>
              </w:rPr>
              <w:instrText xml:space="preserve">" \* MERGEFORMAT </w:instrText>
            </w:r>
            <w:r>
              <w:rPr>
                <w:sz w:val="22"/>
                <w:lang w:val="en-US"/>
              </w:rPr>
              <w:fldChar w:fldCharType="separate"/>
            </w:r>
            <w:r>
              <w:rPr>
                <w:sz w:val="22"/>
                <w:lang w:val="fr-FR"/>
              </w:rPr>
              <w:t>CCPR/C/GC/33*</w:t>
            </w:r>
            <w:r>
              <w:rPr>
                <w:sz w:val="22"/>
                <w:lang w:val="en-US"/>
              </w:rPr>
              <w:fldChar w:fldCharType="end"/>
            </w:r>
          </w:p>
          <w:p w:rsidR="00000000" w:rsidRDefault="00000000">
            <w:pPr>
              <w:spacing w:line="240" w:lineRule="auto"/>
              <w:rPr>
                <w:sz w:val="22"/>
              </w:rPr>
            </w:pPr>
            <w:r>
              <w:rPr>
                <w:sz w:val="22"/>
                <w:lang w:val="en-US"/>
              </w:rPr>
              <w:fldChar w:fldCharType="begin"/>
            </w:r>
            <w:r>
              <w:rPr>
                <w:sz w:val="22"/>
              </w:rPr>
              <w:instrText xml:space="preserve"> </w:instrText>
            </w:r>
            <w:r>
              <w:rPr>
                <w:sz w:val="22"/>
                <w:lang w:val="en-US"/>
              </w:rPr>
              <w:instrText>FILLIN</w:instrText>
            </w:r>
            <w:r>
              <w:rPr>
                <w:sz w:val="22"/>
              </w:rPr>
              <w:instrText xml:space="preserve">  "Введите дату документа" \* </w:instrText>
            </w:r>
            <w:r>
              <w:rPr>
                <w:sz w:val="22"/>
                <w:lang w:val="en-US"/>
              </w:rPr>
              <w:instrText>MERGEFORMAT</w:instrText>
            </w:r>
            <w:r>
              <w:rPr>
                <w:sz w:val="22"/>
              </w:rPr>
              <w:instrText xml:space="preserve"> </w:instrText>
            </w:r>
            <w:r>
              <w:rPr>
                <w:sz w:val="22"/>
                <w:lang w:val="en-US"/>
              </w:rPr>
              <w:fldChar w:fldCharType="separate"/>
            </w:r>
            <w:r>
              <w:rPr>
                <w:sz w:val="22"/>
                <w:lang w:val="en-US"/>
              </w:rPr>
              <w:t>25 June 2009</w:t>
            </w:r>
            <w:r>
              <w:rPr>
                <w:sz w:val="22"/>
                <w:lang w:val="en-US"/>
              </w:rPr>
              <w:fldChar w:fldCharType="end"/>
            </w:r>
          </w:p>
          <w:p w:rsidR="00000000" w:rsidRDefault="00000000">
            <w:pPr>
              <w:spacing w:line="240" w:lineRule="auto"/>
              <w:rPr>
                <w:sz w:val="22"/>
              </w:rPr>
            </w:pPr>
          </w:p>
          <w:p w:rsidR="00000000" w:rsidRDefault="00000000">
            <w:pPr>
              <w:spacing w:line="240" w:lineRule="auto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RUSSIAN</w:t>
            </w:r>
          </w:p>
          <w:p w:rsidR="00000000" w:rsidRDefault="00000000">
            <w:pPr>
              <w:spacing w:line="240" w:lineRule="auto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 xml:space="preserve">Original:  </w:t>
            </w:r>
            <w:r>
              <w:rPr>
                <w:sz w:val="22"/>
                <w:lang w:val="en-US"/>
              </w:rPr>
              <w:fldChar w:fldCharType="begin">
                <w:ffData>
                  <w:name w:val="ПолеСоСписком2"/>
                  <w:enabled/>
                  <w:calcOnExit w:val="0"/>
                  <w:ddList>
                    <w:listEntry w:val="ENGLISH"/>
                    <w:listEntry w:val="FRENCH"/>
                    <w:listEntry w:val="SPANISH"/>
                    <w:listEntry w:val="ARABIC"/>
                    <w:listEntry w:val="CHINESE"/>
                    <w:listEntry w:val="ENGLISH/FRENCH"/>
                  </w:ddList>
                </w:ffData>
              </w:fldChar>
            </w:r>
            <w:bookmarkStart w:id="2" w:name="ПолеСоСписком2"/>
            <w:r>
              <w:rPr>
                <w:sz w:val="22"/>
                <w:lang w:val="en-US"/>
              </w:rPr>
              <w:instrText xml:space="preserve"> FORMDROPDOWN </w:instrText>
            </w:r>
            <w:r>
              <w:rPr>
                <w:sz w:val="22"/>
                <w:lang w:val="en-US"/>
              </w:rPr>
            </w:r>
            <w:r>
              <w:rPr>
                <w:sz w:val="22"/>
                <w:lang w:val="en-US"/>
              </w:rPr>
              <w:fldChar w:fldCharType="end"/>
            </w:r>
            <w:bookmarkEnd w:id="2"/>
          </w:p>
          <w:p w:rsidR="00000000" w:rsidRDefault="00000000">
            <w:pPr>
              <w:tabs>
                <w:tab w:val="left" w:pos="0"/>
                <w:tab w:val="left" w:pos="7086"/>
              </w:tabs>
              <w:suppressAutoHyphens/>
              <w:spacing w:line="240" w:lineRule="auto"/>
              <w:ind w:left="284"/>
              <w:rPr>
                <w:sz w:val="22"/>
              </w:rPr>
            </w:pPr>
          </w:p>
        </w:tc>
      </w:tr>
    </w:tbl>
    <w:p w:rsidR="00000000" w:rsidRDefault="00000000">
      <w:pPr>
        <w:rPr>
          <w:lang w:val="en-US"/>
        </w:rPr>
      </w:pPr>
    </w:p>
    <w:p w:rsidR="00000000" w:rsidRDefault="00000000">
      <w:pPr>
        <w:rPr>
          <w:szCs w:val="24"/>
        </w:rPr>
      </w:pPr>
      <w:r>
        <w:rPr>
          <w:szCs w:val="24"/>
        </w:rPr>
        <w:t>КОМИТЕТ ПО ПРАВАМ ЧЕЛОВЕКА</w:t>
      </w:r>
    </w:p>
    <w:p w:rsidR="00000000" w:rsidRDefault="00000000">
      <w:pPr>
        <w:rPr>
          <w:szCs w:val="24"/>
        </w:rPr>
      </w:pPr>
      <w:r>
        <w:rPr>
          <w:szCs w:val="24"/>
        </w:rPr>
        <w:t>Девяносто четвертая сессия</w:t>
      </w:r>
    </w:p>
    <w:p w:rsidR="00000000" w:rsidRDefault="00000000">
      <w:pPr>
        <w:rPr>
          <w:szCs w:val="24"/>
        </w:rPr>
      </w:pPr>
      <w:r>
        <w:rPr>
          <w:szCs w:val="24"/>
        </w:rPr>
        <w:t>Женева, 13-31 октября 2008 года</w:t>
      </w:r>
    </w:p>
    <w:p w:rsidR="00000000" w:rsidRDefault="00000000">
      <w:pPr>
        <w:rPr>
          <w:szCs w:val="24"/>
        </w:rPr>
      </w:pPr>
    </w:p>
    <w:p w:rsidR="00000000" w:rsidRDefault="00000000">
      <w:pPr>
        <w:rPr>
          <w:szCs w:val="24"/>
        </w:rPr>
      </w:pPr>
    </w:p>
    <w:p w:rsidR="00000000" w:rsidRDefault="00000000">
      <w:pPr>
        <w:jc w:val="center"/>
        <w:rPr>
          <w:b/>
          <w:szCs w:val="24"/>
        </w:rPr>
      </w:pPr>
      <w:r>
        <w:rPr>
          <w:b/>
          <w:szCs w:val="24"/>
        </w:rPr>
        <w:t>Замечание общего порядка № 33</w:t>
      </w:r>
    </w:p>
    <w:p w:rsidR="00000000" w:rsidRDefault="00000000">
      <w:pPr>
        <w:jc w:val="center"/>
        <w:rPr>
          <w:b/>
          <w:szCs w:val="24"/>
        </w:rPr>
      </w:pPr>
    </w:p>
    <w:p w:rsidR="00000000" w:rsidRDefault="00000000">
      <w:pPr>
        <w:jc w:val="center"/>
        <w:rPr>
          <w:b/>
          <w:szCs w:val="24"/>
        </w:rPr>
      </w:pPr>
      <w:r>
        <w:rPr>
          <w:b/>
          <w:szCs w:val="24"/>
        </w:rPr>
        <w:t>Обязательства государств-участников по Факультативному протоколу</w:t>
      </w:r>
    </w:p>
    <w:p w:rsidR="00000000" w:rsidRDefault="00000000">
      <w:pPr>
        <w:jc w:val="center"/>
        <w:rPr>
          <w:b/>
          <w:szCs w:val="24"/>
        </w:rPr>
      </w:pPr>
      <w:r>
        <w:rPr>
          <w:b/>
          <w:szCs w:val="24"/>
        </w:rPr>
        <w:t>к Международному пакту о гражданских и политических правах</w:t>
      </w:r>
    </w:p>
    <w:p w:rsidR="00000000" w:rsidRDefault="00000000">
      <w:pPr>
        <w:jc w:val="center"/>
        <w:rPr>
          <w:b/>
          <w:szCs w:val="24"/>
        </w:rPr>
      </w:pPr>
    </w:p>
    <w:p w:rsidR="00000000" w:rsidRDefault="00000000">
      <w:pPr>
        <w:rPr>
          <w:szCs w:val="24"/>
        </w:rPr>
      </w:pPr>
      <w:r>
        <w:rPr>
          <w:szCs w:val="24"/>
        </w:rPr>
        <w:t>1.</w:t>
      </w:r>
      <w:r>
        <w:rPr>
          <w:szCs w:val="24"/>
        </w:rPr>
        <w:tab/>
        <w:t>Факультативный протокол к Международному пакту о гражданских и политических правах был принят и открыт для подписания, ратификации и присоединения тем же актом Генеральной Ассамблеи, резолюцией 2200 А (</w:t>
      </w:r>
      <w:r>
        <w:rPr>
          <w:szCs w:val="24"/>
          <w:lang w:val="en-US"/>
        </w:rPr>
        <w:t>XXI</w:t>
      </w:r>
      <w:r>
        <w:rPr>
          <w:szCs w:val="24"/>
        </w:rPr>
        <w:t>) от 16 декабря 1966 года, которым был принят сам Пакт.  Пакт и Факультативный протокол вступили в силу 23 марта 1976 года.</w:t>
      </w:r>
    </w:p>
    <w:p w:rsidR="00000000" w:rsidRDefault="00000000">
      <w:pPr>
        <w:rPr>
          <w:szCs w:val="24"/>
        </w:rPr>
      </w:pPr>
    </w:p>
    <w:p w:rsidR="00000000" w:rsidRDefault="00000000">
      <w:pPr>
        <w:rPr>
          <w:szCs w:val="24"/>
        </w:rPr>
      </w:pPr>
      <w:r>
        <w:rPr>
          <w:szCs w:val="24"/>
        </w:rPr>
        <w:t>2.</w:t>
      </w:r>
      <w:r>
        <w:rPr>
          <w:szCs w:val="24"/>
        </w:rPr>
        <w:tab/>
        <w:t>Хотя Факультативный протокол органически связан с Пактом, он не вступает в силу автоматически для всех государств - участников Пакта.  В статье 8 Факультативного протокола предусматривается, что государства - участники Пакта могут стать участниками Факультативного протокола лишь посредством отдельного выражения согласия на то, чтобы быть связанными его положениями.  Большинство государств - участников Пакта стали также участниками и Факультативного протокола.</w:t>
      </w:r>
    </w:p>
    <w:p w:rsidR="00000000" w:rsidRDefault="00000000">
      <w:pPr>
        <w:rPr>
          <w:szCs w:val="24"/>
        </w:rPr>
      </w:pPr>
    </w:p>
    <w:p w:rsidR="00000000" w:rsidRDefault="00000000">
      <w:pPr>
        <w:rPr>
          <w:szCs w:val="24"/>
        </w:rPr>
      </w:pPr>
      <w:r>
        <w:rPr>
          <w:szCs w:val="24"/>
        </w:rPr>
        <w:t>3.</w:t>
      </w:r>
      <w:r>
        <w:rPr>
          <w:szCs w:val="24"/>
        </w:rPr>
        <w:tab/>
        <w:t xml:space="preserve">В преамбуле к Факультативному протоколу говорится, что он предназначен для "дальнейшего достижения целей" Пакта путем предоставления Комитету по правам человека, учреждаемому в части IV Пакта, возможности "принимать и рассматривать, как предусмотрено в настоящем Протоколе, сообщения от отдельных лиц, утверждающих, что они являются жертвами нарушений какого-либо из прав, изложенных в Пакте".  </w:t>
      </w:r>
    </w:p>
    <w:p w:rsidR="00000000" w:rsidRDefault="00000000">
      <w:pPr>
        <w:rPr>
          <w:szCs w:val="24"/>
        </w:rPr>
      </w:pPr>
    </w:p>
    <w:p w:rsidR="00000000" w:rsidRDefault="00000000">
      <w:pPr>
        <w:rPr>
          <w:szCs w:val="24"/>
        </w:rPr>
      </w:pPr>
      <w:r>
        <w:rPr>
          <w:szCs w:val="24"/>
        </w:rPr>
        <w:t>_______________</w:t>
      </w:r>
    </w:p>
    <w:p w:rsidR="00000000" w:rsidRDefault="00000000">
      <w:pPr>
        <w:rPr>
          <w:szCs w:val="24"/>
        </w:rPr>
      </w:pPr>
      <w:r>
        <w:rPr>
          <w:b/>
          <w:szCs w:val="24"/>
        </w:rPr>
        <w:t>*</w:t>
      </w:r>
      <w:r>
        <w:rPr>
          <w:szCs w:val="24"/>
        </w:rPr>
        <w:tab/>
        <w:t>Переиздано по техническим причинам.</w:t>
      </w:r>
    </w:p>
    <w:p w:rsidR="00000000" w:rsidRDefault="00000000">
      <w:pPr>
        <w:rPr>
          <w:szCs w:val="24"/>
        </w:rPr>
      </w:pPr>
      <w:r>
        <w:rPr>
          <w:szCs w:val="24"/>
        </w:rPr>
        <w:br w:type="page"/>
        <w:t xml:space="preserve">В Факультативном протоколе излагается процедура, а государства - участники Факультативного протокола налагаются вытекающие из этой процедуры обязательства в дополнение к их обязательствам по Пакту. </w:t>
      </w:r>
    </w:p>
    <w:p w:rsidR="00000000" w:rsidRDefault="00000000">
      <w:pPr>
        <w:rPr>
          <w:sz w:val="22"/>
          <w:szCs w:val="22"/>
        </w:rPr>
      </w:pPr>
    </w:p>
    <w:p w:rsidR="00000000" w:rsidRDefault="00000000">
      <w:pPr>
        <w:rPr>
          <w:szCs w:val="24"/>
        </w:rPr>
      </w:pPr>
      <w:r>
        <w:rPr>
          <w:szCs w:val="24"/>
        </w:rPr>
        <w:t>4.</w:t>
      </w:r>
      <w:r>
        <w:rPr>
          <w:szCs w:val="24"/>
        </w:rPr>
        <w:tab/>
        <w:t>В статье 1 Факультативного протокола предусматривается, что государство - участник Факультативного протокола "признает компетенцию Комитета принимать и рассматривать сообщения от подлежащих его юрисдикции лиц, которые утверждают, что они являются жертвами нарушения данным государством-участником какого-либо из прав, изложенных в Пакте".  Из этого следует, что государства-участники не должны препятствовать доступу к Комитету и обязаны предотвращать любые репрессалии против любого лица, представившего Комитету сообщение.</w:t>
      </w:r>
    </w:p>
    <w:p w:rsidR="00000000" w:rsidRDefault="00000000">
      <w:pPr>
        <w:rPr>
          <w:sz w:val="22"/>
          <w:szCs w:val="22"/>
        </w:rPr>
      </w:pPr>
    </w:p>
    <w:p w:rsidR="00000000" w:rsidRDefault="00000000">
      <w:pPr>
        <w:rPr>
          <w:szCs w:val="24"/>
        </w:rPr>
      </w:pPr>
      <w:r>
        <w:rPr>
          <w:szCs w:val="24"/>
        </w:rPr>
        <w:t>5.</w:t>
      </w:r>
      <w:r>
        <w:rPr>
          <w:szCs w:val="24"/>
        </w:rPr>
        <w:tab/>
        <w:t>В статье 2 Факультативного протокола содержится требование о том, что лица, представляющие Комитету сообщения, обязаны исчерпать все имеющиеся внутренние средства правовой защиты.  В своем ответе на сообщение государство-участник, если оно полагает, что это условие не было выполнено, обязано указать, какие имеющиеся эффективные средства правовой защиты автор сообщения не исчерпал.</w:t>
      </w:r>
    </w:p>
    <w:p w:rsidR="00000000" w:rsidRDefault="00000000">
      <w:pPr>
        <w:rPr>
          <w:sz w:val="22"/>
          <w:szCs w:val="22"/>
        </w:rPr>
      </w:pPr>
    </w:p>
    <w:p w:rsidR="00000000" w:rsidRDefault="00000000">
      <w:pPr>
        <w:rPr>
          <w:szCs w:val="24"/>
        </w:rPr>
      </w:pPr>
      <w:r>
        <w:rPr>
          <w:szCs w:val="24"/>
        </w:rPr>
        <w:t>6.</w:t>
      </w:r>
      <w:r>
        <w:rPr>
          <w:szCs w:val="24"/>
        </w:rPr>
        <w:tab/>
        <w:t>Хотя этот термин в Факультативном протоколе или Пакте не встречается, лицо, представившее сообщение Комитету согласно Факультативному протоколу, Комитет по правам человека называет "автором".  Комитет употребляет термин "сообщение", приводимое в статье 1 Факультативного протокола, вместо таких терминов, как "жалоба" или "петиция", хотя последний термин отражен в действующей административной структуре Управления Верховного комиссара по правам человека, где сообщения, представляемые согласно Факультативному протоколу, первоначально рассматриваются подразделением, именуемым "Группа по петициям".</w:t>
      </w:r>
    </w:p>
    <w:p w:rsidR="00000000" w:rsidRDefault="00000000">
      <w:pPr>
        <w:rPr>
          <w:sz w:val="22"/>
          <w:szCs w:val="22"/>
        </w:rPr>
      </w:pPr>
    </w:p>
    <w:p w:rsidR="00000000" w:rsidRDefault="00000000">
      <w:pPr>
        <w:rPr>
          <w:szCs w:val="24"/>
        </w:rPr>
      </w:pPr>
      <w:r>
        <w:rPr>
          <w:szCs w:val="24"/>
        </w:rPr>
        <w:t>7.</w:t>
      </w:r>
      <w:r>
        <w:rPr>
          <w:szCs w:val="24"/>
        </w:rPr>
        <w:tab/>
        <w:t>Эта терминология отражает и характер роли Комитета по правам человека в качестве инстанции, принимающей и рассматривающей то или иное сообщение.  При условии, что сообщение после его рассмотрения с учетом всех письменных данных, представленных ему отдельным лицом и заинтересованным государством-участником, сочтено приемлемым, "Комитет сообщает свои соображения соответствующему государству-участнику и лицу"</w:t>
      </w:r>
      <w:r>
        <w:rPr>
          <w:rStyle w:val="FootnoteReference"/>
          <w:szCs w:val="24"/>
        </w:rPr>
        <w:footnoteReference w:id="1"/>
      </w:r>
      <w:r>
        <w:rPr>
          <w:szCs w:val="24"/>
        </w:rPr>
        <w:t>.</w:t>
      </w:r>
    </w:p>
    <w:p w:rsidR="00000000" w:rsidRDefault="00000000">
      <w:pPr>
        <w:rPr>
          <w:sz w:val="22"/>
          <w:szCs w:val="22"/>
        </w:rPr>
      </w:pPr>
    </w:p>
    <w:p w:rsidR="00000000" w:rsidRDefault="00000000">
      <w:pPr>
        <w:rPr>
          <w:szCs w:val="24"/>
        </w:rPr>
      </w:pPr>
      <w:r>
        <w:rPr>
          <w:szCs w:val="24"/>
        </w:rPr>
        <w:t>8.</w:t>
      </w:r>
      <w:r>
        <w:rPr>
          <w:szCs w:val="24"/>
        </w:rPr>
        <w:tab/>
        <w:t>Первое обязательство государства-участника, в отношении которого то или иное лицо выступает с утверждением согласно Факультативному протоколу, состоит в том, чтобы ответить на это сообщение в течение шести месяцев, оговоренных в пункте 2 статьи 4.  В эти сроки "получившее уведомление государство представляет… Комитету письменные объяснения или заявления, разъясняющие этот вопрос и любые меры, если таковые имели место, которые могли быть приняты этим государством".  В правилах процедуры Комитета эти положения получают дальнейшее развитие, включая возможность в исключительных случаях отдельно рассматривать вопросы приемлемости сообщения и его существо</w:t>
      </w:r>
      <w:r>
        <w:rPr>
          <w:rStyle w:val="FootnoteReference"/>
          <w:szCs w:val="24"/>
        </w:rPr>
        <w:footnoteReference w:id="2"/>
      </w:r>
      <w:r>
        <w:rPr>
          <w:szCs w:val="24"/>
        </w:rPr>
        <w:t>.</w:t>
      </w:r>
    </w:p>
    <w:p w:rsidR="00000000" w:rsidRDefault="00000000">
      <w:pPr>
        <w:rPr>
          <w:sz w:val="22"/>
          <w:szCs w:val="22"/>
        </w:rPr>
      </w:pPr>
    </w:p>
    <w:p w:rsidR="00000000" w:rsidRDefault="00000000">
      <w:pPr>
        <w:rPr>
          <w:szCs w:val="24"/>
        </w:rPr>
      </w:pPr>
      <w:r>
        <w:rPr>
          <w:szCs w:val="24"/>
        </w:rPr>
        <w:t>9.</w:t>
      </w:r>
      <w:r>
        <w:rPr>
          <w:szCs w:val="24"/>
        </w:rPr>
        <w:tab/>
        <w:t xml:space="preserve">Отвечая на сообщение, которое, как представляется, касается вопроса, возникшего до того, как Факультативный протокол вступил в силу для этого государства-участника (правило </w:t>
      </w:r>
      <w:r>
        <w:rPr>
          <w:i/>
          <w:szCs w:val="24"/>
        </w:rPr>
        <w:t>ratione temporis</w:t>
      </w:r>
      <w:r>
        <w:rPr>
          <w:szCs w:val="24"/>
        </w:rPr>
        <w:t>), государство-участник обязано конкретно ссылаться на это обстоятельство, включая любое замечание в отношении возможного "продолжающегося эффекта" допущенного в прошлом нарушения.</w:t>
      </w:r>
    </w:p>
    <w:p w:rsidR="00000000" w:rsidRDefault="00000000">
      <w:pPr>
        <w:rPr>
          <w:sz w:val="22"/>
          <w:szCs w:val="22"/>
        </w:rPr>
      </w:pPr>
    </w:p>
    <w:p w:rsidR="00000000" w:rsidRDefault="00000000">
      <w:pPr>
        <w:rPr>
          <w:szCs w:val="24"/>
        </w:rPr>
      </w:pPr>
      <w:r>
        <w:rPr>
          <w:szCs w:val="24"/>
        </w:rPr>
        <w:t>10.</w:t>
      </w:r>
      <w:r>
        <w:rPr>
          <w:szCs w:val="24"/>
        </w:rPr>
        <w:tab/>
        <w:t>Опыт Комитета свидетельствуют о том, что государства не всегда соблюдают это свое обязательство.  Когда государство, являющееся предметом сообщения, не отвечает на то или иное сообщение или отвечает на него неполностью, оно само ставит себя в невыгодное положение, поскольку в таком случае Комитет вынужден рассматривать сообщение в отсутствие полной информации в отношении этого сообщения.  При таких обстоятельствах Комитет может придти к выводу о том, что содержащиеся в сообщении утверждения являются правдивыми, если с учетом всех обстоятельств они кажутся обоснованными.</w:t>
      </w:r>
    </w:p>
    <w:p w:rsidR="00000000" w:rsidRDefault="00000000">
      <w:pPr>
        <w:rPr>
          <w:sz w:val="22"/>
          <w:szCs w:val="22"/>
        </w:rPr>
      </w:pPr>
    </w:p>
    <w:p w:rsidR="00000000" w:rsidRDefault="00000000">
      <w:pPr>
        <w:rPr>
          <w:szCs w:val="24"/>
        </w:rPr>
      </w:pPr>
      <w:r>
        <w:rPr>
          <w:szCs w:val="24"/>
        </w:rPr>
        <w:t>11.</w:t>
      </w:r>
      <w:r>
        <w:rPr>
          <w:szCs w:val="24"/>
        </w:rPr>
        <w:tab/>
        <w:t>Хотя при рассмотрении индивидуальных сообщений Комитет по правам человека не выступает в роли судебного органа как такового, Соображениям, распространяемым Комитетом согласно Факультативному протоколу, присущи некоторые основные черты судебного решения.  Они принимаются в духе, присущем судебному разбирательству, включая беспристрастность и независимость членов Комитета, взвешенное толкование формулировок Пакта и окончательный характер принимаемых решений.</w:t>
      </w:r>
    </w:p>
    <w:p w:rsidR="00000000" w:rsidRDefault="00000000">
      <w:pPr>
        <w:rPr>
          <w:sz w:val="22"/>
          <w:szCs w:val="22"/>
        </w:rPr>
      </w:pPr>
    </w:p>
    <w:p w:rsidR="00000000" w:rsidRDefault="00000000">
      <w:pPr>
        <w:rPr>
          <w:szCs w:val="24"/>
        </w:rPr>
      </w:pPr>
      <w:r>
        <w:rPr>
          <w:szCs w:val="24"/>
        </w:rPr>
        <w:t>12.</w:t>
      </w:r>
      <w:r>
        <w:rPr>
          <w:szCs w:val="24"/>
        </w:rPr>
        <w:tab/>
        <w:t>В пункте 4 статьи 5 Факультативного протокола решения Комитета названы "Соображениями"</w:t>
      </w:r>
      <w:r>
        <w:rPr>
          <w:rStyle w:val="FootnoteReference"/>
          <w:szCs w:val="24"/>
        </w:rPr>
        <w:footnoteReference w:id="3"/>
      </w:r>
      <w:r>
        <w:rPr>
          <w:szCs w:val="24"/>
        </w:rPr>
        <w:t xml:space="preserve">.  В этих решениях излагаются выводы Комитета в отношении нарушений, о которых сообщает автор сообщения, а если факт нарушения установлен, предлагается средство правовой защиты от этого нарушения.  </w:t>
      </w:r>
    </w:p>
    <w:p w:rsidR="00000000" w:rsidRDefault="00000000">
      <w:pPr>
        <w:rPr>
          <w:sz w:val="22"/>
          <w:szCs w:val="22"/>
        </w:rPr>
      </w:pPr>
    </w:p>
    <w:p w:rsidR="00000000" w:rsidRDefault="00000000">
      <w:pPr>
        <w:rPr>
          <w:szCs w:val="24"/>
        </w:rPr>
      </w:pPr>
      <w:r>
        <w:rPr>
          <w:szCs w:val="24"/>
        </w:rPr>
        <w:t>13.</w:t>
      </w:r>
      <w:r>
        <w:rPr>
          <w:szCs w:val="24"/>
        </w:rPr>
        <w:tab/>
        <w:t xml:space="preserve">Соображения Комитета по Факультативному протоколу представляют собой авторитетное определение, выносимое учрежденным в соответствии с самим Пактом органом, на который возложена задача толкования этого документа.  Характер этих Соображений и придаваемое им значение вытекают из ключевой роли Комитета согласно Пакту и Факультативному протоколу.  </w:t>
      </w:r>
    </w:p>
    <w:p w:rsidR="00000000" w:rsidRDefault="00000000">
      <w:pPr>
        <w:spacing w:line="240" w:lineRule="auto"/>
        <w:rPr>
          <w:sz w:val="22"/>
          <w:szCs w:val="22"/>
        </w:rPr>
      </w:pPr>
    </w:p>
    <w:p w:rsidR="00000000" w:rsidRDefault="00000000">
      <w:pPr>
        <w:rPr>
          <w:szCs w:val="24"/>
        </w:rPr>
      </w:pPr>
      <w:r>
        <w:rPr>
          <w:szCs w:val="24"/>
        </w:rPr>
        <w:t>14.</w:t>
      </w:r>
      <w:r>
        <w:rPr>
          <w:szCs w:val="24"/>
        </w:rPr>
        <w:tab/>
        <w:t>В соответствии с пунктом 3 а) статьи 2 Пакта каждое государство-участник обязуется "обеспечить любому лицу, права и свободы которого, признаваемые в настоящем Пакте, нарушены, эффективное средство правовой защиты, даже если это нарушение было совершено лицами, действовавшими в официальном качестве".  Это составляет основу формулировки, которую Комитет последовательно употребляет при распространении своих Соображений в тех случаях, когда факт нарушения установлен:</w:t>
      </w:r>
    </w:p>
    <w:p w:rsidR="00000000" w:rsidRDefault="00000000">
      <w:pPr>
        <w:spacing w:line="240" w:lineRule="auto"/>
        <w:rPr>
          <w:sz w:val="22"/>
          <w:szCs w:val="22"/>
        </w:rPr>
      </w:pPr>
    </w:p>
    <w:p w:rsidR="00000000" w:rsidRDefault="00000000">
      <w:pPr>
        <w:ind w:left="567" w:hanging="567"/>
        <w:rPr>
          <w:szCs w:val="24"/>
        </w:rPr>
      </w:pPr>
      <w:r>
        <w:rPr>
          <w:szCs w:val="24"/>
        </w:rPr>
        <w:tab/>
        <w:t>"В соответствии с пунктом 3 а) статьи 2 Пакта государство-участник обязано обеспечить автору эффективное средство правовой защиты.  Присоединившись к Факультативному протоколу, государство-участник признало компетенцию Комитета определять наличие или отсутствие нарушений Пакта, и согласно статье 2 Пакта государство-участник обязалось обеспечивать всем находящимся в пределах его территории или под его юрисдикцией лицам права, признаваемые в Пакте, и в случае установления нарушения обеспечить эффективное и действенное средство правовой защиты.  В связи с этим Комитет хотел бы получить от государства-участника в течение 180 дней информацию о мерах, которые были им приняты для реализации Соображений Комитета".</w:t>
      </w:r>
    </w:p>
    <w:p w:rsidR="00000000" w:rsidRDefault="00000000">
      <w:pPr>
        <w:spacing w:line="240" w:lineRule="auto"/>
        <w:ind w:left="567" w:hanging="567"/>
        <w:rPr>
          <w:sz w:val="22"/>
          <w:szCs w:val="22"/>
        </w:rPr>
      </w:pPr>
    </w:p>
    <w:p w:rsidR="00000000" w:rsidRDefault="00000000">
      <w:pPr>
        <w:rPr>
          <w:szCs w:val="24"/>
        </w:rPr>
      </w:pPr>
      <w:r>
        <w:rPr>
          <w:szCs w:val="24"/>
        </w:rPr>
        <w:t>15.</w:t>
      </w:r>
      <w:r>
        <w:rPr>
          <w:szCs w:val="24"/>
        </w:rPr>
        <w:tab/>
        <w:t>Характер Соображений Комитета определяется и обязательством государств-участников действовать добросовестно как в рамках их участия в процедуре согласно Факультативному протоколу, так и в отношении самого Пакта.  Обязанность сотрудничать с Комитетом вытекает из применения принципа добросовестного выполнения всех договорных обязательств</w:t>
      </w:r>
      <w:r>
        <w:rPr>
          <w:rStyle w:val="FootnoteReference"/>
          <w:szCs w:val="24"/>
        </w:rPr>
        <w:footnoteReference w:id="4"/>
      </w:r>
      <w:r>
        <w:rPr>
          <w:szCs w:val="24"/>
        </w:rPr>
        <w:t>.</w:t>
      </w:r>
    </w:p>
    <w:p w:rsidR="00000000" w:rsidRDefault="00000000">
      <w:pPr>
        <w:spacing w:line="240" w:lineRule="auto"/>
        <w:rPr>
          <w:sz w:val="22"/>
          <w:szCs w:val="22"/>
        </w:rPr>
      </w:pPr>
    </w:p>
    <w:p w:rsidR="00000000" w:rsidRDefault="00000000">
      <w:pPr>
        <w:rPr>
          <w:szCs w:val="24"/>
        </w:rPr>
      </w:pPr>
      <w:r>
        <w:rPr>
          <w:szCs w:val="24"/>
        </w:rPr>
        <w:t>16.</w:t>
      </w:r>
      <w:r>
        <w:rPr>
          <w:szCs w:val="24"/>
        </w:rPr>
        <w:tab/>
        <w:t>В 1997 году Комитет постановил в контексте своих правил процедуры назначить члена Комитета в качестве Специального докладчика по последующей деятельности в связи с Соображениями</w:t>
      </w:r>
      <w:r>
        <w:rPr>
          <w:rStyle w:val="FootnoteReference"/>
          <w:szCs w:val="24"/>
        </w:rPr>
        <w:footnoteReference w:id="5"/>
      </w:r>
      <w:r>
        <w:rPr>
          <w:szCs w:val="24"/>
        </w:rPr>
        <w:t>.  Этот член посредством письменных представлений, а часто и посредством личных встреч с дипломатическими представителями соответствующего государства-участника настоятельно призывает к соблюдению Соображений Комитета и обсуждает факторы, которые могут препятствовать их осуществления.  В ряде случаев эта процедура приводила к признанию и осуществлению Соображений Комитета в ситуациях, когда до этого препровождение этих Соображений не вызывало никакой реакции.</w:t>
      </w:r>
    </w:p>
    <w:p w:rsidR="00000000" w:rsidRDefault="00000000">
      <w:pPr>
        <w:rPr>
          <w:szCs w:val="24"/>
        </w:rPr>
      </w:pPr>
    </w:p>
    <w:p w:rsidR="00000000" w:rsidRDefault="00000000">
      <w:pPr>
        <w:rPr>
          <w:szCs w:val="24"/>
        </w:rPr>
      </w:pPr>
      <w:r>
        <w:rPr>
          <w:szCs w:val="24"/>
        </w:rPr>
        <w:t>17.</w:t>
      </w:r>
      <w:r>
        <w:rPr>
          <w:szCs w:val="24"/>
        </w:rPr>
        <w:tab/>
        <w:t>Следует отметить, что неосуществление тем или иным государством-участником Соображений Комитета в каждом конкретном случае становится достоянием гласности посредством публикации решений Комитета, среди прочего, в его ежегодных докладах Генеральной Ассамблее.</w:t>
      </w:r>
    </w:p>
    <w:p w:rsidR="00000000" w:rsidRDefault="00000000">
      <w:pPr>
        <w:rPr>
          <w:sz w:val="22"/>
          <w:szCs w:val="22"/>
        </w:rPr>
      </w:pPr>
    </w:p>
    <w:p w:rsidR="00000000" w:rsidRDefault="00000000">
      <w:pPr>
        <w:rPr>
          <w:szCs w:val="24"/>
        </w:rPr>
      </w:pPr>
      <w:r>
        <w:rPr>
          <w:szCs w:val="24"/>
        </w:rPr>
        <w:t>18.</w:t>
      </w:r>
      <w:r>
        <w:rPr>
          <w:szCs w:val="24"/>
        </w:rPr>
        <w:tab/>
        <w:t>Некоторые государства-участники, которым препровождались Соображения Комитета в связи с касавшимися их сообщениями, отказывались признать Соображения Комитета полностью или частично или пытались возобновить рассмотрение дела.  В одних случаях такая реакция имела место тогда, когда государство-участник, проигнорировав свое обязательно реагировать на сообщение согласно пункту 2 статьи 4 Факультативного протокола, не принимало участие в процедуре.  В других случаях государство-участник полностью или частично отвергало Соображения Комитета уже после своего участия в процедуре, в рамках которой его аргументы были в полной мере учтены Комитетом.  Во всех таких случаях Комитет полагает, что диалог между Комитетом и государством-участником на предмет осуществления Соображений продолжается.  Этот диалог проводит Специальный докладчик по последующей деятельности, который регулярно докладывает Комитету о достигнутом прогрессе.</w:t>
      </w:r>
    </w:p>
    <w:p w:rsidR="00000000" w:rsidRDefault="00000000">
      <w:pPr>
        <w:rPr>
          <w:sz w:val="22"/>
          <w:szCs w:val="22"/>
        </w:rPr>
      </w:pPr>
    </w:p>
    <w:p w:rsidR="00000000" w:rsidRDefault="00000000">
      <w:pPr>
        <w:rPr>
          <w:szCs w:val="24"/>
        </w:rPr>
      </w:pPr>
      <w:r>
        <w:rPr>
          <w:szCs w:val="24"/>
        </w:rPr>
        <w:t>19.</w:t>
      </w:r>
      <w:r>
        <w:rPr>
          <w:szCs w:val="24"/>
        </w:rPr>
        <w:tab/>
        <w:t>Автор может просить о принятии мер, или же Комитет по собственной инициативе может определить меры в тех случаях, когда государство-участник предприняло или грозит предпринять действия, которые, как представляется, могут причинить непоправимый ущерб автору или жертве, если эти действия не будут отменены или приостановлены до всестороннего рассмотрения сообщения Комитетом.  В качестве примеров можно привести вынесение приговора о смертной казни и нарушение принципа невысылки.  Для того чтобы иметь возможность удовлетворять эти потребности по Факультативному протоколу, Комитет установил в рамках своих правил процедуры процедуру запроса в соответствующих случаях предварительных или временных мер защиты</w:t>
      </w:r>
      <w:r>
        <w:rPr>
          <w:rStyle w:val="FootnoteReference"/>
          <w:szCs w:val="24"/>
        </w:rPr>
        <w:footnoteReference w:id="6"/>
      </w:r>
      <w:r>
        <w:rPr>
          <w:szCs w:val="24"/>
        </w:rPr>
        <w:t>.  Непринятие таких предварительных или временных мер несовместимо с обязательством добросовестно соблюдать процедуру рассмотрения индивидуального сообщения согласно Факультативному протоколу.</w:t>
      </w:r>
    </w:p>
    <w:p w:rsidR="00000000" w:rsidRDefault="00000000">
      <w:pPr>
        <w:rPr>
          <w:szCs w:val="24"/>
        </w:rPr>
      </w:pPr>
    </w:p>
    <w:p w:rsidR="00000000" w:rsidRDefault="00000000">
      <w:pPr>
        <w:rPr>
          <w:szCs w:val="24"/>
        </w:rPr>
      </w:pPr>
      <w:r>
        <w:rPr>
          <w:szCs w:val="24"/>
        </w:rPr>
        <w:t>20.</w:t>
      </w:r>
      <w:r>
        <w:rPr>
          <w:szCs w:val="24"/>
        </w:rPr>
        <w:tab/>
        <w:t>В большинстве государств нет специальных законов, позволяющих учитывать Соображения Комитета во внутренней правовой системе.  Вместе с тем во внутреннем законодательстве некоторых государств предусматривает выплата жертвам компенсации за установленные международными органами нарушения прав человека,.  В любом случае государства-участники обязаны использовать все имеющиеся в их распоряжении средства для осуществления принимаемых Комитетом Соображений.</w:t>
      </w:r>
    </w:p>
    <w:p w:rsidR="00000000" w:rsidRDefault="00000000">
      <w:pPr>
        <w:rPr>
          <w:szCs w:val="24"/>
        </w:rPr>
      </w:pPr>
    </w:p>
    <w:p w:rsidR="00000000" w:rsidRDefault="00000000">
      <w:pPr>
        <w:jc w:val="center"/>
        <w:rPr>
          <w:szCs w:val="24"/>
          <w:lang w:val="en-US"/>
        </w:rPr>
      </w:pPr>
      <w:r>
        <w:rPr>
          <w:szCs w:val="24"/>
        </w:rPr>
        <w:t>------</w:t>
      </w:r>
    </w:p>
    <w:p w:rsidR="00000000" w:rsidRDefault="00000000">
      <w:pPr>
        <w:rPr>
          <w:szCs w:val="24"/>
          <w:lang w:val="en-US"/>
        </w:rPr>
      </w:pPr>
    </w:p>
    <w:sectPr w:rsidR="00000000">
      <w:headerReference w:type="even" r:id="rId9"/>
      <w:headerReference w:type="default" r:id="rId10"/>
      <w:type w:val="continuous"/>
      <w:pgSz w:w="11906" w:h="16838"/>
      <w:pgMar w:top="851" w:right="851" w:bottom="1701" w:left="1701" w:header="851" w:footer="851" w:gutter="0"/>
      <w:cols w:space="720"/>
      <w:formProt w:val="0"/>
      <w:noEndnote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000000">
      <w:r>
        <w:separator/>
      </w:r>
    </w:p>
  </w:endnote>
  <w:endnote w:type="continuationSeparator" w:id="0">
    <w:p w:rsidR="00000000" w:rsidRDefault="000000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000000">
      <w:r>
        <w:separator/>
      </w:r>
    </w:p>
  </w:footnote>
  <w:footnote w:type="continuationSeparator" w:id="0">
    <w:p w:rsidR="00000000" w:rsidRDefault="00000000">
      <w:r>
        <w:continuationSeparator/>
      </w:r>
    </w:p>
  </w:footnote>
  <w:footnote w:id="1">
    <w:p w:rsidR="00000000" w:rsidRDefault="00000000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ab/>
        <w:t>Пункт 4 статьи 5 Факультативного протокола.</w:t>
      </w:r>
    </w:p>
  </w:footnote>
  <w:footnote w:id="2">
    <w:p w:rsidR="00000000" w:rsidRDefault="00000000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ab/>
        <w:t xml:space="preserve">Пункт 2 правила 97 правил процедуры Комитета по правам человека, </w:t>
      </w:r>
      <w:r>
        <w:rPr>
          <w:szCs w:val="24"/>
        </w:rPr>
        <w:t>CCPR/C/3/ Rev.8, 22 сентября 2005 года.</w:t>
      </w:r>
    </w:p>
    <w:p w:rsidR="00000000" w:rsidRDefault="00000000">
      <w:pPr>
        <w:pStyle w:val="FootnoteText"/>
        <w:rPr>
          <w:sz w:val="20"/>
        </w:rPr>
      </w:pPr>
    </w:p>
  </w:footnote>
  <w:footnote w:id="3">
    <w:p w:rsidR="00000000" w:rsidRDefault="00000000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ab/>
        <w:t>Во французском языке употреблен термин "constatations", а в испанском языке - "</w:t>
      </w:r>
      <w:r>
        <w:rPr>
          <w:szCs w:val="24"/>
        </w:rPr>
        <w:t>observaciones".</w:t>
      </w:r>
    </w:p>
  </w:footnote>
  <w:footnote w:id="4">
    <w:p w:rsidR="00000000" w:rsidRDefault="00000000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ab/>
        <w:t>Статья 26, Венская конвенция о праве договоров 1969 года.</w:t>
      </w:r>
    </w:p>
    <w:p w:rsidR="00000000" w:rsidRDefault="00000000">
      <w:pPr>
        <w:pStyle w:val="FootnoteText"/>
        <w:spacing w:line="216" w:lineRule="auto"/>
        <w:rPr>
          <w:sz w:val="20"/>
        </w:rPr>
      </w:pPr>
    </w:p>
  </w:footnote>
  <w:footnote w:id="5">
    <w:p w:rsidR="00000000" w:rsidRDefault="00000000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ab/>
        <w:t>Правило 101 правил процедуры Комитета по правам человека.</w:t>
      </w:r>
    </w:p>
  </w:footnote>
  <w:footnote w:id="6">
    <w:p w:rsidR="00000000" w:rsidRDefault="00000000">
      <w:pPr>
        <w:pStyle w:val="FootnoteText"/>
        <w:rPr>
          <w:szCs w:val="24"/>
        </w:rPr>
      </w:pPr>
      <w:r>
        <w:rPr>
          <w:rStyle w:val="FootnoteReference"/>
        </w:rPr>
        <w:footnoteRef/>
      </w:r>
      <w:r>
        <w:t xml:space="preserve"> </w:t>
      </w:r>
      <w:r>
        <w:tab/>
        <w:t>Правило 92 (ранее правило 86) правил процедуры Комитета по правам человека (см. </w:t>
      </w:r>
      <w:r>
        <w:rPr>
          <w:szCs w:val="24"/>
        </w:rPr>
        <w:t>CCPR/C/3/Rev.8, 22 сентября 2005 года):</w:t>
      </w:r>
    </w:p>
    <w:p w:rsidR="00000000" w:rsidRDefault="00000000">
      <w:pPr>
        <w:pStyle w:val="FootnoteText"/>
        <w:spacing w:line="216" w:lineRule="auto"/>
        <w:rPr>
          <w:szCs w:val="24"/>
        </w:rPr>
      </w:pPr>
    </w:p>
    <w:p w:rsidR="00000000" w:rsidRDefault="00000000">
      <w:pPr>
        <w:pStyle w:val="FootnoteText"/>
        <w:ind w:left="567"/>
      </w:pPr>
      <w:r>
        <w:t xml:space="preserve">"Комитет может, до представления своих Соображений по поводу сообщения соответствующему государству-участнику, сообщить этому государству свои соображения относительно того, желательны ли предварительные меры во избежание непоправимого ущерба жертве предполагаемого нарушения.  При этом Комитет информирует соответствующее государство-участник о том, что такое выражение его Соображений относительно предварительных мер не предполагает заключения по существу сообщения".  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000000">
    <w:pPr>
      <w:pStyle w:val="Header"/>
      <w:rPr>
        <w:lang w:val="en-US"/>
      </w:rPr>
    </w:pPr>
    <w:r>
      <w:rPr>
        <w:lang w:val="en-US"/>
      </w:rPr>
      <w:t>CCPR/C/GC/33*</w:t>
    </w:r>
  </w:p>
  <w:p w:rsidR="00000000" w:rsidRDefault="00000000">
    <w:pPr>
      <w:pStyle w:val="Header"/>
      <w:rPr>
        <w:rStyle w:val="PageNumber"/>
        <w:lang w:val="en-US"/>
      </w:rPr>
    </w:pPr>
    <w:r>
      <w:rPr>
        <w:lang w:val="en-US"/>
      </w:rP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</w:rPr>
      <w:t>6</w:t>
    </w:r>
    <w:r>
      <w:rPr>
        <w:rStyle w:val="PageNumber"/>
      </w:rPr>
      <w:fldChar w:fldCharType="end"/>
    </w:r>
  </w:p>
  <w:p w:rsidR="00000000" w:rsidRDefault="00000000">
    <w:pPr>
      <w:pStyle w:val="Header"/>
      <w:rPr>
        <w:rStyle w:val="PageNumber"/>
        <w:lang w:val="en-US"/>
      </w:rPr>
    </w:pPr>
  </w:p>
  <w:p w:rsidR="00000000" w:rsidRDefault="00000000">
    <w:pPr>
      <w:pStyle w:val="Header"/>
      <w:rPr>
        <w:lang w:val="en-US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000000">
    <w:pPr>
      <w:pStyle w:val="Header"/>
      <w:tabs>
        <w:tab w:val="left" w:pos="7371"/>
      </w:tabs>
      <w:rPr>
        <w:lang w:val="en-US"/>
      </w:rPr>
    </w:pPr>
    <w:r>
      <w:rPr>
        <w:lang w:val="en-US"/>
      </w:rPr>
      <w:tab/>
    </w:r>
    <w:r>
      <w:rPr>
        <w:lang w:val="en-US"/>
      </w:rPr>
      <w:tab/>
      <w:t>CCPR/C/GC/33*</w:t>
    </w:r>
  </w:p>
  <w:p w:rsidR="00000000" w:rsidRDefault="00000000">
    <w:pPr>
      <w:pStyle w:val="Header"/>
      <w:tabs>
        <w:tab w:val="left" w:pos="7371"/>
      </w:tabs>
      <w:rPr>
        <w:rStyle w:val="PageNumber"/>
        <w:lang w:val="en-US"/>
      </w:rPr>
    </w:pPr>
    <w:r>
      <w:rPr>
        <w:lang w:val="en-US"/>
      </w:rPr>
      <w:tab/>
    </w:r>
    <w:r>
      <w:rPr>
        <w:lang w:val="en-US"/>
      </w:rP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</w:rPr>
      <w:t>5</w:t>
    </w:r>
    <w:r>
      <w:rPr>
        <w:rStyle w:val="PageNumber"/>
      </w:rPr>
      <w:fldChar w:fldCharType="end"/>
    </w:r>
  </w:p>
  <w:p w:rsidR="00000000" w:rsidRDefault="00000000">
    <w:pPr>
      <w:pStyle w:val="Header"/>
      <w:tabs>
        <w:tab w:val="left" w:pos="6237"/>
      </w:tabs>
      <w:rPr>
        <w:rStyle w:val="PageNumber"/>
        <w:lang w:val="en-US"/>
      </w:rPr>
    </w:pPr>
  </w:p>
  <w:p w:rsidR="00000000" w:rsidRDefault="00000000">
    <w:pPr>
      <w:pStyle w:val="Header"/>
      <w:tabs>
        <w:tab w:val="left" w:pos="6237"/>
      </w:tabs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ABE4BB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13CB000F"/>
    <w:multiLevelType w:val="singleLevel"/>
    <w:tmpl w:val="C5EC9460"/>
    <w:lvl w:ilvl="0">
      <w:start w:val="1"/>
      <w:numFmt w:val="bullet"/>
      <w:pStyle w:val="ListBullet"/>
      <w:lvlText w:val="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08"/>
  <w:mirrorMargins/>
  <w:activeWritingStyle w:appName="MSWord" w:lang="ru-RU" w:vendorID="1" w:dllVersion="512" w:checkStyle="1"/>
  <w:activeWritingStyle w:appName="MSWord" w:lang="fr-FR" w:vendorID="9" w:dllVersion="512" w:checkStyle="1"/>
  <w:attachedTemplate r:id="rId1"/>
  <w:doNotTrackMoves/>
  <w:defaultTabStop w:val="567"/>
  <w:evenAndOddHeader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ООН"/>
    <w:qFormat/>
    <w:pPr>
      <w:tabs>
        <w:tab w:val="left" w:pos="567"/>
        <w:tab w:val="left" w:pos="1134"/>
        <w:tab w:val="left" w:pos="1701"/>
        <w:tab w:val="left" w:pos="2268"/>
        <w:tab w:val="left" w:pos="6237"/>
      </w:tabs>
      <w:spacing w:line="288" w:lineRule="auto"/>
    </w:pPr>
    <w:rPr>
      <w:sz w:val="24"/>
      <w:lang w:val="ru-RU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u w:val="single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i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  <w:i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i/>
      <w:u w:val="single"/>
    </w:rPr>
  </w:style>
  <w:style w:type="paragraph" w:styleId="Heading6">
    <w:name w:val="heading 6"/>
    <w:basedOn w:val="Normal"/>
    <w:next w:val="Normal"/>
    <w:qFormat/>
    <w:pPr>
      <w:outlineLvl w:val="5"/>
    </w:pPr>
    <w:rPr>
      <w:b/>
      <w:u w:val="single"/>
    </w:rPr>
  </w:style>
  <w:style w:type="paragraph" w:styleId="Heading7">
    <w:name w:val="heading 7"/>
    <w:basedOn w:val="Normal"/>
    <w:next w:val="Normal"/>
    <w:qFormat/>
    <w:pPr>
      <w:keepNext/>
      <w:tabs>
        <w:tab w:val="left" w:pos="0"/>
        <w:tab w:val="left" w:pos="567"/>
        <w:tab w:val="left" w:pos="1134"/>
        <w:tab w:val="left" w:pos="1701"/>
        <w:tab w:val="left" w:pos="2268"/>
        <w:tab w:val="left" w:pos="6237"/>
        <w:tab w:val="left" w:pos="7086"/>
      </w:tabs>
      <w:suppressAutoHyphens/>
      <w:spacing w:line="312" w:lineRule="auto"/>
      <w:ind w:right="283"/>
      <w:outlineLvl w:val="6"/>
    </w:pPr>
    <w:rPr>
      <w:b/>
      <w:sz w:val="30"/>
    </w:rPr>
  </w:style>
  <w:style w:type="paragraph" w:styleId="Heading8">
    <w:name w:val="heading 8"/>
    <w:basedOn w:val="Normal"/>
    <w:next w:val="Normal"/>
    <w:qFormat/>
    <w:pPr>
      <w:keepNext/>
      <w:tabs>
        <w:tab w:val="left" w:pos="0"/>
        <w:tab w:val="left" w:pos="567"/>
        <w:tab w:val="left" w:pos="1134"/>
        <w:tab w:val="left" w:pos="1701"/>
        <w:tab w:val="left" w:pos="2268"/>
        <w:tab w:val="left" w:pos="6237"/>
        <w:tab w:val="left" w:pos="7086"/>
      </w:tabs>
      <w:suppressAutoHyphens/>
      <w:spacing w:line="240" w:lineRule="auto"/>
      <w:ind w:right="283"/>
      <w:outlineLvl w:val="7"/>
    </w:pPr>
    <w:rPr>
      <w:sz w:val="30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semiHidden/>
    <w:pPr>
      <w:spacing w:line="240" w:lineRule="auto"/>
    </w:pPr>
  </w:style>
  <w:style w:type="paragraph" w:styleId="EndnoteText">
    <w:name w:val="endnote text"/>
    <w:basedOn w:val="Normal"/>
    <w:semiHidden/>
    <w:pPr>
      <w:spacing w:line="240" w:lineRule="auto"/>
    </w:pPr>
  </w:style>
  <w:style w:type="character" w:styleId="EndnoteReference">
    <w:name w:val="endnote reference"/>
    <w:semiHidden/>
    <w:rPr>
      <w:rFonts w:ascii="Times New Roman" w:hAnsi="Times New Roman"/>
      <w:b/>
      <w:dstrike w:val="0"/>
      <w:color w:val="auto"/>
      <w:sz w:val="24"/>
      <w:vertAlign w:val="superscript"/>
    </w:rPr>
  </w:style>
  <w:style w:type="character" w:styleId="FootnoteReference">
    <w:name w:val="footnote reference"/>
    <w:semiHidden/>
    <w:rPr>
      <w:rFonts w:ascii="Times New Roman" w:hAnsi="Times New Roman"/>
      <w:b/>
      <w:dstrike w:val="0"/>
      <w:color w:val="auto"/>
      <w:sz w:val="24"/>
      <w:vertAlign w:val="superscript"/>
    </w:rPr>
  </w:style>
  <w:style w:type="paragraph" w:customStyle="1" w:styleId="1">
    <w:name w:val="текст 1"/>
    <w:basedOn w:val="Normal"/>
    <w:pPr>
      <w:tabs>
        <w:tab w:val="left" w:pos="567"/>
        <w:tab w:val="left" w:pos="1134"/>
        <w:tab w:val="left" w:pos="1701"/>
        <w:tab w:val="left" w:pos="2268"/>
        <w:tab w:val="left" w:pos="6237"/>
      </w:tabs>
    </w:pPr>
  </w:style>
  <w:style w:type="paragraph" w:customStyle="1" w:styleId="2">
    <w:name w:val="текст 2"/>
    <w:basedOn w:val="Normal"/>
    <w:pPr>
      <w:tabs>
        <w:tab w:val="left" w:pos="567"/>
        <w:tab w:val="left" w:pos="1134"/>
        <w:tab w:val="left" w:pos="1701"/>
        <w:tab w:val="left" w:pos="2268"/>
        <w:tab w:val="left" w:pos="6237"/>
      </w:tabs>
    </w:pPr>
  </w:style>
  <w:style w:type="paragraph" w:styleId="Header">
    <w:name w:val="header"/>
    <w:basedOn w:val="Normal"/>
    <w:semiHidden/>
    <w:pPr>
      <w:tabs>
        <w:tab w:val="clear" w:pos="567"/>
        <w:tab w:val="clear" w:pos="1134"/>
        <w:tab w:val="clear" w:pos="1701"/>
        <w:tab w:val="clear" w:pos="2268"/>
        <w:tab w:val="clear" w:pos="6237"/>
        <w:tab w:val="center" w:pos="4153"/>
        <w:tab w:val="right" w:pos="8306"/>
      </w:tabs>
      <w:spacing w:line="240" w:lineRule="auto"/>
    </w:pPr>
  </w:style>
  <w:style w:type="paragraph" w:styleId="Footer">
    <w:name w:val="footer"/>
    <w:basedOn w:val="Normal"/>
    <w:semiHidden/>
    <w:pPr>
      <w:tabs>
        <w:tab w:val="clear" w:pos="567"/>
        <w:tab w:val="clear" w:pos="1134"/>
        <w:tab w:val="clear" w:pos="1701"/>
        <w:tab w:val="clear" w:pos="2268"/>
        <w:tab w:val="clear" w:pos="6237"/>
        <w:tab w:val="center" w:pos="4153"/>
        <w:tab w:val="right" w:pos="8306"/>
      </w:tabs>
      <w:spacing w:line="240" w:lineRule="auto"/>
    </w:pPr>
  </w:style>
  <w:style w:type="paragraph" w:styleId="Title">
    <w:name w:val="Title"/>
    <w:basedOn w:val="Normal"/>
    <w:qFormat/>
    <w:pPr>
      <w:jc w:val="center"/>
    </w:pPr>
    <w:rPr>
      <w:b/>
    </w:rPr>
  </w:style>
  <w:style w:type="paragraph" w:styleId="ListBullet">
    <w:name w:val="List Bullet"/>
    <w:basedOn w:val="Normal"/>
    <w:autoRedefine/>
    <w:semiHidden/>
    <w:pPr>
      <w:numPr>
        <w:numId w:val="2"/>
      </w:numPr>
    </w:pPr>
  </w:style>
  <w:style w:type="paragraph" w:styleId="Subtitle">
    <w:name w:val="Subtitle"/>
    <w:basedOn w:val="Normal"/>
    <w:qFormat/>
    <w:pPr>
      <w:jc w:val="center"/>
    </w:pPr>
    <w:rPr>
      <w:u w:val="single"/>
    </w:rPr>
  </w:style>
  <w:style w:type="paragraph" w:customStyle="1" w:styleId="a">
    <w:name w:val="Нумерованный абзац"/>
    <w:basedOn w:val="Normal"/>
    <w:pPr>
      <w:tabs>
        <w:tab w:val="left" w:pos="567"/>
        <w:tab w:val="left" w:pos="1134"/>
        <w:tab w:val="left" w:pos="1701"/>
        <w:tab w:val="left" w:pos="2268"/>
        <w:tab w:val="left" w:pos="6237"/>
      </w:tabs>
    </w:pPr>
  </w:style>
  <w:style w:type="paragraph" w:customStyle="1" w:styleId="10">
    <w:name w:val="Заголовок 10"/>
    <w:basedOn w:val="Title"/>
  </w:style>
  <w:style w:type="paragraph" w:customStyle="1" w:styleId="11">
    <w:name w:val="Заголовок 11"/>
    <w:basedOn w:val="Subtitle"/>
  </w:style>
  <w:style w:type="paragraph" w:customStyle="1" w:styleId="12">
    <w:name w:val="Заголовок 12"/>
    <w:basedOn w:val="Normal"/>
    <w:pPr>
      <w:jc w:val="center"/>
    </w:pPr>
    <w:rPr>
      <w:i/>
    </w:rPr>
  </w:style>
  <w:style w:type="paragraph" w:customStyle="1" w:styleId="13">
    <w:name w:val="Заголовок 13"/>
    <w:basedOn w:val="Normal"/>
    <w:pPr>
      <w:jc w:val="center"/>
    </w:pPr>
    <w:rPr>
      <w:b/>
      <w:i/>
    </w:rPr>
  </w:style>
  <w:style w:type="paragraph" w:customStyle="1" w:styleId="14">
    <w:name w:val="Заголовок 14"/>
    <w:basedOn w:val="Normal"/>
    <w:pPr>
      <w:jc w:val="center"/>
    </w:pPr>
    <w:rPr>
      <w:b/>
      <w:u w:val="single"/>
    </w:rPr>
  </w:style>
  <w:style w:type="paragraph" w:customStyle="1" w:styleId="15">
    <w:name w:val="Заголовок 15"/>
    <w:basedOn w:val="Normal"/>
    <w:pPr>
      <w:jc w:val="center"/>
    </w:pPr>
    <w:rPr>
      <w:i/>
      <w:u w:val="single"/>
    </w:rPr>
  </w:style>
  <w:style w:type="paragraph" w:customStyle="1" w:styleId="16">
    <w:name w:val="Заголовок 16"/>
    <w:basedOn w:val="Normal"/>
    <w:pPr>
      <w:jc w:val="center"/>
    </w:pPr>
  </w:style>
  <w:style w:type="character" w:styleId="PageNumber">
    <w:name w:val="page number"/>
    <w:basedOn w:val="DefaultParagraphFon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WORD\WORD2003\CCPR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CCPR</Template>
  <TotalTime>0</TotalTime>
  <Pages>1</Pages>
  <Words>1660</Words>
  <Characters>9466</Characters>
  <Application>Microsoft Office Word</Application>
  <DocSecurity>4</DocSecurity>
  <Lines>78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0943453</vt:lpstr>
    </vt:vector>
  </TitlesOfParts>
  <Company> </Company>
  <LinksUpToDate>false</LinksUpToDate>
  <CharactersWithSpaces>11624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0943453</dc:title>
  <dc:subject/>
  <dc:creator>Svetlana Prokoudina</dc:creator>
  <cp:keywords/>
  <dc:description/>
  <cp:lastModifiedBy>csd</cp:lastModifiedBy>
  <cp:revision>2</cp:revision>
  <cp:lastPrinted>2009-07-09T07:32:00Z</cp:lastPrinted>
  <dcterms:created xsi:type="dcterms:W3CDTF">2009-07-15T08:48:00Z</dcterms:created>
  <dcterms:modified xsi:type="dcterms:W3CDTF">2009-07-15T08:48:00Z</dcterms:modified>
</cp:coreProperties>
</file>