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260"/>
        <w:gridCol w:w="141"/>
        <w:gridCol w:w="2127"/>
        <w:gridCol w:w="2835"/>
      </w:tblGrid>
      <w:tr w:rsidR="0084613B" w:rsidTr="00D76358">
        <w:trPr>
          <w:cantSplit/>
          <w:trHeight w:hRule="exact" w:val="851"/>
        </w:trPr>
        <w:tc>
          <w:tcPr>
            <w:tcW w:w="4536" w:type="dxa"/>
            <w:gridSpan w:val="2"/>
            <w:tcBorders>
              <w:bottom w:val="single" w:sz="4" w:space="0" w:color="auto"/>
            </w:tcBorders>
            <w:vAlign w:val="bottom"/>
          </w:tcPr>
          <w:p w:rsidR="0084613B" w:rsidRPr="00B97172" w:rsidRDefault="0084613B" w:rsidP="00D76358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vAlign w:val="bottom"/>
          </w:tcPr>
          <w:p w:rsidR="0084613B" w:rsidRPr="00EA2819" w:rsidRDefault="0084613B" w:rsidP="00D76358">
            <w:pPr>
              <w:spacing w:after="80" w:line="240" w:lineRule="auto"/>
              <w:jc w:val="right"/>
            </w:pPr>
          </w:p>
        </w:tc>
        <w:tc>
          <w:tcPr>
            <w:tcW w:w="4962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84613B" w:rsidRPr="00414448" w:rsidRDefault="0084613B" w:rsidP="00D76358">
            <w:pPr>
              <w:spacing w:after="80"/>
              <w:jc w:val="right"/>
              <w:rPr>
                <w:lang w:val="en-US"/>
              </w:rPr>
            </w:pPr>
            <w:proofErr w:type="spellStart"/>
            <w:r w:rsidRPr="000B4B07">
              <w:rPr>
                <w:sz w:val="40"/>
                <w:szCs w:val="40"/>
                <w:lang w:val="en-US"/>
              </w:rPr>
              <w:t>CCPR</w:t>
            </w:r>
            <w:proofErr w:type="spellEnd"/>
            <w:r>
              <w:rPr>
                <w:lang w:val="en-US"/>
              </w:rPr>
              <w:t>/</w:t>
            </w:r>
            <w:r>
              <w:fldChar w:fldCharType="begin"/>
            </w:r>
            <w:r>
              <w:instrText xml:space="preserve"> FILLIN  "Введите часть символа после CCPR/"  \* MERGEFORMAT </w:instrText>
            </w:r>
            <w:r>
              <w:fldChar w:fldCharType="separate"/>
            </w:r>
            <w:proofErr w:type="spellStart"/>
            <w:r w:rsidR="00B86E94">
              <w:t>C</w:t>
            </w:r>
            <w:proofErr w:type="spellEnd"/>
            <w:r w:rsidR="00B86E94">
              <w:t>/</w:t>
            </w:r>
            <w:proofErr w:type="spellStart"/>
            <w:r w:rsidR="00B86E94">
              <w:t>GC</w:t>
            </w:r>
            <w:proofErr w:type="spellEnd"/>
            <w:r w:rsidR="00B86E94">
              <w:t>/34</w:t>
            </w:r>
            <w:r>
              <w:fldChar w:fldCharType="end"/>
            </w:r>
          </w:p>
        </w:tc>
      </w:tr>
      <w:tr w:rsidR="0084613B" w:rsidRPr="002C048B" w:rsidTr="00D7635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4613B" w:rsidRDefault="0084613B" w:rsidP="00D76358">
            <w:pPr>
              <w:spacing w:before="12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46.5pt">
                  <v:imagedata r:id="rId7" o:title="_unlogo"/>
                </v:shape>
              </w:pic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84613B" w:rsidRPr="0084613B" w:rsidRDefault="0084613B" w:rsidP="00D76358">
            <w:pPr>
              <w:spacing w:before="120" w:line="380" w:lineRule="exact"/>
              <w:rPr>
                <w:spacing w:val="-4"/>
                <w:w w:val="100"/>
                <w:sz w:val="34"/>
                <w:szCs w:val="34"/>
              </w:rPr>
            </w:pPr>
            <w:r w:rsidRPr="0084613B">
              <w:rPr>
                <w:b/>
                <w:spacing w:val="-4"/>
                <w:w w:val="100"/>
                <w:sz w:val="34"/>
                <w:szCs w:val="34"/>
              </w:rPr>
              <w:t xml:space="preserve">Международный пакт </w:t>
            </w:r>
            <w:r w:rsidRPr="0084613B">
              <w:rPr>
                <w:b/>
                <w:spacing w:val="-4"/>
                <w:w w:val="100"/>
                <w:sz w:val="34"/>
                <w:szCs w:val="34"/>
              </w:rPr>
              <w:br/>
              <w:t>о гражданских и политических правах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4613B" w:rsidRDefault="0084613B" w:rsidP="00D76358">
            <w:pPr>
              <w:spacing w:before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</w:t>
            </w:r>
            <w:proofErr w:type="spellEnd"/>
            <w:r>
              <w:t>.:</w:t>
            </w:r>
            <w:r>
              <w:rPr>
                <w:lang w:val="en-US"/>
              </w:rPr>
              <w:t xml:space="preserve"> </w:t>
            </w:r>
            <w:bookmarkStart w:id="0" w:name="ПолеСоСписком1"/>
            <w: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r>
              <w:rPr>
                <w:lang w:val="en-US"/>
              </w:rPr>
              <w:instrText xml:space="preserve"> FORMDROPDOWN </w:instrText>
            </w:r>
            <w:r>
              <w:fldChar w:fldCharType="end"/>
            </w:r>
            <w:bookmarkEnd w:id="0"/>
          </w:p>
          <w:p w:rsidR="0084613B" w:rsidRDefault="0084613B" w:rsidP="00D7635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"Введите дату документа" \* MERGEFORMAT </w:instrText>
            </w:r>
            <w:r w:rsidR="00B86E94">
              <w:rPr>
                <w:lang w:val="en-US"/>
              </w:rPr>
              <w:fldChar w:fldCharType="separate"/>
            </w:r>
            <w:r w:rsidR="00B86E94">
              <w:rPr>
                <w:lang w:val="en-US"/>
              </w:rPr>
              <w:t>12 September 2011</w:t>
            </w:r>
            <w:r>
              <w:rPr>
                <w:lang w:val="en-US"/>
              </w:rPr>
              <w:fldChar w:fldCharType="end"/>
            </w:r>
          </w:p>
          <w:p w:rsidR="0084613B" w:rsidRDefault="0084613B" w:rsidP="00D76358">
            <w:r>
              <w:rPr>
                <w:lang w:val="en-US"/>
              </w:rPr>
              <w:t>Russian</w:t>
            </w:r>
          </w:p>
          <w:p w:rsidR="0084613B" w:rsidRDefault="0084613B" w:rsidP="00D76358">
            <w:r>
              <w:rPr>
                <w:lang w:val="en-US"/>
              </w:rPr>
              <w:t>Original</w:t>
            </w:r>
            <w:r>
              <w:t xml:space="preserve">: </w:t>
            </w:r>
            <w:bookmarkStart w:id="1" w:name="ПолеСоСписком2"/>
            <w: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  <w:listEntry w:val="English and French"/>
                  </w:ddList>
                </w:ffData>
              </w:fldChar>
            </w:r>
            <w:r>
              <w:rPr>
                <w:lang w:val="en-US"/>
              </w:rPr>
              <w:instrText xml:space="preserve"> FORMDROPDOWN </w:instrText>
            </w:r>
            <w:r>
              <w:fldChar w:fldCharType="end"/>
            </w:r>
            <w:bookmarkEnd w:id="1"/>
          </w:p>
          <w:p w:rsidR="0084613B" w:rsidRPr="002C048B" w:rsidRDefault="0084613B" w:rsidP="00D76358"/>
        </w:tc>
      </w:tr>
    </w:tbl>
    <w:p w:rsidR="00374C13" w:rsidRPr="00E36FB8" w:rsidRDefault="00374C13" w:rsidP="00E36FB8">
      <w:pPr>
        <w:spacing w:before="120"/>
        <w:rPr>
          <w:b/>
          <w:sz w:val="24"/>
          <w:szCs w:val="24"/>
        </w:rPr>
      </w:pPr>
      <w:r w:rsidRPr="00E36FB8">
        <w:rPr>
          <w:b/>
          <w:sz w:val="24"/>
          <w:szCs w:val="24"/>
        </w:rPr>
        <w:t>Комитет по правам человека</w:t>
      </w:r>
    </w:p>
    <w:p w:rsidR="00374C13" w:rsidRPr="00374C13" w:rsidRDefault="00374C13" w:rsidP="00374C13">
      <w:pPr>
        <w:rPr>
          <w:b/>
        </w:rPr>
      </w:pPr>
      <w:r w:rsidRPr="00374C13">
        <w:rPr>
          <w:b/>
        </w:rPr>
        <w:t>Сто вторая сессия</w:t>
      </w:r>
    </w:p>
    <w:p w:rsidR="00374C13" w:rsidRPr="00374C13" w:rsidRDefault="00374C13" w:rsidP="00374C13">
      <w:r w:rsidRPr="00374C13">
        <w:t>Женева, 11</w:t>
      </w:r>
      <w:r w:rsidR="00942382">
        <w:t>−</w:t>
      </w:r>
      <w:r w:rsidRPr="00374C13">
        <w:t>29 июля</w:t>
      </w:r>
      <w:r w:rsidRPr="00374C13">
        <w:rPr>
          <w:lang w:val="en-US"/>
        </w:rPr>
        <w:t xml:space="preserve"> 2011 </w:t>
      </w:r>
      <w:r w:rsidRPr="00374C13">
        <w:t>года</w:t>
      </w:r>
    </w:p>
    <w:p w:rsidR="00374C13" w:rsidRPr="00374C13" w:rsidRDefault="00C543FE" w:rsidP="00C543FE">
      <w:pPr>
        <w:pStyle w:val="HChGR"/>
      </w:pPr>
      <w:r>
        <w:rPr>
          <w:lang w:val="en-US"/>
        </w:rPr>
        <w:tab/>
      </w:r>
      <w:r w:rsidR="00374C13" w:rsidRPr="00374C13">
        <w:tab/>
        <w:t>Замечание общего порядка №</w:t>
      </w:r>
      <w:r w:rsidR="00942382">
        <w:t xml:space="preserve"> </w:t>
      </w:r>
      <w:r w:rsidR="00374C13" w:rsidRPr="00374C13">
        <w:t>34</w:t>
      </w:r>
    </w:p>
    <w:p w:rsidR="00A64208" w:rsidRDefault="00374C13" w:rsidP="00C543FE">
      <w:pPr>
        <w:pStyle w:val="H1GR"/>
      </w:pPr>
      <w:r w:rsidRPr="00374C13">
        <w:tab/>
      </w:r>
      <w:r w:rsidR="00C543FE" w:rsidRPr="00E74925">
        <w:tab/>
      </w:r>
      <w:r w:rsidRPr="00374C13">
        <w:t xml:space="preserve">Статья 19: </w:t>
      </w:r>
      <w:r w:rsidR="00A64208">
        <w:br/>
      </w:r>
      <w:r w:rsidR="00AA6D34" w:rsidRPr="00374C13">
        <w:t xml:space="preserve">Свобода </w:t>
      </w:r>
      <w:r w:rsidRPr="00374C13">
        <w:t>мнений и их выражения</w:t>
      </w:r>
    </w:p>
    <w:p w:rsidR="00374C13" w:rsidRPr="00374C13" w:rsidRDefault="00A64208" w:rsidP="00C543FE">
      <w:pPr>
        <w:pStyle w:val="H1GR"/>
      </w:pPr>
      <w:r>
        <w:tab/>
      </w:r>
      <w:r>
        <w:tab/>
      </w:r>
      <w:r w:rsidR="00374C13" w:rsidRPr="00374C13">
        <w:t>Общие замечания</w:t>
      </w:r>
    </w:p>
    <w:p w:rsidR="00374C13" w:rsidRPr="00374C13" w:rsidRDefault="00374C13" w:rsidP="00374C13">
      <w:pPr>
        <w:pStyle w:val="SingleTxtGR"/>
      </w:pPr>
      <w:r w:rsidRPr="00374C13">
        <w:t>1.</w:t>
      </w:r>
      <w:r w:rsidRPr="00374C13">
        <w:tab/>
        <w:t>Настоящее замечание общего порядка заменяет замечание общего поря</w:t>
      </w:r>
      <w:r w:rsidRPr="00374C13">
        <w:t>д</w:t>
      </w:r>
      <w:r w:rsidRPr="00374C13">
        <w:t>ка №</w:t>
      </w:r>
      <w:r w:rsidR="00E74925">
        <w:t xml:space="preserve"> </w:t>
      </w:r>
      <w:r w:rsidRPr="00374C13">
        <w:t>10 (девятнадцатая сессия).</w:t>
      </w:r>
    </w:p>
    <w:p w:rsidR="00374C13" w:rsidRPr="00374C13" w:rsidRDefault="00374C13" w:rsidP="00374C13">
      <w:pPr>
        <w:pStyle w:val="SingleTxtGR"/>
      </w:pPr>
      <w:r w:rsidRPr="00374C13">
        <w:t>2.</w:t>
      </w:r>
      <w:r w:rsidRPr="00374C13">
        <w:tab/>
        <w:t>Свобода мнений и свобода их выражения являются неотъемлемыми усл</w:t>
      </w:r>
      <w:r w:rsidRPr="00374C13">
        <w:t>о</w:t>
      </w:r>
      <w:r w:rsidRPr="00374C13">
        <w:t>виями всестороннего развития личности. Они имеют ключевое значение для любого общества</w:t>
      </w:r>
      <w:r w:rsidRPr="00B74F97">
        <w:rPr>
          <w:sz w:val="18"/>
          <w:szCs w:val="18"/>
          <w:vertAlign w:val="superscript"/>
        </w:rPr>
        <w:footnoteReference w:id="1"/>
      </w:r>
      <w:r w:rsidRPr="00374C13">
        <w:t>. Они являются основополагающими элементами любого св</w:t>
      </w:r>
      <w:r w:rsidRPr="00374C13">
        <w:t>о</w:t>
      </w:r>
      <w:r w:rsidRPr="00374C13">
        <w:t>бодного и демократического общества. Эти две свободы тесно взаим</w:t>
      </w:r>
      <w:r w:rsidRPr="00374C13">
        <w:t>о</w:t>
      </w:r>
      <w:r w:rsidRPr="00374C13">
        <w:t>связаны, поскольку свобода выражения мнений стимулирует обмен и формирование мнений.</w:t>
      </w:r>
    </w:p>
    <w:p w:rsidR="00374C13" w:rsidRPr="00374C13" w:rsidRDefault="00374C13" w:rsidP="00374C13">
      <w:pPr>
        <w:pStyle w:val="SingleTxtGR"/>
      </w:pPr>
      <w:r w:rsidRPr="00374C13">
        <w:t>3.</w:t>
      </w:r>
      <w:r w:rsidRPr="00374C13">
        <w:tab/>
        <w:t xml:space="preserve">Право на свободное выражения мнений является обязательным условием соблюдения принципов </w:t>
      </w:r>
      <w:r w:rsidR="00F5316F">
        <w:t>гласности</w:t>
      </w:r>
      <w:r w:rsidRPr="00374C13">
        <w:t xml:space="preserve"> и отчетности, которые, в свою очередь, кра</w:t>
      </w:r>
      <w:r w:rsidRPr="00374C13">
        <w:t>й</w:t>
      </w:r>
      <w:r w:rsidRPr="00374C13">
        <w:t>не необходимы для поощрени</w:t>
      </w:r>
      <w:r w:rsidR="00F5316F">
        <w:t>я</w:t>
      </w:r>
      <w:r w:rsidRPr="00374C13">
        <w:t xml:space="preserve"> и защиты прав человека. </w:t>
      </w:r>
    </w:p>
    <w:p w:rsidR="00374C13" w:rsidRPr="00374C13" w:rsidRDefault="00374C13" w:rsidP="00374C13">
      <w:pPr>
        <w:pStyle w:val="SingleTxtGR"/>
      </w:pPr>
      <w:r w:rsidRPr="00374C13">
        <w:t>4.</w:t>
      </w:r>
      <w:r w:rsidRPr="00374C13">
        <w:tab/>
        <w:t>Помимо рассматриваемой статьи</w:t>
      </w:r>
      <w:r w:rsidR="008B7FC9">
        <w:t>,</w:t>
      </w:r>
      <w:r w:rsidRPr="00374C13">
        <w:t xml:space="preserve"> гарантии свободы мнений и/или выр</w:t>
      </w:r>
      <w:r w:rsidRPr="00374C13">
        <w:t>а</w:t>
      </w:r>
      <w:r w:rsidRPr="00374C13">
        <w:t>жения мнений содержатся также в статьях</w:t>
      </w:r>
      <w:r w:rsidR="007B44C9">
        <w:t xml:space="preserve"> </w:t>
      </w:r>
      <w:r w:rsidRPr="00374C13">
        <w:t xml:space="preserve">18, 17, 25 и 27. Свобода мнений и их выражения лежит в основе полного осуществления широкого круга других прав человека. Так, например, свобода выражения мнений является </w:t>
      </w:r>
      <w:r w:rsidR="00F5316F">
        <w:t>составной ч</w:t>
      </w:r>
      <w:r w:rsidR="00F5316F">
        <w:t>а</w:t>
      </w:r>
      <w:r w:rsidR="00F5316F">
        <w:t>с</w:t>
      </w:r>
      <w:r w:rsidR="008B7FC9">
        <w:t>т</w:t>
      </w:r>
      <w:r w:rsidR="00F5316F">
        <w:t>ью</w:t>
      </w:r>
      <w:r w:rsidRPr="00374C13">
        <w:t xml:space="preserve"> осуществления прав на свободу собраний и ассоциаций, а также реализ</w:t>
      </w:r>
      <w:r w:rsidRPr="00374C13">
        <w:t>а</w:t>
      </w:r>
      <w:r w:rsidRPr="00374C13">
        <w:t>ции права гол</w:t>
      </w:r>
      <w:r w:rsidRPr="00374C13">
        <w:t>о</w:t>
      </w:r>
      <w:r w:rsidRPr="00374C13">
        <w:t>са.</w:t>
      </w:r>
    </w:p>
    <w:p w:rsidR="00374C13" w:rsidRPr="00374C13" w:rsidRDefault="00374C13" w:rsidP="0010281B">
      <w:pPr>
        <w:pStyle w:val="SingleTxtGR"/>
        <w:keepLines/>
      </w:pPr>
      <w:r w:rsidRPr="00374C13">
        <w:t>5.</w:t>
      </w:r>
      <w:r w:rsidRPr="00374C13">
        <w:tab/>
        <w:t xml:space="preserve">С учетом </w:t>
      </w:r>
      <w:r w:rsidR="00F5316F">
        <w:t>специфической</w:t>
      </w:r>
      <w:r w:rsidRPr="00374C13">
        <w:t xml:space="preserve"> терминологии пункта</w:t>
      </w:r>
      <w:r w:rsidR="007B44C9">
        <w:t xml:space="preserve"> </w:t>
      </w:r>
      <w:r w:rsidRPr="00374C13">
        <w:t>1 статьи</w:t>
      </w:r>
      <w:r w:rsidR="007B44C9">
        <w:t xml:space="preserve"> </w:t>
      </w:r>
      <w:r w:rsidRPr="00374C13">
        <w:t>19, а также вза</w:t>
      </w:r>
      <w:r w:rsidRPr="00374C13">
        <w:t>и</w:t>
      </w:r>
      <w:r w:rsidRPr="00374C13">
        <w:t>мосвязи меж</w:t>
      </w:r>
      <w:r w:rsidR="00E46D20">
        <w:t>ду мнением и мыслью (статья 18)</w:t>
      </w:r>
      <w:r w:rsidRPr="00374C13">
        <w:t xml:space="preserve"> оговорка к пункту 1 была бы н</w:t>
      </w:r>
      <w:r w:rsidR="00F257EC">
        <w:t>е</w:t>
      </w:r>
      <w:r w:rsidRPr="00374C13">
        <w:t xml:space="preserve">совместима с </w:t>
      </w:r>
      <w:r w:rsidR="00F5316F">
        <w:t>предметом</w:t>
      </w:r>
      <w:r w:rsidRPr="00374C13">
        <w:t xml:space="preserve"> и целью Пакта</w:t>
      </w:r>
      <w:r w:rsidRPr="00B74F97">
        <w:rPr>
          <w:sz w:val="18"/>
          <w:szCs w:val="18"/>
          <w:vertAlign w:val="superscript"/>
        </w:rPr>
        <w:footnoteReference w:id="2"/>
      </w:r>
      <w:r w:rsidRPr="00374C13">
        <w:t xml:space="preserve">. Кроме того, хотя свобода мнений не </w:t>
      </w:r>
      <w:r w:rsidR="00B27A22">
        <w:t>числится в перечне</w:t>
      </w:r>
      <w:r w:rsidRPr="00374C13">
        <w:t xml:space="preserve"> прав, отступление от которых недопустимо согласно пол</w:t>
      </w:r>
      <w:r w:rsidRPr="00374C13">
        <w:t>о</w:t>
      </w:r>
      <w:r w:rsidRPr="00374C13">
        <w:t>жениям статьи</w:t>
      </w:r>
      <w:r w:rsidR="00A257E9">
        <w:t xml:space="preserve"> </w:t>
      </w:r>
      <w:r w:rsidRPr="00374C13">
        <w:t>4 Пакта, следует напомнить, что "в не перечисленных в пункте 2 статьи 4 положениях Пакта есть элементы, которые, по мнению Комитета, не могут быть предметом правомерных отступлений в соответствии со статьей</w:t>
      </w:r>
      <w:r w:rsidR="00A257E9">
        <w:t xml:space="preserve"> </w:t>
      </w:r>
      <w:r w:rsidRPr="00374C13">
        <w:t>4"</w:t>
      </w:r>
      <w:r w:rsidRPr="00B74F97">
        <w:rPr>
          <w:sz w:val="18"/>
          <w:szCs w:val="18"/>
          <w:vertAlign w:val="superscript"/>
        </w:rPr>
        <w:footnoteReference w:id="3"/>
      </w:r>
      <w:r w:rsidRPr="00374C13">
        <w:t>. Свобода мнений является одним из таких элементов, поскольку ни при каких обстоятельствах не может возникнуть потребность в отступлении от ее собл</w:t>
      </w:r>
      <w:r w:rsidRPr="00374C13">
        <w:t>ю</w:t>
      </w:r>
      <w:r w:rsidRPr="00374C13">
        <w:t>дения во время чре</w:t>
      </w:r>
      <w:r w:rsidRPr="00374C13">
        <w:t>з</w:t>
      </w:r>
      <w:r w:rsidRPr="00374C13">
        <w:t>вычайного положения</w:t>
      </w:r>
      <w:r w:rsidRPr="00B74F97">
        <w:rPr>
          <w:sz w:val="18"/>
          <w:szCs w:val="18"/>
          <w:vertAlign w:val="superscript"/>
        </w:rPr>
        <w:footnoteReference w:id="4"/>
      </w:r>
      <w:r w:rsidRPr="00374C13">
        <w:t xml:space="preserve">. </w:t>
      </w:r>
    </w:p>
    <w:p w:rsidR="00374C13" w:rsidRPr="00374C13" w:rsidRDefault="00374C13" w:rsidP="00374C13">
      <w:pPr>
        <w:pStyle w:val="SingleTxtGR"/>
      </w:pPr>
      <w:r w:rsidRPr="00374C13">
        <w:t>6.</w:t>
      </w:r>
      <w:r w:rsidRPr="00374C13">
        <w:tab/>
        <w:t>С учетом взаимосвязи свободы выражения мнений и других закрепле</w:t>
      </w:r>
      <w:r w:rsidRPr="00374C13">
        <w:t>н</w:t>
      </w:r>
      <w:r w:rsidRPr="00374C13">
        <w:t>ных в Пакте прав необходимо отметить, что</w:t>
      </w:r>
      <w:r w:rsidR="00C70BD3">
        <w:t>,</w:t>
      </w:r>
      <w:r w:rsidRPr="00374C13">
        <w:t xml:space="preserve"> хотя оговорки к конкретным эл</w:t>
      </w:r>
      <w:r w:rsidRPr="00374C13">
        <w:t>е</w:t>
      </w:r>
      <w:r w:rsidRPr="00374C13">
        <w:t>ментам пункта</w:t>
      </w:r>
      <w:r w:rsidR="00A257E9">
        <w:t xml:space="preserve"> </w:t>
      </w:r>
      <w:r w:rsidRPr="00374C13">
        <w:t>2 статьи</w:t>
      </w:r>
      <w:r w:rsidR="00A257E9">
        <w:t xml:space="preserve"> </w:t>
      </w:r>
      <w:r w:rsidRPr="00374C13">
        <w:t>19 приемлемы, общая оговорка в отношении прав, с</w:t>
      </w:r>
      <w:r w:rsidRPr="00374C13">
        <w:t>о</w:t>
      </w:r>
      <w:r w:rsidRPr="00374C13">
        <w:t>держащихся в пункте</w:t>
      </w:r>
      <w:r w:rsidR="00A257E9">
        <w:t xml:space="preserve"> </w:t>
      </w:r>
      <w:r w:rsidRPr="00374C13">
        <w:t xml:space="preserve">2, была бы несовместима с </w:t>
      </w:r>
      <w:r w:rsidR="00B27A22">
        <w:t>предметом</w:t>
      </w:r>
      <w:r w:rsidRPr="00374C13">
        <w:t xml:space="preserve"> и целью Пакта</w:t>
      </w:r>
      <w:r w:rsidRPr="00374C13">
        <w:rPr>
          <w:vertAlign w:val="superscript"/>
        </w:rPr>
        <w:footnoteReference w:id="5"/>
      </w:r>
      <w:r w:rsidRPr="00374C13">
        <w:t xml:space="preserve">. </w:t>
      </w:r>
    </w:p>
    <w:p w:rsidR="00374C13" w:rsidRPr="00374C13" w:rsidRDefault="00374C13" w:rsidP="00374C13">
      <w:pPr>
        <w:pStyle w:val="SingleTxtGR"/>
      </w:pPr>
      <w:r w:rsidRPr="00374C13">
        <w:t>7.</w:t>
      </w:r>
      <w:r w:rsidRPr="00374C13">
        <w:tab/>
        <w:t>Обязательство соблюдать свободу мнений и их выражения является юр</w:t>
      </w:r>
      <w:r w:rsidRPr="00374C13">
        <w:t>и</w:t>
      </w:r>
      <w:r w:rsidRPr="00374C13">
        <w:t xml:space="preserve">дически обязательным для каждого </w:t>
      </w:r>
      <w:proofErr w:type="spellStart"/>
      <w:r w:rsidRPr="00374C13">
        <w:t>государства</w:t>
      </w:r>
      <w:r w:rsidR="00822453">
        <w:t>−</w:t>
      </w:r>
      <w:r w:rsidRPr="00374C13">
        <w:t>участника</w:t>
      </w:r>
      <w:proofErr w:type="spellEnd"/>
      <w:r w:rsidRPr="00374C13">
        <w:t xml:space="preserve"> в целом. Действия всех ветвей государственного управления (испо</w:t>
      </w:r>
      <w:r w:rsidRPr="00374C13">
        <w:t>л</w:t>
      </w:r>
      <w:r w:rsidRPr="00374C13">
        <w:t>нительной, законодательной и судебной) и других органов государственной или правительственной власти любого уровня (национального, областного или местного) могут повлечь за с</w:t>
      </w:r>
      <w:r w:rsidRPr="00374C13">
        <w:t>о</w:t>
      </w:r>
      <w:r w:rsidRPr="00374C13">
        <w:t xml:space="preserve">бой ответственность </w:t>
      </w:r>
      <w:proofErr w:type="spellStart"/>
      <w:r w:rsidRPr="00374C13">
        <w:t>государства</w:t>
      </w:r>
      <w:r w:rsidR="00822453">
        <w:t>−</w:t>
      </w:r>
      <w:r w:rsidRPr="00374C13">
        <w:t>участника</w:t>
      </w:r>
      <w:proofErr w:type="spellEnd"/>
      <w:r w:rsidRPr="00B74F97">
        <w:rPr>
          <w:sz w:val="18"/>
          <w:szCs w:val="18"/>
          <w:vertAlign w:val="superscript"/>
        </w:rPr>
        <w:footnoteReference w:id="6"/>
      </w:r>
      <w:r w:rsidRPr="00374C13">
        <w:t>. В некоторых обстоятельствах п</w:t>
      </w:r>
      <w:r w:rsidRPr="00374C13">
        <w:t>о</w:t>
      </w:r>
      <w:r w:rsidRPr="00374C13">
        <w:t xml:space="preserve">добная ответственность может наступать для </w:t>
      </w:r>
      <w:proofErr w:type="spellStart"/>
      <w:r w:rsidRPr="00374C13">
        <w:t>государства</w:t>
      </w:r>
      <w:r w:rsidR="00822453">
        <w:t>−</w:t>
      </w:r>
      <w:r w:rsidRPr="00374C13">
        <w:t>участника</w:t>
      </w:r>
      <w:proofErr w:type="spellEnd"/>
      <w:r w:rsidRPr="00374C13">
        <w:t xml:space="preserve"> также и в отношении действий полугосударственных образований</w:t>
      </w:r>
      <w:r w:rsidRPr="00B74F97">
        <w:rPr>
          <w:sz w:val="18"/>
          <w:szCs w:val="18"/>
          <w:vertAlign w:val="superscript"/>
        </w:rPr>
        <w:footnoteReference w:id="7"/>
      </w:r>
      <w:r w:rsidRPr="00374C13">
        <w:t xml:space="preserve">. </w:t>
      </w:r>
      <w:proofErr w:type="spellStart"/>
      <w:r w:rsidRPr="00374C13">
        <w:t>Государс</w:t>
      </w:r>
      <w:r w:rsidRPr="00374C13">
        <w:t>т</w:t>
      </w:r>
      <w:r w:rsidRPr="00374C13">
        <w:t>ва</w:t>
      </w:r>
      <w:r w:rsidR="00822453">
        <w:t>−</w:t>
      </w:r>
      <w:r w:rsidRPr="00374C13">
        <w:t>участники</w:t>
      </w:r>
      <w:proofErr w:type="spellEnd"/>
      <w:r w:rsidRPr="00374C13">
        <w:t xml:space="preserve"> обязаны также защищать людей от действий частных лиц или н</w:t>
      </w:r>
      <w:r w:rsidRPr="00374C13">
        <w:t>е</w:t>
      </w:r>
      <w:r w:rsidRPr="00374C13">
        <w:t>государственных образований, которые препятствуют пользованию свободой мнений и правом на их свободное выражение в той мере, в какой эти пред</w:t>
      </w:r>
      <w:r w:rsidRPr="00374C13">
        <w:t>у</w:t>
      </w:r>
      <w:r w:rsidRPr="00374C13">
        <w:t>смотренные Пактом права могут применяться в отношениях между частными лицами или негосударственными образованиями</w:t>
      </w:r>
      <w:r w:rsidRPr="00B74F97">
        <w:rPr>
          <w:sz w:val="18"/>
          <w:szCs w:val="18"/>
          <w:vertAlign w:val="superscript"/>
        </w:rPr>
        <w:footnoteReference w:id="8"/>
      </w:r>
      <w:r w:rsidRPr="00374C13">
        <w:t xml:space="preserve">. </w:t>
      </w:r>
    </w:p>
    <w:p w:rsidR="00374C13" w:rsidRPr="00374C13" w:rsidRDefault="00374C13" w:rsidP="00374C13">
      <w:pPr>
        <w:pStyle w:val="SingleTxtGR"/>
      </w:pPr>
      <w:r w:rsidRPr="00374C13">
        <w:t>8.</w:t>
      </w:r>
      <w:r w:rsidRPr="00374C13">
        <w:tab/>
      </w:r>
      <w:proofErr w:type="spellStart"/>
      <w:r w:rsidRPr="00374C13">
        <w:t>Государства</w:t>
      </w:r>
      <w:r w:rsidR="00822453">
        <w:t>−</w:t>
      </w:r>
      <w:r w:rsidRPr="00374C13">
        <w:t>участники</w:t>
      </w:r>
      <w:proofErr w:type="spellEnd"/>
      <w:r w:rsidRPr="00374C13">
        <w:t xml:space="preserve"> обязаны обеспечивать включение в свое внутре</w:t>
      </w:r>
      <w:r w:rsidRPr="00374C13">
        <w:t>н</w:t>
      </w:r>
      <w:r w:rsidRPr="00374C13">
        <w:t>нее законодательство прав, содержащихся в статье 19 Пакта, в соответствии с руководящими указаниями, предоставленными Комитетом в своем замечании общего порядка</w:t>
      </w:r>
      <w:r w:rsidR="00B74F97">
        <w:t xml:space="preserve"> </w:t>
      </w:r>
      <w:r w:rsidRPr="00374C13">
        <w:t>№</w:t>
      </w:r>
      <w:r w:rsidR="00B74F97">
        <w:t xml:space="preserve"> </w:t>
      </w:r>
      <w:r w:rsidRPr="00374C13">
        <w:t xml:space="preserve">31 о </w:t>
      </w:r>
      <w:r w:rsidRPr="00374C13">
        <w:rPr>
          <w:bCs/>
        </w:rPr>
        <w:t>характере общего юридического обязательства, нал</w:t>
      </w:r>
      <w:r w:rsidRPr="00374C13">
        <w:rPr>
          <w:bCs/>
        </w:rPr>
        <w:t>а</w:t>
      </w:r>
      <w:r w:rsidRPr="00374C13">
        <w:rPr>
          <w:bCs/>
        </w:rPr>
        <w:t>гаемого на государства</w:t>
      </w:r>
      <w:r w:rsidR="00374C39">
        <w:rPr>
          <w:bCs/>
        </w:rPr>
        <w:t xml:space="preserve"> −</w:t>
      </w:r>
      <w:r w:rsidRPr="00374C13">
        <w:rPr>
          <w:bCs/>
        </w:rPr>
        <w:t xml:space="preserve"> участники Пакта. Следует напомнить, что </w:t>
      </w:r>
      <w:proofErr w:type="spellStart"/>
      <w:r w:rsidRPr="00374C13">
        <w:rPr>
          <w:bCs/>
        </w:rPr>
        <w:t>государс</w:t>
      </w:r>
      <w:r w:rsidRPr="00374C13">
        <w:rPr>
          <w:bCs/>
        </w:rPr>
        <w:t>т</w:t>
      </w:r>
      <w:r w:rsidRPr="00374C13">
        <w:rPr>
          <w:bCs/>
        </w:rPr>
        <w:t>ва</w:t>
      </w:r>
      <w:r w:rsidR="00822453">
        <w:rPr>
          <w:bCs/>
        </w:rPr>
        <w:t>−</w:t>
      </w:r>
      <w:r w:rsidRPr="00374C13">
        <w:rPr>
          <w:bCs/>
        </w:rPr>
        <w:t>участники</w:t>
      </w:r>
      <w:proofErr w:type="spellEnd"/>
      <w:r w:rsidRPr="00374C13">
        <w:rPr>
          <w:bCs/>
        </w:rPr>
        <w:t xml:space="preserve"> обязаны предоставлять Комитету в соответствии с докладами, представленными согласно статье</w:t>
      </w:r>
      <w:r w:rsidR="00374C39">
        <w:rPr>
          <w:bCs/>
        </w:rPr>
        <w:t xml:space="preserve"> </w:t>
      </w:r>
      <w:r w:rsidRPr="00374C13">
        <w:rPr>
          <w:bCs/>
        </w:rPr>
        <w:t xml:space="preserve">40, информацию о соответствующих </w:t>
      </w:r>
      <w:r w:rsidRPr="00374C13">
        <w:t>вну</w:t>
      </w:r>
      <w:r w:rsidRPr="00374C13">
        <w:t>т</w:t>
      </w:r>
      <w:r w:rsidRPr="00374C13">
        <w:t>ренних правовых нормах, видах административн</w:t>
      </w:r>
      <w:r w:rsidR="00B27A22">
        <w:t>ой</w:t>
      </w:r>
      <w:r w:rsidRPr="00374C13">
        <w:t xml:space="preserve"> практик</w:t>
      </w:r>
      <w:r w:rsidR="00B27A22">
        <w:t>и</w:t>
      </w:r>
      <w:r w:rsidRPr="00374C13">
        <w:t xml:space="preserve"> и судебных реш</w:t>
      </w:r>
      <w:r w:rsidRPr="00374C13">
        <w:t>е</w:t>
      </w:r>
      <w:r w:rsidRPr="00374C13">
        <w:t>ниях, а также о соответствующ</w:t>
      </w:r>
      <w:r w:rsidR="00B27A22">
        <w:t>ей</w:t>
      </w:r>
      <w:r w:rsidRPr="00374C13">
        <w:t xml:space="preserve"> политическ</w:t>
      </w:r>
      <w:r w:rsidR="00B27A22">
        <w:t>ой</w:t>
      </w:r>
      <w:r w:rsidRPr="00374C13">
        <w:t xml:space="preserve"> практик</w:t>
      </w:r>
      <w:r w:rsidR="00B27A22">
        <w:t>е</w:t>
      </w:r>
      <w:r w:rsidRPr="00374C13">
        <w:t xml:space="preserve"> и друг</w:t>
      </w:r>
      <w:r w:rsidR="00FD07CD">
        <w:t>ой</w:t>
      </w:r>
      <w:r w:rsidRPr="00374C13">
        <w:t xml:space="preserve"> секторал</w:t>
      </w:r>
      <w:r w:rsidRPr="00374C13">
        <w:t>ь</w:t>
      </w:r>
      <w:r w:rsidRPr="00374C13">
        <w:t>н</w:t>
      </w:r>
      <w:r w:rsidR="00FD07CD">
        <w:t>ой</w:t>
      </w:r>
      <w:r w:rsidRPr="00374C13">
        <w:t xml:space="preserve"> практик</w:t>
      </w:r>
      <w:r w:rsidR="00FD07CD">
        <w:t>и</w:t>
      </w:r>
      <w:r w:rsidRPr="00374C13">
        <w:t>, касающ</w:t>
      </w:r>
      <w:r w:rsidR="00FD07CD">
        <w:t>ей</w:t>
      </w:r>
      <w:r w:rsidR="00A257E9">
        <w:t>ся</w:t>
      </w:r>
      <w:r w:rsidRPr="00374C13">
        <w:t xml:space="preserve"> прав, защищенных статьей 19, с учетом вопросов, обсуждаемых в настоящем замечании общего порядка. Они также обязаны вкл</w:t>
      </w:r>
      <w:r w:rsidRPr="00374C13">
        <w:t>ю</w:t>
      </w:r>
      <w:r w:rsidRPr="00374C13">
        <w:t xml:space="preserve">чать информацию об имеющихся средствах правовой защиты для случаев, когда эти права нарушаются. </w:t>
      </w:r>
    </w:p>
    <w:p w:rsidR="00374C13" w:rsidRPr="00374C13" w:rsidRDefault="00C543FE" w:rsidP="00C543FE">
      <w:pPr>
        <w:pStyle w:val="H1GR"/>
      </w:pPr>
      <w:r>
        <w:rPr>
          <w:lang w:val="en-US"/>
        </w:rPr>
        <w:tab/>
      </w:r>
      <w:r>
        <w:rPr>
          <w:lang w:val="en-US"/>
        </w:rPr>
        <w:tab/>
      </w:r>
      <w:r w:rsidR="00374C13" w:rsidRPr="00374C13">
        <w:t>Свобода мнений</w:t>
      </w:r>
    </w:p>
    <w:p w:rsidR="00374C13" w:rsidRPr="00374C13" w:rsidRDefault="00374C13" w:rsidP="00374C13">
      <w:pPr>
        <w:pStyle w:val="SingleTxtGR"/>
      </w:pPr>
      <w:r w:rsidRPr="00374C13">
        <w:t>9.</w:t>
      </w:r>
      <w:r w:rsidRPr="00374C13">
        <w:tab/>
        <w:t>Пункт 1 статьи 19 требует защищать право беспрепятственно придерж</w:t>
      </w:r>
      <w:r w:rsidRPr="00374C13">
        <w:t>и</w:t>
      </w:r>
      <w:r w:rsidRPr="00374C13">
        <w:t>ваться своих мнений. В</w:t>
      </w:r>
      <w:r w:rsidR="00CA6F06">
        <w:t xml:space="preserve"> </w:t>
      </w:r>
      <w:r w:rsidRPr="00374C13">
        <w:t>отношении этого права Пакт не допускает каких-либо исключений или ограничений. Свобода придерживаться своих мнений включ</w:t>
      </w:r>
      <w:r w:rsidRPr="00374C13">
        <w:t>а</w:t>
      </w:r>
      <w:r w:rsidRPr="00374C13">
        <w:t>ет в себя право поменять свое мнение в любое время и по любым причинам, е</w:t>
      </w:r>
      <w:r w:rsidRPr="00374C13">
        <w:t>с</w:t>
      </w:r>
      <w:r w:rsidRPr="00374C13">
        <w:t xml:space="preserve">ли </w:t>
      </w:r>
      <w:r w:rsidR="003F330D">
        <w:t xml:space="preserve">какое-либо </w:t>
      </w:r>
      <w:r w:rsidRPr="00374C13">
        <w:t xml:space="preserve">лицо при этом делает свободный выбор. Ни одно лицо не может подвергаться ущемлению предусмотренных Пактом прав </w:t>
      </w:r>
      <w:r w:rsidR="003F330D">
        <w:t>на основе</w:t>
      </w:r>
      <w:r w:rsidRPr="00374C13">
        <w:t xml:space="preserve"> своих </w:t>
      </w:r>
      <w:r w:rsidR="003F330D">
        <w:t>де</w:t>
      </w:r>
      <w:r w:rsidR="003F330D">
        <w:t>й</w:t>
      </w:r>
      <w:r w:rsidR="003F330D">
        <w:t>ствительных, подразумеваемых или</w:t>
      </w:r>
      <w:r w:rsidRPr="00374C13">
        <w:t xml:space="preserve"> предполагаемых мнений. Защищены мн</w:t>
      </w:r>
      <w:r w:rsidRPr="00374C13">
        <w:t>е</w:t>
      </w:r>
      <w:r w:rsidRPr="00374C13">
        <w:t>ния по любым вопросам, в том числе по политическим, научным, историч</w:t>
      </w:r>
      <w:r w:rsidRPr="00374C13">
        <w:t>е</w:t>
      </w:r>
      <w:r w:rsidRPr="00374C13">
        <w:t>ским, моральным или религиозным вопросам. Криминализация существования у лица своего собственного мнения не совместима с пунктом 1</w:t>
      </w:r>
      <w:r w:rsidRPr="00374C39">
        <w:rPr>
          <w:sz w:val="18"/>
          <w:szCs w:val="18"/>
          <w:vertAlign w:val="superscript"/>
        </w:rPr>
        <w:footnoteReference w:id="9"/>
      </w:r>
      <w:r w:rsidRPr="00374C13">
        <w:t>. Преследов</w:t>
      </w:r>
      <w:r w:rsidRPr="00374C13">
        <w:t>а</w:t>
      </w:r>
      <w:r w:rsidRPr="00374C13">
        <w:t>ние, запугивание или стигматизация лица, в том числе арест, содержание под стражей, судебное разбирательство или лишение свободы за мнения, которых оно может придерживаться, является нарушением пун</w:t>
      </w:r>
      <w:r w:rsidRPr="00374C13">
        <w:t>к</w:t>
      </w:r>
      <w:r w:rsidRPr="00374C13">
        <w:t>та 1 статьи 19</w:t>
      </w:r>
      <w:r w:rsidRPr="00CA6F06">
        <w:rPr>
          <w:sz w:val="18"/>
          <w:szCs w:val="18"/>
          <w:vertAlign w:val="superscript"/>
        </w:rPr>
        <w:footnoteReference w:id="10"/>
      </w:r>
      <w:r w:rsidRPr="00374C13">
        <w:t>.</w:t>
      </w:r>
    </w:p>
    <w:p w:rsidR="00374C13" w:rsidRDefault="00374C13" w:rsidP="00374C13">
      <w:pPr>
        <w:pStyle w:val="SingleTxtGR"/>
      </w:pPr>
      <w:r w:rsidRPr="00374C13">
        <w:t>10.</w:t>
      </w:r>
      <w:r w:rsidRPr="00374C13">
        <w:tab/>
        <w:t>Все формы принуждения лиц к тому, чтобы они придерживались или не придерживались какого-либо мнения</w:t>
      </w:r>
      <w:r w:rsidR="00271934">
        <w:t>,</w:t>
      </w:r>
      <w:r w:rsidRPr="00374C13">
        <w:t xml:space="preserve"> запрещены</w:t>
      </w:r>
      <w:r w:rsidRPr="00374C39">
        <w:rPr>
          <w:sz w:val="18"/>
          <w:szCs w:val="18"/>
          <w:vertAlign w:val="superscript"/>
        </w:rPr>
        <w:footnoteReference w:id="11"/>
      </w:r>
      <w:r w:rsidRPr="00374C13">
        <w:t>. Право на свободное выр</w:t>
      </w:r>
      <w:r w:rsidRPr="00374C13">
        <w:t>а</w:t>
      </w:r>
      <w:r w:rsidRPr="00374C13">
        <w:t>жение мнений непременно включает в себя свободу не выражать свое мнение.</w:t>
      </w:r>
    </w:p>
    <w:p w:rsidR="008F3A81" w:rsidRPr="007354E3" w:rsidRDefault="008F3A81" w:rsidP="008F3A81">
      <w:pPr>
        <w:pStyle w:val="H1GR"/>
      </w:pPr>
      <w:r>
        <w:rPr>
          <w:lang w:val="en-US"/>
        </w:rPr>
        <w:tab/>
      </w:r>
      <w:r>
        <w:rPr>
          <w:lang w:val="en-US"/>
        </w:rPr>
        <w:tab/>
      </w:r>
      <w:r w:rsidRPr="007354E3">
        <w:t>Свобода выражения мнений</w:t>
      </w:r>
    </w:p>
    <w:p w:rsidR="008F3A81" w:rsidRPr="007354E3" w:rsidRDefault="008F3A81" w:rsidP="008F3A81">
      <w:pPr>
        <w:pStyle w:val="SingleTxtGR"/>
      </w:pPr>
      <w:r w:rsidRPr="007354E3">
        <w:t>11.</w:t>
      </w:r>
      <w:r w:rsidRPr="007354E3">
        <w:tab/>
        <w:t>В соответствии с пунктом</w:t>
      </w:r>
      <w:r>
        <w:t xml:space="preserve"> </w:t>
      </w:r>
      <w:r w:rsidRPr="007354E3">
        <w:t xml:space="preserve">2 </w:t>
      </w:r>
      <w:proofErr w:type="spellStart"/>
      <w:r w:rsidRPr="007354E3">
        <w:t>государства</w:t>
      </w:r>
      <w:r w:rsidR="00822453">
        <w:t>−</w:t>
      </w:r>
      <w:r w:rsidRPr="007354E3">
        <w:t>участники</w:t>
      </w:r>
      <w:proofErr w:type="spellEnd"/>
      <w:r w:rsidRPr="007354E3">
        <w:t xml:space="preserve"> обязаны гарантир</w:t>
      </w:r>
      <w:r w:rsidRPr="007354E3">
        <w:t>о</w:t>
      </w:r>
      <w:r w:rsidRPr="007354E3">
        <w:t>вать право на свободу выражения мнений, в том числе право искать, получать и распространять всякого рода информацию и идеи независимо от государстве</w:t>
      </w:r>
      <w:r w:rsidRPr="007354E3">
        <w:t>н</w:t>
      </w:r>
      <w:r w:rsidRPr="007354E3">
        <w:t>ных границ. Это право включает в себя передачу и получение сообщений, с</w:t>
      </w:r>
      <w:r w:rsidRPr="007354E3">
        <w:t>о</w:t>
      </w:r>
      <w:r w:rsidRPr="007354E3">
        <w:t>держащих всякого рода идеи и мнения, которые могут быть переданы другим лицам в соответствии с положениями пункта 3 статьи 19 и статьи 20</w:t>
      </w:r>
      <w:r w:rsidRPr="007354E3">
        <w:rPr>
          <w:rStyle w:val="FootnoteReference"/>
        </w:rPr>
        <w:footnoteReference w:id="12"/>
      </w:r>
      <w:r w:rsidRPr="007354E3">
        <w:t>. К ним относятся политические выступления</w:t>
      </w:r>
      <w:r w:rsidRPr="007354E3">
        <w:rPr>
          <w:rStyle w:val="FootnoteReference"/>
        </w:rPr>
        <w:footnoteReference w:id="13"/>
      </w:r>
      <w:r w:rsidRPr="007354E3">
        <w:t>, комментарии на личные</w:t>
      </w:r>
      <w:r w:rsidRPr="007354E3">
        <w:rPr>
          <w:rStyle w:val="FootnoteReference"/>
        </w:rPr>
        <w:footnoteReference w:id="14"/>
      </w:r>
      <w:r w:rsidRPr="007354E3">
        <w:t xml:space="preserve"> или полит</w:t>
      </w:r>
      <w:r w:rsidRPr="007354E3">
        <w:t>и</w:t>
      </w:r>
      <w:r w:rsidRPr="007354E3">
        <w:t>ческие</w:t>
      </w:r>
      <w:r w:rsidRPr="007354E3">
        <w:rPr>
          <w:rStyle w:val="FootnoteReference"/>
        </w:rPr>
        <w:footnoteReference w:id="15"/>
      </w:r>
      <w:r w:rsidRPr="007354E3">
        <w:t xml:space="preserve"> темы, сбор сведений</w:t>
      </w:r>
      <w:r w:rsidRPr="007354E3">
        <w:rPr>
          <w:rStyle w:val="FootnoteReference"/>
        </w:rPr>
        <w:footnoteReference w:id="16"/>
      </w:r>
      <w:r w:rsidRPr="007354E3">
        <w:t>, обсуждение вопросов прав человека</w:t>
      </w:r>
      <w:r w:rsidRPr="007354E3">
        <w:rPr>
          <w:rStyle w:val="FootnoteReference"/>
        </w:rPr>
        <w:footnoteReference w:id="17"/>
      </w:r>
      <w:r w:rsidRPr="007354E3">
        <w:t>, журнал</w:t>
      </w:r>
      <w:r w:rsidRPr="007354E3">
        <w:t>и</w:t>
      </w:r>
      <w:r w:rsidRPr="007354E3">
        <w:t>стская деятельность</w:t>
      </w:r>
      <w:r w:rsidRPr="007354E3">
        <w:rPr>
          <w:rStyle w:val="FootnoteReference"/>
        </w:rPr>
        <w:footnoteReference w:id="18"/>
      </w:r>
      <w:r w:rsidRPr="007354E3">
        <w:t>, культурное и художественное выражение</w:t>
      </w:r>
      <w:r w:rsidRPr="007354E3">
        <w:rPr>
          <w:rStyle w:val="FootnoteReference"/>
        </w:rPr>
        <w:footnoteReference w:id="19"/>
      </w:r>
      <w:r w:rsidRPr="007354E3">
        <w:t>, преподав</w:t>
      </w:r>
      <w:r w:rsidRPr="007354E3">
        <w:t>а</w:t>
      </w:r>
      <w:r w:rsidRPr="007354E3">
        <w:t>ние</w:t>
      </w:r>
      <w:r w:rsidRPr="007354E3">
        <w:rPr>
          <w:rStyle w:val="FootnoteReference"/>
        </w:rPr>
        <w:footnoteReference w:id="20"/>
      </w:r>
      <w:r w:rsidRPr="007354E3">
        <w:t>, а также религиозные выступления</w:t>
      </w:r>
      <w:r w:rsidRPr="007354E3">
        <w:rPr>
          <w:rStyle w:val="FootnoteReference"/>
        </w:rPr>
        <w:footnoteReference w:id="21"/>
      </w:r>
      <w:r w:rsidRPr="007354E3">
        <w:t>. К ним также может относиться ко</w:t>
      </w:r>
      <w:r w:rsidRPr="007354E3">
        <w:t>м</w:t>
      </w:r>
      <w:r w:rsidRPr="007354E3">
        <w:t>мерческая реклама. В сферу применения пункта 2 включена даже такая форма выражения мнений, которая может рассматриваться как глубоко оскорбител</w:t>
      </w:r>
      <w:r w:rsidRPr="007354E3">
        <w:t>ь</w:t>
      </w:r>
      <w:r w:rsidRPr="007354E3">
        <w:t>ная</w:t>
      </w:r>
      <w:r w:rsidRPr="007354E3">
        <w:rPr>
          <w:rStyle w:val="FootnoteReference"/>
        </w:rPr>
        <w:footnoteReference w:id="22"/>
      </w:r>
      <w:r w:rsidRPr="007354E3">
        <w:t>, но при этом ее использование может подпадать под ограничения в соо</w:t>
      </w:r>
      <w:r w:rsidRPr="007354E3">
        <w:t>т</w:t>
      </w:r>
      <w:r w:rsidRPr="007354E3">
        <w:t xml:space="preserve">ветствии с положениями пункта 3 статьи 19 и статьи 20. </w:t>
      </w:r>
    </w:p>
    <w:p w:rsidR="008F3A81" w:rsidRPr="007354E3" w:rsidRDefault="008F3A81" w:rsidP="008F3A81">
      <w:pPr>
        <w:pStyle w:val="SingleTxtGR"/>
      </w:pPr>
      <w:r w:rsidRPr="007354E3">
        <w:t>12.</w:t>
      </w:r>
      <w:r w:rsidRPr="007354E3">
        <w:tab/>
        <w:t>Пункт</w:t>
      </w:r>
      <w:r>
        <w:t xml:space="preserve"> </w:t>
      </w:r>
      <w:r w:rsidRPr="007354E3">
        <w:t>2 защищает все формы выражения и способы распространения мнений. К таким формам относятся устная и письменная речь, язык жестов, а также такие средства невербальной коммуникации</w:t>
      </w:r>
      <w:r>
        <w:t>,</w:t>
      </w:r>
      <w:r w:rsidRPr="007354E3">
        <w:t xml:space="preserve"> как изображения и предм</w:t>
      </w:r>
      <w:r w:rsidRPr="007354E3">
        <w:t>е</w:t>
      </w:r>
      <w:r w:rsidRPr="007354E3">
        <w:t>ты искусства</w:t>
      </w:r>
      <w:r w:rsidRPr="007354E3">
        <w:rPr>
          <w:rStyle w:val="FootnoteReference"/>
        </w:rPr>
        <w:footnoteReference w:id="23"/>
      </w:r>
      <w:r w:rsidRPr="007354E3">
        <w:t>. К способам выражения относятся книги, газеты</w:t>
      </w:r>
      <w:r w:rsidRPr="007354E3">
        <w:rPr>
          <w:rStyle w:val="FootnoteReference"/>
        </w:rPr>
        <w:footnoteReference w:id="24"/>
      </w:r>
      <w:r w:rsidRPr="007354E3">
        <w:t>, брошюры</w:t>
      </w:r>
      <w:r w:rsidRPr="007354E3">
        <w:rPr>
          <w:rStyle w:val="FootnoteReference"/>
        </w:rPr>
        <w:footnoteReference w:id="25"/>
      </w:r>
      <w:r w:rsidRPr="007354E3">
        <w:t>, афиши, баннеры</w:t>
      </w:r>
      <w:r w:rsidRPr="007354E3">
        <w:rPr>
          <w:rStyle w:val="FootnoteReference"/>
        </w:rPr>
        <w:footnoteReference w:id="26"/>
      </w:r>
      <w:r w:rsidRPr="007354E3">
        <w:t>, форма одежды и материалы, не запрещенные законом</w:t>
      </w:r>
      <w:r w:rsidRPr="007354E3">
        <w:rPr>
          <w:rStyle w:val="FootnoteReference"/>
        </w:rPr>
        <w:footnoteReference w:id="27"/>
      </w:r>
      <w:r w:rsidRPr="007354E3">
        <w:t>. К</w:t>
      </w:r>
      <w:r w:rsidR="00F257EC">
        <w:t> </w:t>
      </w:r>
      <w:r w:rsidRPr="007354E3">
        <w:t xml:space="preserve">ним относятся все виды аудиовизуальных, электронных и основанных на </w:t>
      </w:r>
      <w:proofErr w:type="spellStart"/>
      <w:r>
        <w:t>И</w:t>
      </w:r>
      <w:r w:rsidRPr="007354E3">
        <w:t>н</w:t>
      </w:r>
      <w:r w:rsidRPr="007354E3">
        <w:t>тернет-технологиях</w:t>
      </w:r>
      <w:proofErr w:type="spellEnd"/>
      <w:r w:rsidRPr="007354E3">
        <w:t xml:space="preserve"> средств выражения. </w:t>
      </w:r>
    </w:p>
    <w:p w:rsidR="008F3A81" w:rsidRPr="007354E3" w:rsidRDefault="008F3A81" w:rsidP="008F3A81">
      <w:pPr>
        <w:pStyle w:val="H1GR"/>
      </w:pPr>
      <w:r w:rsidRPr="00147EA7">
        <w:tab/>
      </w:r>
      <w:r w:rsidRPr="00147EA7">
        <w:tab/>
      </w:r>
      <w:r w:rsidRPr="007354E3">
        <w:t>Свобода выражения мнений и средства массовой информации</w:t>
      </w:r>
    </w:p>
    <w:p w:rsidR="008F3A81" w:rsidRPr="007354E3" w:rsidRDefault="008F3A81" w:rsidP="008F3A81">
      <w:pPr>
        <w:pStyle w:val="SingleTxtGR"/>
      </w:pPr>
      <w:r w:rsidRPr="007354E3">
        <w:t>13.</w:t>
      </w:r>
      <w:r w:rsidRPr="007354E3">
        <w:tab/>
        <w:t>Свобод</w:t>
      </w:r>
      <w:r>
        <w:t>ная</w:t>
      </w:r>
      <w:r w:rsidRPr="007354E3">
        <w:t>, не подлежащ</w:t>
      </w:r>
      <w:r>
        <w:t>ая</w:t>
      </w:r>
      <w:r w:rsidRPr="007354E3">
        <w:t xml:space="preserve"> цензуре и ограничениям</w:t>
      </w:r>
      <w:r>
        <w:t xml:space="preserve"> пресса</w:t>
      </w:r>
      <w:r w:rsidRPr="007354E3">
        <w:t>, или други</w:t>
      </w:r>
      <w:r>
        <w:t>е</w:t>
      </w:r>
      <w:r w:rsidRPr="007354E3">
        <w:t xml:space="preserve"> средств</w:t>
      </w:r>
      <w:r>
        <w:t>а</w:t>
      </w:r>
      <w:r w:rsidRPr="007354E3">
        <w:t xml:space="preserve"> информации в любом обществе явля</w:t>
      </w:r>
      <w:r>
        <w:t>ю</w:t>
      </w:r>
      <w:r w:rsidRPr="007354E3">
        <w:t xml:space="preserve">тся </w:t>
      </w:r>
      <w:r>
        <w:t>важным</w:t>
      </w:r>
      <w:r w:rsidRPr="007354E3">
        <w:t xml:space="preserve"> элементом обесп</w:t>
      </w:r>
      <w:r w:rsidRPr="007354E3">
        <w:t>е</w:t>
      </w:r>
      <w:r w:rsidRPr="007354E3">
        <w:t>чения свободы мнений и их выражения, а также реализации других предусмо</w:t>
      </w:r>
      <w:r w:rsidRPr="007354E3">
        <w:t>т</w:t>
      </w:r>
      <w:r w:rsidRPr="007354E3">
        <w:t>ренных Пактом прав. Она является одним из краеугольных камней демократ</w:t>
      </w:r>
      <w:r w:rsidRPr="007354E3">
        <w:t>и</w:t>
      </w:r>
      <w:r w:rsidRPr="007354E3">
        <w:t>ческого общества</w:t>
      </w:r>
      <w:r w:rsidRPr="007354E3">
        <w:rPr>
          <w:rStyle w:val="FootnoteReference"/>
        </w:rPr>
        <w:footnoteReference w:id="28"/>
      </w:r>
      <w:r w:rsidRPr="007354E3">
        <w:t>. В Пакте закреплено право, в соответствии с которым сре</w:t>
      </w:r>
      <w:r w:rsidRPr="007354E3">
        <w:t>д</w:t>
      </w:r>
      <w:r w:rsidRPr="007354E3">
        <w:t>ства массовой информации могут получать сведения, на которые они опираю</w:t>
      </w:r>
      <w:r w:rsidRPr="007354E3">
        <w:t>т</w:t>
      </w:r>
      <w:r w:rsidRPr="007354E3">
        <w:t>ся при выполнении своих функций</w:t>
      </w:r>
      <w:r w:rsidRPr="007354E3">
        <w:rPr>
          <w:rStyle w:val="FootnoteReference"/>
        </w:rPr>
        <w:footnoteReference w:id="29"/>
      </w:r>
      <w:r w:rsidRPr="007354E3">
        <w:t>. Особое значение имеет свободный обмен информацией и мнениями по государственным и политическим вопросам ме</w:t>
      </w:r>
      <w:r w:rsidRPr="007354E3">
        <w:t>ж</w:t>
      </w:r>
      <w:r w:rsidRPr="007354E3">
        <w:t>ду гражданами, кандидатами и избранными представителями народа. Это пре</w:t>
      </w:r>
      <w:r w:rsidRPr="007354E3">
        <w:t>д</w:t>
      </w:r>
      <w:r w:rsidRPr="007354E3">
        <w:t>полагает свободу прессы и других средств информации, которые могли бы ко</w:t>
      </w:r>
      <w:r w:rsidRPr="007354E3">
        <w:t>м</w:t>
      </w:r>
      <w:r w:rsidRPr="007354E3">
        <w:t>ментировать государственные вопросы без контроля или ограничений и инфо</w:t>
      </w:r>
      <w:r w:rsidRPr="007354E3">
        <w:t>р</w:t>
      </w:r>
      <w:r w:rsidRPr="007354E3">
        <w:t>мировать о них общественность</w:t>
      </w:r>
      <w:r w:rsidRPr="007354E3">
        <w:rPr>
          <w:rStyle w:val="FootnoteReference"/>
        </w:rPr>
        <w:footnoteReference w:id="30"/>
      </w:r>
      <w:r w:rsidRPr="007354E3">
        <w:t>. Широкая общественность</w:t>
      </w:r>
      <w:r>
        <w:t xml:space="preserve"> в свою очередь</w:t>
      </w:r>
      <w:r w:rsidRPr="007354E3">
        <w:t xml:space="preserve"> имеет право получать продук</w:t>
      </w:r>
      <w:r>
        <w:t>т деятельности</w:t>
      </w:r>
      <w:r w:rsidRPr="007354E3">
        <w:t xml:space="preserve"> средств информации</w:t>
      </w:r>
      <w:r w:rsidRPr="007354E3">
        <w:rPr>
          <w:rStyle w:val="FootnoteReference"/>
        </w:rPr>
        <w:footnoteReference w:id="31"/>
      </w:r>
      <w:r w:rsidRPr="007354E3">
        <w:t>.</w:t>
      </w:r>
    </w:p>
    <w:p w:rsidR="008F3A81" w:rsidRPr="007354E3" w:rsidRDefault="008F3A81" w:rsidP="008F3A81">
      <w:pPr>
        <w:pStyle w:val="SingleTxtGR"/>
      </w:pPr>
      <w:r w:rsidRPr="007354E3">
        <w:t>14.</w:t>
      </w:r>
      <w:r w:rsidRPr="007354E3">
        <w:tab/>
      </w:r>
      <w:proofErr w:type="spellStart"/>
      <w:r w:rsidRPr="007354E3">
        <w:t>Государствам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уделять особое внимание поощрению независимости и разнообразия средств информации, поскольку это является </w:t>
      </w:r>
      <w:r>
        <w:t>средством</w:t>
      </w:r>
      <w:r w:rsidRPr="007354E3">
        <w:t xml:space="preserve"> защиты прав пользователей СМИ, в том числе представителей этн</w:t>
      </w:r>
      <w:r w:rsidRPr="007354E3">
        <w:t>и</w:t>
      </w:r>
      <w:r w:rsidRPr="007354E3">
        <w:t xml:space="preserve">ческих и языковых меньшинств, </w:t>
      </w:r>
      <w:r>
        <w:t>а также средством получения более широкого спектра</w:t>
      </w:r>
      <w:r w:rsidRPr="007354E3">
        <w:t xml:space="preserve"> информации и идей. </w:t>
      </w:r>
    </w:p>
    <w:p w:rsidR="008F3A81" w:rsidRPr="007354E3" w:rsidRDefault="008F3A81" w:rsidP="008F3A81">
      <w:pPr>
        <w:pStyle w:val="SingleTxtGR"/>
      </w:pPr>
      <w:r w:rsidRPr="007354E3">
        <w:t>15.</w:t>
      </w:r>
      <w:r w:rsidRPr="007354E3">
        <w:tab/>
      </w:r>
      <w:proofErr w:type="spellStart"/>
      <w:r w:rsidRPr="007354E3">
        <w:t>Государств</w:t>
      </w:r>
      <w:r>
        <w:t>ам</w:t>
      </w:r>
      <w:r w:rsidR="00822453">
        <w:t>−</w:t>
      </w:r>
      <w:r>
        <w:t>участникам</w:t>
      </w:r>
      <w:proofErr w:type="spellEnd"/>
      <w:r>
        <w:t xml:space="preserve"> следует учитывать масштабы изменений</w:t>
      </w:r>
      <w:r w:rsidRPr="007354E3">
        <w:t xml:space="preserve"> в и</w:t>
      </w:r>
      <w:r w:rsidRPr="007354E3">
        <w:t>н</w:t>
      </w:r>
      <w:r w:rsidRPr="007354E3">
        <w:t>формационных и коммуникационных технологиях, таких как электронные си</w:t>
      </w:r>
      <w:r w:rsidRPr="007354E3">
        <w:t>с</w:t>
      </w:r>
      <w:r w:rsidRPr="007354E3">
        <w:t xml:space="preserve">темы распространения информации на базе </w:t>
      </w:r>
      <w:r>
        <w:t>И</w:t>
      </w:r>
      <w:r w:rsidRPr="007354E3">
        <w:t xml:space="preserve">нтернета и мобильной связи, </w:t>
      </w:r>
      <w:r>
        <w:t>к</w:t>
      </w:r>
      <w:r>
        <w:t>о</w:t>
      </w:r>
      <w:r>
        <w:t>торые существенно изменили</w:t>
      </w:r>
      <w:r w:rsidRPr="007354E3">
        <w:t xml:space="preserve"> метод</w:t>
      </w:r>
      <w:r>
        <w:t>ы</w:t>
      </w:r>
      <w:r w:rsidRPr="007354E3">
        <w:t xml:space="preserve"> общения во всем мире. Сегодня создана новая глобальная сеть для обмен</w:t>
      </w:r>
      <w:r>
        <w:t>а идеями и мнениями, которая не</w:t>
      </w:r>
      <w:r w:rsidR="00D81556">
        <w:t xml:space="preserve"> </w:t>
      </w:r>
      <w:r w:rsidRPr="007354E3">
        <w:t xml:space="preserve">обязательно опирается на традиционные средства массовой информации. </w:t>
      </w:r>
      <w:proofErr w:type="spellStart"/>
      <w:r w:rsidRPr="007354E3">
        <w:t>Государс</w:t>
      </w:r>
      <w:r w:rsidRPr="007354E3">
        <w:t>т</w:t>
      </w:r>
      <w:r w:rsidRPr="007354E3">
        <w:t>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принять все необходимые меры для укрепления нез</w:t>
      </w:r>
      <w:r w:rsidRPr="007354E3">
        <w:t>а</w:t>
      </w:r>
      <w:r w:rsidRPr="007354E3">
        <w:t>висимости этих новых СМИ и обесп</w:t>
      </w:r>
      <w:r w:rsidRPr="007354E3">
        <w:t>е</w:t>
      </w:r>
      <w:r w:rsidRPr="007354E3">
        <w:t xml:space="preserve">чить к ним доступ для населения. </w:t>
      </w:r>
    </w:p>
    <w:p w:rsidR="008F3A81" w:rsidRPr="007354E3" w:rsidRDefault="008F3A81" w:rsidP="008F3A81">
      <w:pPr>
        <w:pStyle w:val="SingleTxtGR"/>
      </w:pPr>
      <w:r w:rsidRPr="007354E3">
        <w:t>16.</w:t>
      </w:r>
      <w:r w:rsidRPr="007354E3">
        <w:tab/>
      </w:r>
      <w:proofErr w:type="spellStart"/>
      <w:r w:rsidRPr="007354E3">
        <w:t>Государствам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обеспечить независимость работы служб государственного вещания</w:t>
      </w:r>
      <w:r w:rsidRPr="007354E3">
        <w:rPr>
          <w:rStyle w:val="FootnoteReference"/>
        </w:rPr>
        <w:footnoteReference w:id="32"/>
      </w:r>
      <w:r w:rsidRPr="007354E3">
        <w:t xml:space="preserve">. В связи с этим </w:t>
      </w:r>
      <w:proofErr w:type="spellStart"/>
      <w:r w:rsidRPr="007354E3">
        <w:t>государствам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гарантировать их независимость и издательскую свободу. Им следует предоставлять финансирование таким образом, чтобы не подрывать независ</w:t>
      </w:r>
      <w:r w:rsidRPr="007354E3">
        <w:t>и</w:t>
      </w:r>
      <w:r w:rsidRPr="007354E3">
        <w:t xml:space="preserve">мость этих служб. </w:t>
      </w:r>
    </w:p>
    <w:p w:rsidR="008F3A81" w:rsidRPr="007354E3" w:rsidRDefault="008F3A81" w:rsidP="008F3A81">
      <w:pPr>
        <w:pStyle w:val="SingleTxtGR"/>
      </w:pPr>
      <w:r w:rsidRPr="007354E3">
        <w:t>17.</w:t>
      </w:r>
      <w:r w:rsidRPr="007354E3">
        <w:tab/>
        <w:t>Связанные со СМИ вопросы рассматриваются далее в разделе настоящего замечания общего порядка, касающемся ограничений свободы выражения мн</w:t>
      </w:r>
      <w:r w:rsidRPr="007354E3">
        <w:t>е</w:t>
      </w:r>
      <w:r w:rsidRPr="007354E3">
        <w:t>ний.</w:t>
      </w:r>
    </w:p>
    <w:p w:rsidR="008F3A81" w:rsidRPr="007354E3" w:rsidRDefault="008F3A81" w:rsidP="008F3A81">
      <w:pPr>
        <w:pStyle w:val="H1GR"/>
      </w:pPr>
      <w:r>
        <w:tab/>
      </w:r>
      <w:r>
        <w:tab/>
      </w:r>
      <w:r w:rsidRPr="007354E3">
        <w:t>Право на доступ к информации</w:t>
      </w:r>
    </w:p>
    <w:p w:rsidR="008F3A81" w:rsidRPr="007354E3" w:rsidRDefault="008F3A81" w:rsidP="008F3A81">
      <w:pPr>
        <w:pStyle w:val="SingleTxtGR"/>
      </w:pPr>
      <w:r w:rsidRPr="007354E3">
        <w:t>18.</w:t>
      </w:r>
      <w:r w:rsidRPr="007354E3">
        <w:tab/>
        <w:t xml:space="preserve">В пункте 2 статьи 19 предусмотрено право на доступ к информации, имеющейся у государственных органов. К такой информации относятся записи </w:t>
      </w:r>
      <w:r>
        <w:t>в</w:t>
      </w:r>
      <w:r w:rsidRPr="007354E3">
        <w:t xml:space="preserve"> государственных орган</w:t>
      </w:r>
      <w:r>
        <w:t>ах</w:t>
      </w:r>
      <w:r w:rsidRPr="007354E3">
        <w:t>, независимо от формы ее хранения, источников и даты их регистрации. Государственными органами следует считать такие орг</w:t>
      </w:r>
      <w:r w:rsidRPr="007354E3">
        <w:t>а</w:t>
      </w:r>
      <w:r w:rsidRPr="007354E3">
        <w:t>ны, которые указаны в пункте 7 настоящего замечания общего порядка. К таким органам могут также относиться иные образования, когда они выполняют гос</w:t>
      </w:r>
      <w:r w:rsidRPr="007354E3">
        <w:t>у</w:t>
      </w:r>
      <w:r w:rsidRPr="007354E3">
        <w:t xml:space="preserve">дарственные функции. Как было отмечено </w:t>
      </w:r>
      <w:r>
        <w:t>ранее, с учетом статьи 25 Пакта</w:t>
      </w:r>
      <w:r w:rsidRPr="007354E3">
        <w:t xml:space="preserve"> пр</w:t>
      </w:r>
      <w:r w:rsidRPr="007354E3">
        <w:t>а</w:t>
      </w:r>
      <w:r w:rsidRPr="007354E3">
        <w:t>во на доступ к информации предполагает также право СМИ на доступ к инфо</w:t>
      </w:r>
      <w:r w:rsidRPr="007354E3">
        <w:t>р</w:t>
      </w:r>
      <w:r w:rsidRPr="007354E3">
        <w:t>мации, касающейся государственных вопросов</w:t>
      </w:r>
      <w:r w:rsidRPr="007354E3">
        <w:rPr>
          <w:rStyle w:val="FootnoteReference"/>
        </w:rPr>
        <w:footnoteReference w:id="33"/>
      </w:r>
      <w:r w:rsidRPr="007354E3">
        <w:t>, а также право широкой общ</w:t>
      </w:r>
      <w:r w:rsidRPr="007354E3">
        <w:t>е</w:t>
      </w:r>
      <w:r w:rsidRPr="007354E3">
        <w:t>ственности получать продукцию СМИ</w:t>
      </w:r>
      <w:r w:rsidRPr="007354E3">
        <w:rPr>
          <w:rStyle w:val="FootnoteReference"/>
        </w:rPr>
        <w:footnoteReference w:id="34"/>
      </w:r>
      <w:r w:rsidRPr="007354E3">
        <w:t>. Элементы права на доступ к информ</w:t>
      </w:r>
      <w:r w:rsidRPr="007354E3">
        <w:t>а</w:t>
      </w:r>
      <w:r w:rsidRPr="007354E3">
        <w:t>ции содержатся также в других частях Пакта. Как Комитет отметил в своем з</w:t>
      </w:r>
      <w:r w:rsidRPr="007354E3">
        <w:t>а</w:t>
      </w:r>
      <w:r w:rsidRPr="007354E3">
        <w:t>мечании общего порядка №</w:t>
      </w:r>
      <w:r>
        <w:t xml:space="preserve"> </w:t>
      </w:r>
      <w:r w:rsidRPr="007354E3">
        <w:t>16, касающемся статьи 17 Пакта, ка</w:t>
      </w:r>
      <w:r w:rsidRPr="007354E3">
        <w:t>ж</w:t>
      </w:r>
      <w:r w:rsidRPr="007354E3">
        <w:t>дое лицо должно иметь право удостовериться в ясной форме, содержится ли в автомат</w:t>
      </w:r>
      <w:r w:rsidRPr="007354E3">
        <w:t>и</w:t>
      </w:r>
      <w:r w:rsidRPr="007354E3">
        <w:t>зированных файлах данных информация личного характера, и если с</w:t>
      </w:r>
      <w:r w:rsidRPr="007354E3">
        <w:t>о</w:t>
      </w:r>
      <w:r w:rsidRPr="007354E3">
        <w:t>держится, то какая и с какой целью. Каждое лицо должно иметь также возможность уд</w:t>
      </w:r>
      <w:r w:rsidRPr="007354E3">
        <w:t>о</w:t>
      </w:r>
      <w:r w:rsidRPr="007354E3">
        <w:t>стовериться, какие государственные органы или частные лица или органы ко</w:t>
      </w:r>
      <w:r w:rsidRPr="007354E3">
        <w:t>н</w:t>
      </w:r>
      <w:r w:rsidRPr="007354E3">
        <w:t>тролируют или могут контролировать их файлы. Если в таких файлах соде</w:t>
      </w:r>
      <w:r w:rsidRPr="007354E3">
        <w:t>р</w:t>
      </w:r>
      <w:r w:rsidRPr="007354E3">
        <w:t>жится неверная информация личного характера или если она собиралась или обрабатывалась в нарушение положений закона, каждое лицо должно иметь право потребовать изъятия этой информации. Согласно статье 10 Пакта, закл</w:t>
      </w:r>
      <w:r w:rsidRPr="007354E3">
        <w:t>ю</w:t>
      </w:r>
      <w:r w:rsidRPr="007354E3">
        <w:t>ченные не лишаются права на доступ к своей истории болезни</w:t>
      </w:r>
      <w:r w:rsidRPr="007354E3">
        <w:rPr>
          <w:rStyle w:val="FootnoteReference"/>
        </w:rPr>
        <w:footnoteReference w:id="35"/>
      </w:r>
      <w:r w:rsidRPr="007354E3">
        <w:t>. В своем зам</w:t>
      </w:r>
      <w:r w:rsidRPr="007354E3">
        <w:t>е</w:t>
      </w:r>
      <w:r w:rsidRPr="007354E3">
        <w:t>чании общего порядка №</w:t>
      </w:r>
      <w:r>
        <w:t xml:space="preserve"> </w:t>
      </w:r>
      <w:r w:rsidRPr="007354E3">
        <w:t>32, касающемся статьи 14, Комитет изложил разли</w:t>
      </w:r>
      <w:r w:rsidRPr="007354E3">
        <w:t>ч</w:t>
      </w:r>
      <w:r w:rsidRPr="007354E3">
        <w:t xml:space="preserve">ные аспекты права на получение информации, которыми обладают </w:t>
      </w:r>
      <w:r>
        <w:t xml:space="preserve">лица, </w:t>
      </w:r>
      <w:r w:rsidRPr="007354E3">
        <w:t>обв</w:t>
      </w:r>
      <w:r w:rsidRPr="007354E3">
        <w:t>и</w:t>
      </w:r>
      <w:r w:rsidRPr="007354E3">
        <w:t>няемые в уголовном преступлении</w:t>
      </w:r>
      <w:r w:rsidRPr="007354E3">
        <w:rPr>
          <w:rStyle w:val="FootnoteReference"/>
        </w:rPr>
        <w:footnoteReference w:id="36"/>
      </w:r>
      <w:r w:rsidRPr="007354E3">
        <w:t>. В соответствии с положениям</w:t>
      </w:r>
      <w:r>
        <w:t>и</w:t>
      </w:r>
      <w:r w:rsidRPr="007354E3">
        <w:t xml:space="preserve"> статьи 2</w:t>
      </w:r>
      <w:r>
        <w:t>, такие</w:t>
      </w:r>
      <w:r w:rsidRPr="007354E3">
        <w:t xml:space="preserve"> лица должны получать информацию о своих правах, предусмотренных Пактом в целом</w:t>
      </w:r>
      <w:r w:rsidRPr="007354E3">
        <w:rPr>
          <w:rStyle w:val="FootnoteReference"/>
        </w:rPr>
        <w:footnoteReference w:id="37"/>
      </w:r>
      <w:r w:rsidRPr="007354E3">
        <w:t xml:space="preserve">. Согласно статье 27, принятие </w:t>
      </w:r>
      <w:proofErr w:type="spellStart"/>
      <w:r w:rsidRPr="007354E3">
        <w:t>государством</w:t>
      </w:r>
      <w:r w:rsidR="00822453">
        <w:t>−</w:t>
      </w:r>
      <w:r w:rsidRPr="007354E3">
        <w:t>участником</w:t>
      </w:r>
      <w:proofErr w:type="spellEnd"/>
      <w:r w:rsidRPr="007354E3">
        <w:t xml:space="preserve"> р</w:t>
      </w:r>
      <w:r w:rsidRPr="007354E3">
        <w:t>е</w:t>
      </w:r>
      <w:r w:rsidRPr="007354E3">
        <w:t>шений, которые могут подвергнуть серьезному риску образ жизни и культуру группы меньшинств, должно происходить на основе обмена опытом и консул</w:t>
      </w:r>
      <w:r w:rsidRPr="007354E3">
        <w:t>ь</w:t>
      </w:r>
      <w:r w:rsidRPr="007354E3">
        <w:t>таций с соответствующими сообществами</w:t>
      </w:r>
      <w:r w:rsidRPr="007354E3">
        <w:rPr>
          <w:rStyle w:val="FootnoteReference"/>
        </w:rPr>
        <w:footnoteReference w:id="38"/>
      </w:r>
      <w:r w:rsidRPr="007354E3">
        <w:t xml:space="preserve">. </w:t>
      </w:r>
    </w:p>
    <w:p w:rsidR="008F3A81" w:rsidRPr="007354E3" w:rsidRDefault="008F3A81" w:rsidP="008F3A81">
      <w:pPr>
        <w:pStyle w:val="SingleTxtGR"/>
      </w:pPr>
      <w:r w:rsidRPr="007354E3">
        <w:t>19.</w:t>
      </w:r>
      <w:r w:rsidRPr="007354E3">
        <w:tab/>
        <w:t xml:space="preserve">С целью эффективного осуществления права на доступ к информации </w:t>
      </w:r>
      <w:proofErr w:type="spellStart"/>
      <w:r w:rsidRPr="007354E3">
        <w:t>г</w:t>
      </w:r>
      <w:r w:rsidRPr="007354E3">
        <w:t>о</w:t>
      </w:r>
      <w:r w:rsidRPr="007354E3">
        <w:t>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в приоритетном порядке следует открыть широкий до</w:t>
      </w:r>
      <w:r w:rsidRPr="007354E3">
        <w:t>с</w:t>
      </w:r>
      <w:r w:rsidRPr="007354E3">
        <w:t xml:space="preserve">туп к правительственной информации, имеющей общественный интерес. </w:t>
      </w:r>
      <w:proofErr w:type="spellStart"/>
      <w:r w:rsidRPr="007354E3">
        <w:t>Гос</w:t>
      </w:r>
      <w:r w:rsidRPr="007354E3">
        <w:t>у</w:t>
      </w:r>
      <w:r w:rsidRPr="007354E3">
        <w:t>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предпринимать все усилия для обеспечения ле</w:t>
      </w:r>
      <w:r w:rsidRPr="007354E3">
        <w:t>г</w:t>
      </w:r>
      <w:r w:rsidRPr="007354E3">
        <w:t xml:space="preserve">кого, быстрого, эффективного и практического доступа к такой информации. </w:t>
      </w:r>
      <w:proofErr w:type="spellStart"/>
      <w:r w:rsidRPr="007354E3">
        <w:t>Государствам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учредить необходимые процедуры, позв</w:t>
      </w:r>
      <w:r w:rsidRPr="007354E3">
        <w:t>о</w:t>
      </w:r>
      <w:r w:rsidRPr="007354E3">
        <w:t>ляющие населению получить доступ к информации, например при помощи з</w:t>
      </w:r>
      <w:r w:rsidRPr="007354E3">
        <w:t>а</w:t>
      </w:r>
      <w:r w:rsidRPr="007354E3">
        <w:t>конодательства о свободе информации</w:t>
      </w:r>
      <w:r w:rsidRPr="007354E3">
        <w:rPr>
          <w:rStyle w:val="FootnoteReference"/>
        </w:rPr>
        <w:footnoteReference w:id="39"/>
      </w:r>
      <w:r w:rsidRPr="007354E3">
        <w:t xml:space="preserve">. Эти процедуры должны обеспечивать своевременную обработку запросов на получение информации в соответствии с четкими правилами, не противоречащими Пакту. Плата за обработку запросов на получение информации не должна создавать неоправданное препятствие </w:t>
      </w:r>
      <w:r>
        <w:t xml:space="preserve">для </w:t>
      </w:r>
      <w:r w:rsidRPr="007354E3">
        <w:t>доступ</w:t>
      </w:r>
      <w:r>
        <w:t>а</w:t>
      </w:r>
      <w:r w:rsidRPr="007354E3">
        <w:t xml:space="preserve"> к информации. Властям следует обоснов</w:t>
      </w:r>
      <w:r>
        <w:t>ыв</w:t>
      </w:r>
      <w:r w:rsidRPr="007354E3">
        <w:t>ать любой отказ в предо</w:t>
      </w:r>
      <w:r w:rsidRPr="007354E3">
        <w:t>с</w:t>
      </w:r>
      <w:r w:rsidRPr="007354E3">
        <w:t>тавлении доступа к информации. Необходимо создать механизм обработки з</w:t>
      </w:r>
      <w:r w:rsidRPr="007354E3">
        <w:t>а</w:t>
      </w:r>
      <w:r w:rsidRPr="007354E3">
        <w:t>явлений об отказе в предоставлении информации, а также об оставленных без ответа запросах.</w:t>
      </w:r>
    </w:p>
    <w:p w:rsidR="008F3A81" w:rsidRPr="007354E3" w:rsidRDefault="008F3A81" w:rsidP="008F3A81">
      <w:pPr>
        <w:pStyle w:val="H1GR"/>
      </w:pPr>
      <w:r>
        <w:tab/>
      </w:r>
      <w:r>
        <w:tab/>
      </w:r>
      <w:r w:rsidRPr="007354E3">
        <w:t>Свобода выражения мнений и политические права</w:t>
      </w:r>
    </w:p>
    <w:p w:rsidR="008F3A81" w:rsidRPr="007354E3" w:rsidRDefault="008F3A81" w:rsidP="008F3A81">
      <w:pPr>
        <w:pStyle w:val="SingleTxtGR"/>
      </w:pPr>
      <w:r w:rsidRPr="007354E3">
        <w:t>20.</w:t>
      </w:r>
      <w:r w:rsidRPr="007354E3">
        <w:tab/>
        <w:t>В своем замечании общего порядка №</w:t>
      </w:r>
      <w:r>
        <w:t xml:space="preserve"> </w:t>
      </w:r>
      <w:r w:rsidRPr="007354E3">
        <w:t xml:space="preserve">25 об </w:t>
      </w:r>
      <w:r w:rsidRPr="007354E3">
        <w:rPr>
          <w:bCs/>
        </w:rPr>
        <w:t>участии в ведении госуда</w:t>
      </w:r>
      <w:r w:rsidRPr="007354E3">
        <w:rPr>
          <w:bCs/>
        </w:rPr>
        <w:t>р</w:t>
      </w:r>
      <w:r w:rsidRPr="007354E3">
        <w:rPr>
          <w:bCs/>
        </w:rPr>
        <w:t>ственных дел и праве голоса Комитет рассматривает важность права на свобо</w:t>
      </w:r>
      <w:r w:rsidRPr="007354E3">
        <w:rPr>
          <w:bCs/>
        </w:rPr>
        <w:t>д</w:t>
      </w:r>
      <w:r w:rsidRPr="007354E3">
        <w:rPr>
          <w:bCs/>
        </w:rPr>
        <w:t>ное выражение мнений для ведения государственных дел и эффективной реал</w:t>
      </w:r>
      <w:r w:rsidRPr="007354E3">
        <w:rPr>
          <w:bCs/>
        </w:rPr>
        <w:t>и</w:t>
      </w:r>
      <w:r w:rsidRPr="007354E3">
        <w:rPr>
          <w:bCs/>
        </w:rPr>
        <w:t>зации п</w:t>
      </w:r>
      <w:r>
        <w:rPr>
          <w:bCs/>
        </w:rPr>
        <w:t>р</w:t>
      </w:r>
      <w:r w:rsidRPr="007354E3">
        <w:rPr>
          <w:bCs/>
        </w:rPr>
        <w:t xml:space="preserve">ава голоса. Особое значение имеет </w:t>
      </w:r>
      <w:r w:rsidRPr="007354E3">
        <w:t>свободный обмен информацией и мнениями по государственным и политическим вопросам между гражданами, кандидатами и избранными представителями народа. Это предполагает свободу прессы и других средств информации, которые могли бы комментировать гос</w:t>
      </w:r>
      <w:r w:rsidRPr="007354E3">
        <w:t>у</w:t>
      </w:r>
      <w:r w:rsidRPr="007354E3">
        <w:t>дарственные вопросы без контроля или ограничений и информировать о них общественность</w:t>
      </w:r>
      <w:r w:rsidRPr="007354E3">
        <w:rPr>
          <w:rStyle w:val="FootnoteReference"/>
        </w:rPr>
        <w:footnoteReference w:id="40"/>
      </w:r>
      <w:r w:rsidRPr="007354E3">
        <w:t xml:space="preserve">. В этой связи </w:t>
      </w:r>
      <w:proofErr w:type="spellStart"/>
      <w:r w:rsidRPr="007354E3">
        <w:t>государствам</w:t>
      </w:r>
      <w:r w:rsidR="00822453">
        <w:t>−</w:t>
      </w:r>
      <w:r w:rsidRPr="007354E3">
        <w:t>участникам</w:t>
      </w:r>
      <w:proofErr w:type="spellEnd"/>
      <w:r w:rsidRPr="007354E3">
        <w:t xml:space="preserve"> следует обратить внимание на руководящие указания </w:t>
      </w:r>
      <w:r>
        <w:t xml:space="preserve">о </w:t>
      </w:r>
      <w:r w:rsidRPr="007354E3">
        <w:t>поощр</w:t>
      </w:r>
      <w:r>
        <w:t>ении</w:t>
      </w:r>
      <w:r w:rsidRPr="007354E3">
        <w:t xml:space="preserve"> и защи</w:t>
      </w:r>
      <w:r>
        <w:t>те</w:t>
      </w:r>
      <w:r w:rsidRPr="007354E3">
        <w:t xml:space="preserve"> прав</w:t>
      </w:r>
      <w:r>
        <w:t>а</w:t>
      </w:r>
      <w:r w:rsidRPr="007354E3">
        <w:t xml:space="preserve"> на свободное выражения мнений, содержащиеся в замечании общего порядка №</w:t>
      </w:r>
      <w:r>
        <w:t xml:space="preserve"> </w:t>
      </w:r>
      <w:r w:rsidRPr="007354E3">
        <w:t>25.</w:t>
      </w:r>
    </w:p>
    <w:p w:rsidR="008F3A81" w:rsidRPr="007354E3" w:rsidRDefault="008F3A81" w:rsidP="008F3A81">
      <w:pPr>
        <w:pStyle w:val="H1GR"/>
      </w:pPr>
      <w:r>
        <w:tab/>
      </w:r>
      <w:r>
        <w:tab/>
      </w:r>
      <w:r w:rsidRPr="007354E3">
        <w:t>Применение пункта 3 статьи 19</w:t>
      </w:r>
    </w:p>
    <w:p w:rsidR="008F3A81" w:rsidRDefault="008F3A81" w:rsidP="008F3A81">
      <w:pPr>
        <w:pStyle w:val="SingleTxtGR"/>
      </w:pPr>
      <w:r w:rsidRPr="007354E3">
        <w:t>21.</w:t>
      </w:r>
      <w:r w:rsidRPr="007354E3">
        <w:tab/>
      </w:r>
      <w:r>
        <w:t>Пункт</w:t>
      </w:r>
      <w:r w:rsidRPr="007354E3">
        <w:t xml:space="preserve"> 3 прямо </w:t>
      </w:r>
      <w:r>
        <w:t>гласит</w:t>
      </w:r>
      <w:r w:rsidRPr="007354E3">
        <w:t xml:space="preserve"> о том, что пользование правом на свободное выр</w:t>
      </w:r>
      <w:r w:rsidRPr="007354E3">
        <w:t>а</w:t>
      </w:r>
      <w:r w:rsidRPr="007354E3">
        <w:t>жения своего мнения налагает особые обязанности и особую ответстве</w:t>
      </w:r>
      <w:r w:rsidRPr="007354E3">
        <w:t>н</w:t>
      </w:r>
      <w:r w:rsidRPr="007354E3">
        <w:t>ность. По этой причине допуска</w:t>
      </w:r>
      <w:r>
        <w:t>ю</w:t>
      </w:r>
      <w:r w:rsidRPr="007354E3">
        <w:t>тся две узкие области ограничения этого права, к</w:t>
      </w:r>
      <w:r w:rsidRPr="007354E3">
        <w:t>о</w:t>
      </w:r>
      <w:r w:rsidRPr="007354E3">
        <w:t>торые мо</w:t>
      </w:r>
      <w:r>
        <w:t>гут относи</w:t>
      </w:r>
      <w:r w:rsidRPr="007354E3">
        <w:t>тся либо к уважению прав или репутации других лиц, либо к охране государственной безопасности, общественного порядка (</w:t>
      </w:r>
      <w:proofErr w:type="spellStart"/>
      <w:r w:rsidRPr="007354E3">
        <w:rPr>
          <w:i/>
        </w:rPr>
        <w:t>ordre</w:t>
      </w:r>
      <w:proofErr w:type="spellEnd"/>
      <w:r w:rsidRPr="007354E3">
        <w:rPr>
          <w:i/>
        </w:rPr>
        <w:t xml:space="preserve"> </w:t>
      </w:r>
      <w:proofErr w:type="spellStart"/>
      <w:r w:rsidRPr="007354E3">
        <w:rPr>
          <w:i/>
        </w:rPr>
        <w:t>public</w:t>
      </w:r>
      <w:proofErr w:type="spellEnd"/>
      <w:r w:rsidRPr="007354E3">
        <w:t>) или здоровья и нравственности населения. Тем не менее</w:t>
      </w:r>
      <w:r w:rsidR="00D81556">
        <w:t>,</w:t>
      </w:r>
      <w:r w:rsidRPr="007354E3">
        <w:t xml:space="preserve"> когда </w:t>
      </w:r>
      <w:proofErr w:type="spellStart"/>
      <w:r w:rsidRPr="007354E3">
        <w:t>государс</w:t>
      </w:r>
      <w:r w:rsidRPr="007354E3">
        <w:t>т</w:t>
      </w:r>
      <w:r w:rsidRPr="007354E3">
        <w:t>во</w:t>
      </w:r>
      <w:r w:rsidR="00822453">
        <w:t>−</w:t>
      </w:r>
      <w:r w:rsidRPr="007354E3">
        <w:t>участник</w:t>
      </w:r>
      <w:proofErr w:type="spellEnd"/>
      <w:r w:rsidRPr="007354E3">
        <w:t xml:space="preserve"> устанавливает ограничения на осуществление права на свободное выражения мнения, эти ограничения не должны ставить под угрозу сам при</w:t>
      </w:r>
      <w:r w:rsidRPr="007354E3">
        <w:t>н</w:t>
      </w:r>
      <w:r w:rsidRPr="007354E3">
        <w:t xml:space="preserve">цип этого права. Комитет напоминает, что </w:t>
      </w:r>
      <w:r>
        <w:t>связь</w:t>
      </w:r>
      <w:r w:rsidRPr="007354E3">
        <w:t xml:space="preserve"> между правом и ограничением, м</w:t>
      </w:r>
      <w:r w:rsidRPr="007354E3">
        <w:t>е</w:t>
      </w:r>
      <w:r w:rsidRPr="007354E3">
        <w:t>жду нормой и исключением не должн</w:t>
      </w:r>
      <w:r>
        <w:t>а</w:t>
      </w:r>
      <w:r w:rsidRPr="007354E3">
        <w:t xml:space="preserve"> </w:t>
      </w:r>
      <w:r>
        <w:t>быть обратной</w:t>
      </w:r>
      <w:r w:rsidRPr="007354E3">
        <w:rPr>
          <w:rStyle w:val="FootnoteReference"/>
        </w:rPr>
        <w:footnoteReference w:id="41"/>
      </w:r>
      <w:r w:rsidRPr="007354E3">
        <w:t>. Кроме того, Комитет ссылается на пункт 1 статьи 5 Пакта, в соответствии с которым "ничто в н</w:t>
      </w:r>
      <w:r w:rsidRPr="007354E3">
        <w:t>а</w:t>
      </w:r>
      <w:r w:rsidRPr="007354E3">
        <w:t>стоящем Пакте не может толковаться как означающее, что какое-либо госуда</w:t>
      </w:r>
      <w:r w:rsidRPr="007354E3">
        <w:t>р</w:t>
      </w:r>
      <w:r w:rsidRPr="007354E3">
        <w:t>ство, какая-либо группа или какое-либо лицо имеет право з</w:t>
      </w:r>
      <w:r w:rsidRPr="007354E3">
        <w:t>а</w:t>
      </w:r>
      <w:r w:rsidRPr="007354E3">
        <w:t>ниматься какой бы то ни было деятельностью или совершать какие бы то ни было действия, н</w:t>
      </w:r>
      <w:r w:rsidRPr="007354E3">
        <w:t>а</w:t>
      </w:r>
      <w:r w:rsidRPr="007354E3">
        <w:t>правленные на уничтожение любых прав или свобод, пр</w:t>
      </w:r>
      <w:r w:rsidRPr="007354E3">
        <w:t>и</w:t>
      </w:r>
      <w:r w:rsidRPr="007354E3">
        <w:t>знанных в настоящем Пакте, или на ограничение их в большей мере, чем предусматривается в н</w:t>
      </w:r>
      <w:r w:rsidRPr="007354E3">
        <w:t>а</w:t>
      </w:r>
      <w:r w:rsidRPr="007354E3">
        <w:t>стоящем Пакте".</w:t>
      </w:r>
    </w:p>
    <w:p w:rsidR="008F3A81" w:rsidRPr="008F3A81" w:rsidRDefault="008F3A81" w:rsidP="008F3A81">
      <w:pPr>
        <w:pStyle w:val="SingleTxtGR"/>
      </w:pPr>
      <w:r>
        <w:t>22.</w:t>
      </w:r>
      <w:r>
        <w:tab/>
        <w:t>Ограничения могут устанавливаться исключительно при с</w:t>
      </w:r>
      <w:r>
        <w:t>о</w:t>
      </w:r>
      <w:r>
        <w:t>блюдении особых условий, предусмотренных в пункте 3: ограничения "должны быть у</w:t>
      </w:r>
      <w:r>
        <w:t>с</w:t>
      </w:r>
      <w:r>
        <w:t>тановлены законом"; они могут устанавливаться лишь на осно</w:t>
      </w:r>
      <w:r w:rsidRPr="006469CD">
        <w:t>ваниях, пред</w:t>
      </w:r>
      <w:r w:rsidRPr="006469CD">
        <w:t>у</w:t>
      </w:r>
      <w:r w:rsidRPr="006469CD">
        <w:t>смотренны</w:t>
      </w:r>
      <w:r>
        <w:t>х в подпунктах </w:t>
      </w:r>
      <w:proofErr w:type="spellStart"/>
      <w:r>
        <w:t>a</w:t>
      </w:r>
      <w:proofErr w:type="spellEnd"/>
      <w:r>
        <w:t xml:space="preserve">) и </w:t>
      </w:r>
      <w:proofErr w:type="spellStart"/>
      <w:r>
        <w:t>b</w:t>
      </w:r>
      <w:proofErr w:type="spellEnd"/>
      <w:r>
        <w:t>) пункта 3</w:t>
      </w:r>
      <w:r w:rsidR="00D81556">
        <w:t>,</w:t>
      </w:r>
      <w:r w:rsidRPr="006469CD">
        <w:t xml:space="preserve"> и должны </w:t>
      </w:r>
      <w:r>
        <w:t>строго</w:t>
      </w:r>
      <w:r w:rsidRPr="006469CD">
        <w:t xml:space="preserve"> отвечать требов</w:t>
      </w:r>
      <w:r w:rsidRPr="006469CD">
        <w:t>а</w:t>
      </w:r>
      <w:r w:rsidRPr="006469CD">
        <w:t xml:space="preserve">нию необходимости и </w:t>
      </w:r>
      <w:r>
        <w:t>соразмерности</w:t>
      </w:r>
      <w:r w:rsidRPr="00DF39A5">
        <w:rPr>
          <w:rStyle w:val="FootnoteReference"/>
        </w:rPr>
        <w:footnoteReference w:id="42"/>
      </w:r>
      <w:r w:rsidRPr="006469CD">
        <w:t xml:space="preserve">. </w:t>
      </w:r>
      <w:r>
        <w:t xml:space="preserve">Не допускаются </w:t>
      </w:r>
      <w:r w:rsidRPr="006469CD">
        <w:t xml:space="preserve">никакие </w:t>
      </w:r>
      <w:r>
        <w:t>ограничения, установленные на основаниях</w:t>
      </w:r>
      <w:r w:rsidRPr="006469CD">
        <w:t>, не содержащи</w:t>
      </w:r>
      <w:r>
        <w:t>х</w:t>
      </w:r>
      <w:r w:rsidRPr="006469CD">
        <w:t>ся в пункте 3, даже если такие основания будут оправдывать ограничения в отношении других прав, защ</w:t>
      </w:r>
      <w:r w:rsidRPr="006469CD">
        <w:t>и</w:t>
      </w:r>
      <w:r w:rsidRPr="006469CD">
        <w:t>щаемых Пактом. Ограниче</w:t>
      </w:r>
      <w:r w:rsidRPr="00F228A4">
        <w:t xml:space="preserve">ния могут устанавливаться лишь для тех целей, для которых они предназначены, и </w:t>
      </w:r>
      <w:r>
        <w:t xml:space="preserve">они </w:t>
      </w:r>
      <w:r w:rsidRPr="00F228A4">
        <w:t xml:space="preserve">должны быть прямо связаны с конкретной целью, достижение которой </w:t>
      </w:r>
      <w:r>
        <w:t xml:space="preserve">они </w:t>
      </w:r>
      <w:r w:rsidRPr="00F228A4">
        <w:t>преследу</w:t>
      </w:r>
      <w:r>
        <w:t>ю</w:t>
      </w:r>
      <w:r w:rsidRPr="00F228A4">
        <w:t>т, и быть ей с</w:t>
      </w:r>
      <w:r w:rsidRPr="00F228A4">
        <w:t>о</w:t>
      </w:r>
      <w:r w:rsidRPr="00F228A4">
        <w:t>размерны</w:t>
      </w:r>
      <w:r>
        <w:rPr>
          <w:rStyle w:val="FootnoteReference"/>
          <w:szCs w:val="24"/>
        </w:rPr>
        <w:footnoteReference w:id="43"/>
      </w:r>
      <w:r>
        <w:t>.</w:t>
      </w:r>
    </w:p>
    <w:p w:rsidR="008F3A81" w:rsidRDefault="008F3A81" w:rsidP="008F3A81">
      <w:pPr>
        <w:pStyle w:val="SingleTxtGR"/>
      </w:pPr>
      <w:r>
        <w:t>23.</w:t>
      </w:r>
      <w:r>
        <w:tab/>
      </w:r>
      <w:proofErr w:type="spellStart"/>
      <w:r>
        <w:t>Государствам</w:t>
      </w:r>
      <w:r w:rsidR="00822453">
        <w:t>−</w:t>
      </w:r>
      <w:r>
        <w:t>участникам</w:t>
      </w:r>
      <w:proofErr w:type="spellEnd"/>
      <w:r>
        <w:t xml:space="preserve"> следует принять эффективные меры по защите обладателей права на свободное выражение своего мнения от попыток заст</w:t>
      </w:r>
      <w:r>
        <w:t>а</w:t>
      </w:r>
      <w:r>
        <w:t>вить их замолчать. Пункт 3 ни при каких условиях не может служить оправд</w:t>
      </w:r>
      <w:r>
        <w:t>а</w:t>
      </w:r>
      <w:r>
        <w:t>нием для того, чтобы заставить замолчать каких-либо защитников многопа</w:t>
      </w:r>
      <w:r>
        <w:t>р</w:t>
      </w:r>
      <w:r>
        <w:t>тийной демократии, демократ</w:t>
      </w:r>
      <w:r>
        <w:t>и</w:t>
      </w:r>
      <w:r>
        <w:t>ческих принципов и прав человека</w:t>
      </w:r>
      <w:r>
        <w:rPr>
          <w:rStyle w:val="FootnoteReference"/>
          <w:szCs w:val="24"/>
        </w:rPr>
        <w:footnoteReference w:id="44"/>
      </w:r>
      <w:r>
        <w:t>. Подобным образом, агрессия в отношении лица, использующего свое право на свободное выражение мнений, в том числе такие формы агрессии как произвольный арест, пытки, угроза жизни и убийство, несовместима со статьей 19</w:t>
      </w:r>
      <w:r>
        <w:rPr>
          <w:rStyle w:val="FootnoteReference"/>
          <w:szCs w:val="24"/>
        </w:rPr>
        <w:footnoteReference w:id="45"/>
      </w:r>
      <w:r>
        <w:t>. Часто в связи со своей деятельностью таким угрозам, запугиванию и агрессивным действиям подвергаются журналисты</w:t>
      </w:r>
      <w:r>
        <w:rPr>
          <w:rStyle w:val="FootnoteReference"/>
          <w:szCs w:val="24"/>
        </w:rPr>
        <w:footnoteReference w:id="46"/>
      </w:r>
      <w:r>
        <w:t>. Также жертвами подобных действий становятся лица, которые занимаются сбором и анализом информации о ситуации в обла</w:t>
      </w:r>
      <w:r>
        <w:t>с</w:t>
      </w:r>
      <w:r>
        <w:t>ти прав человека и публикуют доклады по правам человека, в том числе судьи и адвокаты</w:t>
      </w:r>
      <w:r>
        <w:rPr>
          <w:rStyle w:val="FootnoteReference"/>
          <w:szCs w:val="24"/>
        </w:rPr>
        <w:footnoteReference w:id="47"/>
      </w:r>
      <w:r>
        <w:t>. В отношении всех подобных случаев агрессии следует проводить своевременное и тщательное расследование, виновных необходимо преслед</w:t>
      </w:r>
      <w:r>
        <w:t>о</w:t>
      </w:r>
      <w:r>
        <w:t>вать по закону</w:t>
      </w:r>
      <w:r>
        <w:rPr>
          <w:rStyle w:val="FootnoteReference"/>
          <w:szCs w:val="24"/>
        </w:rPr>
        <w:footnoteReference w:id="48"/>
      </w:r>
      <w:r>
        <w:t>, а жертвам, или в случае убийства их представителям, − пр</w:t>
      </w:r>
      <w:r>
        <w:t>е</w:t>
      </w:r>
      <w:r>
        <w:t>доставлять надлежащие фо</w:t>
      </w:r>
      <w:r>
        <w:t>р</w:t>
      </w:r>
      <w:r>
        <w:t>мы возмещения ущерба</w:t>
      </w:r>
      <w:r>
        <w:rPr>
          <w:rStyle w:val="FootnoteReference"/>
          <w:szCs w:val="24"/>
        </w:rPr>
        <w:footnoteReference w:id="49"/>
      </w:r>
      <w:r>
        <w:t xml:space="preserve">. </w:t>
      </w:r>
    </w:p>
    <w:p w:rsidR="008F3A81" w:rsidRPr="004B5BA5" w:rsidRDefault="008F3A81" w:rsidP="008F3A81">
      <w:pPr>
        <w:pStyle w:val="SingleTxtGR"/>
      </w:pPr>
      <w:r>
        <w:t>24.</w:t>
      </w:r>
      <w:r>
        <w:tab/>
        <w:t>Ограничения должны быть уста</w:t>
      </w:r>
      <w:r w:rsidRPr="004B5BA5">
        <w:t xml:space="preserve">новлены законом. Закон может включать закон о </w:t>
      </w:r>
      <w:r>
        <w:t>парламентских привилегиях</w:t>
      </w:r>
      <w:r>
        <w:rPr>
          <w:rStyle w:val="FootnoteReference"/>
          <w:szCs w:val="24"/>
        </w:rPr>
        <w:footnoteReference w:id="50"/>
      </w:r>
      <w:r>
        <w:t xml:space="preserve"> и закон, предусматривающий меры нак</w:t>
      </w:r>
      <w:r>
        <w:t>а</w:t>
      </w:r>
      <w:r>
        <w:t xml:space="preserve">зания за </w:t>
      </w:r>
      <w:r w:rsidRPr="004B5BA5">
        <w:t>неув</w:t>
      </w:r>
      <w:r w:rsidRPr="004B5BA5">
        <w:t>а</w:t>
      </w:r>
      <w:r w:rsidRPr="004B5BA5">
        <w:t>же</w:t>
      </w:r>
      <w:r>
        <w:t xml:space="preserve">ние </w:t>
      </w:r>
      <w:r w:rsidRPr="004B5BA5">
        <w:t>к суду</w:t>
      </w:r>
      <w:r>
        <w:rPr>
          <w:rStyle w:val="FootnoteReference"/>
          <w:szCs w:val="24"/>
        </w:rPr>
        <w:footnoteReference w:id="51"/>
      </w:r>
      <w:r>
        <w:t>. Поскольку любое ограничение права на свободное выражение мнений является серьезным ущемлением прав человека, закрепл</w:t>
      </w:r>
      <w:r>
        <w:t>е</w:t>
      </w:r>
      <w:r>
        <w:t>ние какого-либо ограничения в традиционном, религиозном или другом подо</w:t>
      </w:r>
      <w:r>
        <w:t>б</w:t>
      </w:r>
      <w:r>
        <w:t>ном обычном праве несовместимо с Па</w:t>
      </w:r>
      <w:r>
        <w:t>к</w:t>
      </w:r>
      <w:r>
        <w:t>том</w:t>
      </w:r>
      <w:r>
        <w:rPr>
          <w:rStyle w:val="FootnoteReference"/>
          <w:szCs w:val="24"/>
        </w:rPr>
        <w:footnoteReference w:id="52"/>
      </w:r>
      <w:r>
        <w:t xml:space="preserve">. </w:t>
      </w:r>
    </w:p>
    <w:p w:rsidR="008F3A81" w:rsidRDefault="008F3A81" w:rsidP="008F3A81">
      <w:pPr>
        <w:pStyle w:val="SingleTxtGR"/>
      </w:pPr>
      <w:r>
        <w:t>25.</w:t>
      </w:r>
      <w:r>
        <w:tab/>
        <w:t>Для целей пункта 3 норма, которая квалифицируется как "закон", должна быть сформулирована достаточна четко, с тем чтобы дать лицу возможность соответствующим образом следить за св</w:t>
      </w:r>
      <w:r w:rsidRPr="004A7448">
        <w:t xml:space="preserve">оим поведением, </w:t>
      </w:r>
      <w:r>
        <w:t xml:space="preserve">а информация о ней должна быть </w:t>
      </w:r>
      <w:r w:rsidRPr="004A7448">
        <w:t>доступна широким слоям населения</w:t>
      </w:r>
      <w:r w:rsidRPr="00487281">
        <w:rPr>
          <w:rStyle w:val="FootnoteReference"/>
        </w:rPr>
        <w:footnoteReference w:id="53"/>
      </w:r>
      <w:r w:rsidRPr="004A7448">
        <w:t xml:space="preserve">. Закон не должен наделять лиц, которым поручено его осуществление, неограниченными дискреционными полномочиями </w:t>
      </w:r>
      <w:r>
        <w:t>устанавливать о</w:t>
      </w:r>
      <w:r>
        <w:t>г</w:t>
      </w:r>
      <w:r>
        <w:t>раничения на право свободного выражения мнений</w:t>
      </w:r>
      <w:r>
        <w:rPr>
          <w:rStyle w:val="FootnoteReference"/>
          <w:szCs w:val="24"/>
        </w:rPr>
        <w:footnoteReference w:id="54"/>
      </w:r>
      <w:r>
        <w:t>. Законы должны предоставлять лицам, которым поручено их осущес</w:t>
      </w:r>
      <w:r>
        <w:t>т</w:t>
      </w:r>
      <w:r>
        <w:t>вление, достаточные руководящие указания для того, чтобы они могли опред</w:t>
      </w:r>
      <w:r>
        <w:t>е</w:t>
      </w:r>
      <w:r>
        <w:t>лить, на какие формы выражения мнений установлены должные ограничения, а</w:t>
      </w:r>
      <w:r w:rsidR="00822453">
        <w:t> </w:t>
      </w:r>
      <w:r>
        <w:t>на к</w:t>
      </w:r>
      <w:r>
        <w:t>а</w:t>
      </w:r>
      <w:r>
        <w:t>кие нет.</w:t>
      </w:r>
    </w:p>
    <w:p w:rsidR="008F3A81" w:rsidRDefault="008F3A81" w:rsidP="008F3A81">
      <w:pPr>
        <w:pStyle w:val="SingleTxtGR"/>
      </w:pPr>
      <w:r>
        <w:t>26.</w:t>
      </w:r>
      <w:r>
        <w:tab/>
        <w:t>Законы, ограничивающие права, содержащиеся в пункте 2 статьи 19, в</w:t>
      </w:r>
      <w:r w:rsidR="00822453">
        <w:t> </w:t>
      </w:r>
      <w:r>
        <w:t>том числе законы, указанные в пункте 24, должны не только соответствовать жестким требованиям пункта 3 статьи 19 Пакта, но и являться совместимыми с положениями, целями и задачами Пакта</w:t>
      </w:r>
      <w:r>
        <w:rPr>
          <w:rStyle w:val="FootnoteReference"/>
          <w:szCs w:val="24"/>
        </w:rPr>
        <w:footnoteReference w:id="55"/>
      </w:r>
      <w:r>
        <w:t>. Законы не должны нарушать полож</w:t>
      </w:r>
      <w:r>
        <w:t>е</w:t>
      </w:r>
      <w:r>
        <w:t>ния Пакта, касающиеся недопущения дискриминации. Законы не должны уст</w:t>
      </w:r>
      <w:r>
        <w:t>а</w:t>
      </w:r>
      <w:r>
        <w:t>навливать несовместимые с Пактом меры наказания, такие как телесные нак</w:t>
      </w:r>
      <w:r>
        <w:t>а</w:t>
      </w:r>
      <w:r>
        <w:t>зания</w:t>
      </w:r>
      <w:r>
        <w:rPr>
          <w:rStyle w:val="FootnoteReference"/>
          <w:szCs w:val="24"/>
        </w:rPr>
        <w:footnoteReference w:id="56"/>
      </w:r>
      <w:r>
        <w:t xml:space="preserve">. </w:t>
      </w:r>
    </w:p>
    <w:p w:rsidR="008F3A81" w:rsidRPr="00DF39A5" w:rsidRDefault="008F3A81" w:rsidP="008F3A81">
      <w:pPr>
        <w:pStyle w:val="SingleTxtGR"/>
      </w:pPr>
      <w:r>
        <w:t>27.</w:t>
      </w:r>
      <w:r>
        <w:tab/>
      </w:r>
      <w:proofErr w:type="spellStart"/>
      <w:r>
        <w:t>Государство</w:t>
      </w:r>
      <w:r w:rsidR="00822453">
        <w:t>−</w:t>
      </w:r>
      <w:r>
        <w:t>участник</w:t>
      </w:r>
      <w:proofErr w:type="spellEnd"/>
      <w:r>
        <w:t xml:space="preserve"> должно предоставлять правовое обоснование л</w:t>
      </w:r>
      <w:r>
        <w:t>ю</w:t>
      </w:r>
      <w:r>
        <w:t>бого ограничения, установленного на осуществление права свободного выр</w:t>
      </w:r>
      <w:r>
        <w:t>а</w:t>
      </w:r>
      <w:r>
        <w:t>жения мнений</w:t>
      </w:r>
      <w:r>
        <w:rPr>
          <w:rStyle w:val="FootnoteReference"/>
          <w:szCs w:val="24"/>
        </w:rPr>
        <w:footnoteReference w:id="57"/>
      </w:r>
      <w:r>
        <w:t xml:space="preserve">. Если в отношении какого-либо конкретного </w:t>
      </w:r>
      <w:proofErr w:type="spellStart"/>
      <w:r>
        <w:t>государс</w:t>
      </w:r>
      <w:r>
        <w:t>т</w:t>
      </w:r>
      <w:r>
        <w:t>ва</w:t>
      </w:r>
      <w:r w:rsidR="00822453">
        <w:t>−</w:t>
      </w:r>
      <w:r>
        <w:t>участника</w:t>
      </w:r>
      <w:proofErr w:type="spellEnd"/>
      <w:r>
        <w:t xml:space="preserve"> Комитету необходимо рассмотреть вопрос о том, законом ли у</w:t>
      </w:r>
      <w:r>
        <w:t>с</w:t>
      </w:r>
      <w:r>
        <w:t xml:space="preserve">тановлено конкретное ограничение, то </w:t>
      </w:r>
      <w:proofErr w:type="spellStart"/>
      <w:r>
        <w:t>государству</w:t>
      </w:r>
      <w:r w:rsidR="00822453">
        <w:t>−</w:t>
      </w:r>
      <w:r>
        <w:t>участнику</w:t>
      </w:r>
      <w:proofErr w:type="spellEnd"/>
      <w:r>
        <w:t xml:space="preserve"> следует предст</w:t>
      </w:r>
      <w:r>
        <w:t>а</w:t>
      </w:r>
      <w:r>
        <w:t>вить текст закона и подробную информацию о мерах, которые подпадают под действие данного закона</w:t>
      </w:r>
      <w:r>
        <w:rPr>
          <w:rStyle w:val="FootnoteReference"/>
          <w:szCs w:val="24"/>
        </w:rPr>
        <w:footnoteReference w:id="58"/>
      </w:r>
      <w:r>
        <w:t>.</w:t>
      </w:r>
    </w:p>
    <w:p w:rsidR="008F3A81" w:rsidRPr="007A18A2" w:rsidRDefault="008F3A81" w:rsidP="008F3A81">
      <w:pPr>
        <w:pStyle w:val="SingleTxtGR"/>
      </w:pPr>
      <w:r w:rsidRPr="007A18A2">
        <w:t>28.</w:t>
      </w:r>
      <w:r w:rsidRPr="007A18A2">
        <w:tab/>
        <w:t>Первым из законных оснований для установления содержащихся в пун</w:t>
      </w:r>
      <w:r w:rsidRPr="007A18A2">
        <w:t>к</w:t>
      </w:r>
      <w:r w:rsidRPr="007A18A2">
        <w:t>те 3 ограничений является уважение прав и репутации других лиц. Термин "права" включает в себя права человека, признанные в Пакте и, более широко, в международном законодательстве в области прав человека. Так, например, б</w:t>
      </w:r>
      <w:r w:rsidRPr="007A18A2">
        <w:t>ы</w:t>
      </w:r>
      <w:r w:rsidRPr="007A18A2">
        <w:t>ло бы законным ограничить свободу выражения мнений с целью защиты права г</w:t>
      </w:r>
      <w:r w:rsidRPr="007A18A2">
        <w:t>о</w:t>
      </w:r>
      <w:r w:rsidRPr="007A18A2">
        <w:t>лоса, закрепленного в статье 25, а также прав, содержащихся в статье 17 (см.</w:t>
      </w:r>
      <w:r w:rsidR="00D81556">
        <w:t> </w:t>
      </w:r>
      <w:r w:rsidRPr="007A18A2">
        <w:t>п</w:t>
      </w:r>
      <w:r>
        <w:t>ункт</w:t>
      </w:r>
      <w:r w:rsidRPr="007A18A2">
        <w:t xml:space="preserve"> 37)</w:t>
      </w:r>
      <w:r w:rsidRPr="00822453">
        <w:rPr>
          <w:sz w:val="18"/>
          <w:szCs w:val="18"/>
          <w:vertAlign w:val="superscript"/>
        </w:rPr>
        <w:footnoteReference w:id="59"/>
      </w:r>
      <w:r w:rsidRPr="007A18A2">
        <w:t>. Такие ограничения должны вводиться с осторожностью: в то время как допускается защита голосующих от форм выражения мнений, пре</w:t>
      </w:r>
      <w:r w:rsidRPr="007A18A2">
        <w:t>д</w:t>
      </w:r>
      <w:r w:rsidRPr="007A18A2">
        <w:t>полагающих запугивание или принуждение, подобные ограничения не должны препятствовать проведению политических дебатов, в том числе, например, пр</w:t>
      </w:r>
      <w:r w:rsidRPr="007A18A2">
        <w:t>и</w:t>
      </w:r>
      <w:r w:rsidRPr="007A18A2">
        <w:t>зывам к бойкотированию необязательного голосования</w:t>
      </w:r>
      <w:r w:rsidRPr="00822453">
        <w:rPr>
          <w:sz w:val="18"/>
          <w:szCs w:val="18"/>
          <w:vertAlign w:val="superscript"/>
        </w:rPr>
        <w:footnoteReference w:id="60"/>
      </w:r>
      <w:r w:rsidRPr="007A18A2">
        <w:t>. Термин "другие лица" включает в себя любы</w:t>
      </w:r>
      <w:r>
        <w:t>х других</w:t>
      </w:r>
      <w:r w:rsidRPr="007A18A2">
        <w:t xml:space="preserve"> лиц как индивидуально</w:t>
      </w:r>
      <w:r>
        <w:t>,</w:t>
      </w:r>
      <w:r w:rsidRPr="007A18A2">
        <w:t xml:space="preserve"> так и как членов как</w:t>
      </w:r>
      <w:r w:rsidRPr="007A18A2">
        <w:t>о</w:t>
      </w:r>
      <w:r w:rsidRPr="007A18A2">
        <w:t>го-либо сообщества</w:t>
      </w:r>
      <w:r w:rsidRPr="00822453">
        <w:rPr>
          <w:sz w:val="18"/>
          <w:szCs w:val="18"/>
          <w:vertAlign w:val="superscript"/>
        </w:rPr>
        <w:footnoteReference w:id="61"/>
      </w:r>
      <w:r w:rsidRPr="007A18A2">
        <w:t>. Таким образом, например, этот термин может относиться к отдельным членам сообщества, объединенного одним вероисповеданием</w:t>
      </w:r>
      <w:r w:rsidRPr="00822453">
        <w:rPr>
          <w:sz w:val="18"/>
          <w:szCs w:val="18"/>
          <w:vertAlign w:val="superscript"/>
        </w:rPr>
        <w:footnoteReference w:id="62"/>
      </w:r>
      <w:r>
        <w:t>,</w:t>
      </w:r>
      <w:r w:rsidRPr="007A18A2">
        <w:t xml:space="preserve"> или к отдельным членам одной этнической пр</w:t>
      </w:r>
      <w:r w:rsidRPr="007A18A2">
        <w:t>и</w:t>
      </w:r>
      <w:r w:rsidRPr="007A18A2">
        <w:t>надлежност</w:t>
      </w:r>
      <w:r>
        <w:t>и</w:t>
      </w:r>
      <w:r w:rsidRPr="00822453">
        <w:rPr>
          <w:sz w:val="18"/>
          <w:szCs w:val="18"/>
          <w:vertAlign w:val="superscript"/>
        </w:rPr>
        <w:footnoteReference w:id="63"/>
      </w:r>
      <w:r w:rsidRPr="007A18A2">
        <w:t>.</w:t>
      </w:r>
    </w:p>
    <w:p w:rsidR="008F3A81" w:rsidRPr="007A18A2" w:rsidRDefault="008F3A81" w:rsidP="008F3A81">
      <w:pPr>
        <w:pStyle w:val="SingleTxtGR"/>
      </w:pPr>
      <w:r w:rsidRPr="007A18A2">
        <w:t>29.</w:t>
      </w:r>
      <w:r w:rsidRPr="007A18A2">
        <w:tab/>
        <w:t>Вторым законным основанием является защита национальной безопасн</w:t>
      </w:r>
      <w:r w:rsidRPr="007A18A2">
        <w:t>о</w:t>
      </w:r>
      <w:r w:rsidRPr="007A18A2">
        <w:t>сти или общественного порядка</w:t>
      </w:r>
      <w:r>
        <w:t xml:space="preserve"> </w:t>
      </w:r>
      <w:r w:rsidRPr="007A18A2">
        <w:t>(</w:t>
      </w:r>
      <w:proofErr w:type="spellStart"/>
      <w:r w:rsidRPr="007A18A2">
        <w:rPr>
          <w:i/>
        </w:rPr>
        <w:t>ordre</w:t>
      </w:r>
      <w:proofErr w:type="spellEnd"/>
      <w:r w:rsidRPr="007A18A2">
        <w:rPr>
          <w:i/>
        </w:rPr>
        <w:t xml:space="preserve"> </w:t>
      </w:r>
      <w:proofErr w:type="spellStart"/>
      <w:r w:rsidRPr="007A18A2">
        <w:rPr>
          <w:i/>
        </w:rPr>
        <w:t>public</w:t>
      </w:r>
      <w:proofErr w:type="spellEnd"/>
      <w:r w:rsidRPr="007A18A2">
        <w:t>), либо здоровья или нравственн</w:t>
      </w:r>
      <w:r w:rsidRPr="007A18A2">
        <w:t>о</w:t>
      </w:r>
      <w:r w:rsidRPr="007A18A2">
        <w:t xml:space="preserve">сти населения. </w:t>
      </w:r>
    </w:p>
    <w:p w:rsidR="008F3A81" w:rsidRPr="007A18A2" w:rsidRDefault="008F3A81" w:rsidP="008F3A81">
      <w:pPr>
        <w:pStyle w:val="SingleTxtGR"/>
      </w:pPr>
      <w:r w:rsidRPr="007A18A2">
        <w:t>30.</w:t>
      </w:r>
      <w:r w:rsidRPr="007A18A2">
        <w:tab/>
      </w:r>
      <w:proofErr w:type="spellStart"/>
      <w:r w:rsidRPr="007A18A2">
        <w:t>Государствам</w:t>
      </w:r>
      <w:r w:rsidR="00822453">
        <w:t>−</w:t>
      </w:r>
      <w:r w:rsidRPr="007A18A2">
        <w:t>участникам</w:t>
      </w:r>
      <w:proofErr w:type="spellEnd"/>
      <w:r w:rsidRPr="007A18A2">
        <w:t xml:space="preserve"> необходимо весьма тщательно подходить к обеспечению строгого с</w:t>
      </w:r>
      <w:r w:rsidRPr="007A18A2">
        <w:t>о</w:t>
      </w:r>
      <w:r w:rsidRPr="007A18A2">
        <w:t>блюдения требований пункта 3 в процессе разработки и применения законов о государственной измене</w:t>
      </w:r>
      <w:r w:rsidRPr="00822453">
        <w:rPr>
          <w:sz w:val="18"/>
          <w:szCs w:val="18"/>
          <w:vertAlign w:val="superscript"/>
        </w:rPr>
        <w:footnoteReference w:id="64"/>
      </w:r>
      <w:r w:rsidRPr="007A18A2">
        <w:t xml:space="preserve"> и аналогичных актов, к</w:t>
      </w:r>
      <w:r w:rsidRPr="007A18A2">
        <w:t>а</w:t>
      </w:r>
      <w:r w:rsidRPr="007A18A2">
        <w:t>сающихся национальной безопасности, служебной тайны, борьбы с подрывной деятельностью или иных сфер. Например нарушение пункта 3 представляет с</w:t>
      </w:r>
      <w:r w:rsidRPr="007A18A2">
        <w:t>о</w:t>
      </w:r>
      <w:r w:rsidRPr="007A18A2">
        <w:t>бой ссылки на такие законы, с тем чтобы удержать или утаить от широкой о</w:t>
      </w:r>
      <w:r w:rsidRPr="007A18A2">
        <w:t>б</w:t>
      </w:r>
      <w:r w:rsidRPr="007A18A2">
        <w:t>щественности информацию, представляющую законный общественный инт</w:t>
      </w:r>
      <w:r w:rsidRPr="007A18A2">
        <w:t>е</w:t>
      </w:r>
      <w:r w:rsidRPr="007A18A2">
        <w:t>рес и не угрожающую национальной безопасности, а также чтобы преследовать журналистов, исследователей, защитников окружающей среды, правозащитн</w:t>
      </w:r>
      <w:r w:rsidRPr="007A18A2">
        <w:t>и</w:t>
      </w:r>
      <w:r w:rsidRPr="007A18A2">
        <w:t>ков или других лиц за распространение такой информации</w:t>
      </w:r>
      <w:r w:rsidRPr="00822453">
        <w:rPr>
          <w:sz w:val="18"/>
          <w:szCs w:val="18"/>
          <w:vertAlign w:val="superscript"/>
        </w:rPr>
        <w:footnoteReference w:id="65"/>
      </w:r>
      <w:r w:rsidRPr="007A18A2">
        <w:t>. Кроме того, как правило, неприемлемо включать в сферу охвата подобных законов информ</w:t>
      </w:r>
      <w:r w:rsidRPr="007A18A2">
        <w:t>а</w:t>
      </w:r>
      <w:r w:rsidRPr="007A18A2">
        <w:t>цию, относящуюся к торговле, банковскому делу и научным исследованиям</w:t>
      </w:r>
      <w:r w:rsidRPr="00822453">
        <w:rPr>
          <w:sz w:val="18"/>
          <w:szCs w:val="18"/>
          <w:vertAlign w:val="superscript"/>
        </w:rPr>
        <w:footnoteReference w:id="66"/>
      </w:r>
      <w:r w:rsidRPr="007A18A2">
        <w:t>. В</w:t>
      </w:r>
      <w:r w:rsidR="00D81556">
        <w:t> </w:t>
      </w:r>
      <w:r w:rsidRPr="007A18A2">
        <w:t>одном деле Комитет постановил, что ограничение на выпуск заявления в по</w:t>
      </w:r>
      <w:r w:rsidRPr="007A18A2">
        <w:t>д</w:t>
      </w:r>
      <w:r w:rsidRPr="007A18A2">
        <w:t>держку ко</w:t>
      </w:r>
      <w:r w:rsidRPr="007A18A2">
        <w:t>н</w:t>
      </w:r>
      <w:r w:rsidRPr="007A18A2">
        <w:t>фликта по трудовым вопросам, содержащего в том числе призывы к проведению национальной забастовки, было недопустимо, поскольку обосн</w:t>
      </w:r>
      <w:r w:rsidRPr="007A18A2">
        <w:t>о</w:t>
      </w:r>
      <w:r w:rsidRPr="007A18A2">
        <w:t>вывалось соображениями национальной безопасности</w:t>
      </w:r>
      <w:r w:rsidRPr="00822453">
        <w:rPr>
          <w:sz w:val="18"/>
          <w:szCs w:val="18"/>
          <w:vertAlign w:val="superscript"/>
        </w:rPr>
        <w:footnoteReference w:id="67"/>
      </w:r>
      <w:r w:rsidRPr="007A18A2">
        <w:t xml:space="preserve">. </w:t>
      </w:r>
    </w:p>
    <w:p w:rsidR="008F3A81" w:rsidRPr="007A18A2" w:rsidRDefault="008F3A81" w:rsidP="008F3A81">
      <w:pPr>
        <w:pStyle w:val="SingleTxtGR"/>
      </w:pPr>
      <w:r w:rsidRPr="007A18A2">
        <w:t>31.</w:t>
      </w:r>
      <w:r w:rsidRPr="007A18A2">
        <w:tab/>
        <w:t>В целях поддержания общественного порядка (</w:t>
      </w:r>
      <w:proofErr w:type="spellStart"/>
      <w:r w:rsidRPr="007A18A2">
        <w:rPr>
          <w:i/>
        </w:rPr>
        <w:t>ordre</w:t>
      </w:r>
      <w:proofErr w:type="spellEnd"/>
      <w:r w:rsidRPr="007A18A2">
        <w:rPr>
          <w:i/>
        </w:rPr>
        <w:t xml:space="preserve"> </w:t>
      </w:r>
      <w:proofErr w:type="spellStart"/>
      <w:r w:rsidRPr="007A18A2">
        <w:rPr>
          <w:i/>
        </w:rPr>
        <w:t>public</w:t>
      </w:r>
      <w:proofErr w:type="spellEnd"/>
      <w:r w:rsidRPr="007A18A2">
        <w:t>) в некоторых случаях допустимо, например, регулировать выступления в некоторых общес</w:t>
      </w:r>
      <w:r w:rsidRPr="007A18A2">
        <w:t>т</w:t>
      </w:r>
      <w:r w:rsidRPr="007A18A2">
        <w:t>венных местах</w:t>
      </w:r>
      <w:r w:rsidRPr="00822453">
        <w:rPr>
          <w:sz w:val="18"/>
          <w:szCs w:val="18"/>
          <w:vertAlign w:val="superscript"/>
        </w:rPr>
        <w:footnoteReference w:id="68"/>
      </w:r>
      <w:r w:rsidRPr="007A18A2">
        <w:t>. Судебные разбирательства, касающиеся неуважения к суду и связанные с формами выражения мнений, могут подвергаться проверке на предмет их влияния на общественный порядок (</w:t>
      </w:r>
      <w:proofErr w:type="spellStart"/>
      <w:r w:rsidRPr="007A18A2">
        <w:rPr>
          <w:i/>
          <w:lang w:val="en-US"/>
        </w:rPr>
        <w:t>ordre</w:t>
      </w:r>
      <w:proofErr w:type="spellEnd"/>
      <w:r w:rsidRPr="007A18A2">
        <w:rPr>
          <w:i/>
        </w:rPr>
        <w:t xml:space="preserve"> </w:t>
      </w:r>
      <w:r w:rsidRPr="007A18A2">
        <w:rPr>
          <w:i/>
          <w:lang w:val="en-US"/>
        </w:rPr>
        <w:t>public</w:t>
      </w:r>
      <w:r w:rsidRPr="007A18A2">
        <w:t>). Для целей соо</w:t>
      </w:r>
      <w:r w:rsidRPr="007A18A2">
        <w:t>т</w:t>
      </w:r>
      <w:r w:rsidRPr="007A18A2">
        <w:t>ветствия пункту 3 необходимо продемонстрировать, что подобные разбирател</w:t>
      </w:r>
      <w:r w:rsidRPr="007A18A2">
        <w:t>ь</w:t>
      </w:r>
      <w:r w:rsidRPr="007A18A2">
        <w:t>ства и устанавливаемое наказание обоснованны и соответствуют полномочиям суда по обеспечению надлежащего осуществления процедуры</w:t>
      </w:r>
      <w:r w:rsidRPr="00822453">
        <w:rPr>
          <w:sz w:val="18"/>
          <w:szCs w:val="18"/>
          <w:vertAlign w:val="superscript"/>
        </w:rPr>
        <w:footnoteReference w:id="69"/>
      </w:r>
      <w:r w:rsidRPr="007A18A2">
        <w:t>. Такие проц</w:t>
      </w:r>
      <w:r w:rsidRPr="007A18A2">
        <w:t>е</w:t>
      </w:r>
      <w:r w:rsidRPr="007A18A2">
        <w:t>дуры не должны ни при каких обстоятельствах использоваться для ограничения законного польз</w:t>
      </w:r>
      <w:r w:rsidRPr="007A18A2">
        <w:t>о</w:t>
      </w:r>
      <w:r w:rsidRPr="007A18A2">
        <w:t xml:space="preserve">вания права на защиту. </w:t>
      </w:r>
    </w:p>
    <w:p w:rsidR="008F3A81" w:rsidRPr="007A18A2" w:rsidRDefault="008F3A81" w:rsidP="008F3A81">
      <w:pPr>
        <w:pStyle w:val="SingleTxtGR"/>
      </w:pPr>
      <w:r w:rsidRPr="007A18A2">
        <w:t>32.</w:t>
      </w:r>
      <w:r w:rsidRPr="007A18A2">
        <w:tab/>
        <w:t>В своем замечании общего порядка №</w:t>
      </w:r>
      <w:r>
        <w:t> </w:t>
      </w:r>
      <w:r w:rsidRPr="007A18A2">
        <w:t>22 Комитет отметил, что "понятие нравственности склад</w:t>
      </w:r>
      <w:r w:rsidRPr="007A18A2">
        <w:t>ы</w:t>
      </w:r>
      <w:r w:rsidRPr="007A18A2">
        <w:t>вается на основе многих общественных, философских и религиозных традиций, и, следовательно, установление ограничений […] в ц</w:t>
      </w:r>
      <w:r w:rsidRPr="007A18A2">
        <w:t>е</w:t>
      </w:r>
      <w:r w:rsidRPr="007A18A2">
        <w:t>лях защиты нравственности не должно основываться на принципах, вытека</w:t>
      </w:r>
      <w:r w:rsidRPr="007A18A2">
        <w:t>ю</w:t>
      </w:r>
      <w:r w:rsidRPr="007A18A2">
        <w:t>щих исключительно из одной единственной традиции". Любые подобные огр</w:t>
      </w:r>
      <w:r w:rsidRPr="007A18A2">
        <w:t>а</w:t>
      </w:r>
      <w:r w:rsidRPr="007A18A2">
        <w:t>ничения должны рассматриваться в контексте универсального характера прав человека и принципа недопущения дискр</w:t>
      </w:r>
      <w:r w:rsidRPr="007A18A2">
        <w:t>и</w:t>
      </w:r>
      <w:r w:rsidRPr="007A18A2">
        <w:t>минации.</w:t>
      </w:r>
    </w:p>
    <w:p w:rsidR="008F3A81" w:rsidRPr="00D65C9D" w:rsidRDefault="008F3A81" w:rsidP="008F3A81">
      <w:pPr>
        <w:pStyle w:val="SingleTxtGR"/>
      </w:pPr>
      <w:r w:rsidRPr="00D65C9D">
        <w:t>33.</w:t>
      </w:r>
      <w:r w:rsidRPr="00D65C9D">
        <w:tab/>
        <w:t>Установление ограничений должно быть "необходимой" и обоснованной с точки зрения закона мерой. Например, запрет на коммерческую рекламу на одном языке для защиты языка конкретного сообщества нарушает критерий н</w:t>
      </w:r>
      <w:r w:rsidRPr="00D65C9D">
        <w:t>е</w:t>
      </w:r>
      <w:r w:rsidRPr="00D65C9D">
        <w:t xml:space="preserve">обходимости, если </w:t>
      </w:r>
      <w:r>
        <w:t xml:space="preserve">такой </w:t>
      </w:r>
      <w:r w:rsidRPr="00D65C9D">
        <w:t>защиты можно добиться другими способами, не огр</w:t>
      </w:r>
      <w:r w:rsidRPr="00D65C9D">
        <w:t>а</w:t>
      </w:r>
      <w:r w:rsidRPr="00D65C9D">
        <w:t>ничивая при этом права на свободное выражение мнений</w:t>
      </w:r>
      <w:r>
        <w:rPr>
          <w:rStyle w:val="FootnoteReference"/>
        </w:rPr>
        <w:footnoteReference w:id="70"/>
      </w:r>
      <w:r w:rsidRPr="00D65C9D">
        <w:t>. С другой стороны</w:t>
      </w:r>
      <w:r>
        <w:t>,</w:t>
      </w:r>
      <w:r w:rsidRPr="00D65C9D">
        <w:t xml:space="preserve"> Комитет посчитал, что </w:t>
      </w:r>
      <w:proofErr w:type="spellStart"/>
      <w:r w:rsidRPr="00D65C9D">
        <w:t>государство</w:t>
      </w:r>
      <w:r w:rsidR="00822453">
        <w:t>−</w:t>
      </w:r>
      <w:r w:rsidRPr="00D65C9D">
        <w:t>участник</w:t>
      </w:r>
      <w:proofErr w:type="spellEnd"/>
      <w:r w:rsidRPr="00D65C9D">
        <w:t xml:space="preserve"> выполнило требование о необх</w:t>
      </w:r>
      <w:r w:rsidRPr="00D65C9D">
        <w:t>о</w:t>
      </w:r>
      <w:r w:rsidRPr="00D65C9D">
        <w:t>димости, когда оно лишило профессионального статуса преподавателя, опубл</w:t>
      </w:r>
      <w:r w:rsidRPr="00D65C9D">
        <w:t>и</w:t>
      </w:r>
      <w:r w:rsidRPr="00D65C9D">
        <w:t>ковавшего материалы, содержащие враждебные высказывания в отношении р</w:t>
      </w:r>
      <w:r w:rsidRPr="00D65C9D">
        <w:t>е</w:t>
      </w:r>
      <w:r w:rsidRPr="00D65C9D">
        <w:t>лигиозного сообщества, преследуя цель защит</w:t>
      </w:r>
      <w:r>
        <w:t>ы</w:t>
      </w:r>
      <w:r w:rsidRPr="00D65C9D">
        <w:t xml:space="preserve"> прав</w:t>
      </w:r>
      <w:r>
        <w:t xml:space="preserve"> и свобод</w:t>
      </w:r>
      <w:r w:rsidRPr="00D65C9D">
        <w:t xml:space="preserve"> детей этого в</w:t>
      </w:r>
      <w:r w:rsidRPr="00D65C9D">
        <w:t>е</w:t>
      </w:r>
      <w:r w:rsidRPr="00D65C9D">
        <w:t>роисповедания в школьном округе</w:t>
      </w:r>
      <w:r>
        <w:rPr>
          <w:rStyle w:val="FootnoteReference"/>
        </w:rPr>
        <w:footnoteReference w:id="71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34.</w:t>
      </w:r>
      <w:r w:rsidRPr="00D65C9D">
        <w:tab/>
        <w:t>Ограничения не должны быть чрезмерно широкими. В своем замечании общего порядка № 27 Комитет отметил, что "ограничительные меры должны соответствовать принципу соразмерности;</w:t>
      </w:r>
      <w:r>
        <w:t xml:space="preserve"> </w:t>
      </w:r>
      <w:r w:rsidRPr="00D65C9D">
        <w:t>они должны являться уместными для выполнения своей защитной функции;</w:t>
      </w:r>
      <w:r>
        <w:t xml:space="preserve"> </w:t>
      </w:r>
      <w:r w:rsidRPr="00D65C9D">
        <w:t>они должны представлять собой наим</w:t>
      </w:r>
      <w:r w:rsidRPr="00D65C9D">
        <w:t>е</w:t>
      </w:r>
      <w:r w:rsidRPr="00D65C9D">
        <w:t>нее ограничительное средство из числа тех, с помощью которых может быть достигнут желаемый результат;</w:t>
      </w:r>
      <w:r>
        <w:t xml:space="preserve"> </w:t>
      </w:r>
      <w:r w:rsidRPr="00D65C9D">
        <w:t>и они должны являться соразмерными защ</w:t>
      </w:r>
      <w:r w:rsidRPr="00D65C9D">
        <w:t>и</w:t>
      </w:r>
      <w:r w:rsidRPr="00D65C9D">
        <w:t>щаемому интересу. Принцип соразмерности должен соблюдаться не только в законодательстве, в котором предусматриваются ограничения, но и админис</w:t>
      </w:r>
      <w:r w:rsidRPr="00D65C9D">
        <w:t>т</w:t>
      </w:r>
      <w:r w:rsidRPr="00D65C9D">
        <w:t>ративными и судебными властями в процессе применения законодательства</w:t>
      </w:r>
      <w:r>
        <w:rPr>
          <w:rStyle w:val="FootnoteReference"/>
        </w:rPr>
        <w:footnoteReference w:id="72"/>
      </w:r>
      <w:r>
        <w:t>".</w:t>
      </w:r>
      <w:r w:rsidRPr="00D65C9D">
        <w:t xml:space="preserve"> При соблюдении принципа соразмерности необходимо также учитывать ко</w:t>
      </w:r>
      <w:r w:rsidRPr="00D65C9D">
        <w:t>н</w:t>
      </w:r>
      <w:r w:rsidRPr="00D65C9D">
        <w:t>кретную форму выражения мнения и средства его распространения. Например, в Пакте придается весьма большое значение беспрепятственному выражению мнений во время политических дискуссий, проводимых в демократическом о</w:t>
      </w:r>
      <w:r w:rsidRPr="00D65C9D">
        <w:t>б</w:t>
      </w:r>
      <w:r w:rsidRPr="00D65C9D">
        <w:t>ществе с участ</w:t>
      </w:r>
      <w:r w:rsidRPr="00D65C9D">
        <w:t>и</w:t>
      </w:r>
      <w:r w:rsidRPr="00D65C9D">
        <w:t>ем государственных и политических деятелей</w:t>
      </w:r>
      <w:r w:rsidRPr="00BA1005">
        <w:rPr>
          <w:sz w:val="18"/>
          <w:szCs w:val="18"/>
          <w:vertAlign w:val="superscript"/>
        </w:rPr>
        <w:footnoteReference w:id="73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35.</w:t>
      </w:r>
      <w:r w:rsidRPr="00D65C9D">
        <w:tab/>
        <w:t xml:space="preserve">Когда </w:t>
      </w:r>
      <w:proofErr w:type="spellStart"/>
      <w:r w:rsidRPr="00D65C9D">
        <w:t>государство</w:t>
      </w:r>
      <w:r w:rsidR="00822453">
        <w:t>−</w:t>
      </w:r>
      <w:r w:rsidRPr="00D65C9D">
        <w:t>участник</w:t>
      </w:r>
      <w:proofErr w:type="spellEnd"/>
      <w:r w:rsidRPr="00D65C9D">
        <w:t xml:space="preserve"> ссылается на законные основания при уст</w:t>
      </w:r>
      <w:r w:rsidRPr="00D65C9D">
        <w:t>а</w:t>
      </w:r>
      <w:r w:rsidRPr="00D65C9D">
        <w:t>новлении ограничения на свободу выражения мнений, оно должно четко и по</w:t>
      </w:r>
      <w:r w:rsidRPr="00D65C9D">
        <w:t>д</w:t>
      </w:r>
      <w:r w:rsidRPr="00D65C9D">
        <w:t>робно продемонстрировать конкретный характер угрозы, а также то, что прин</w:t>
      </w:r>
      <w:r w:rsidRPr="00D65C9D">
        <w:t>я</w:t>
      </w:r>
      <w:r w:rsidRPr="00D65C9D">
        <w:t>тие конкретных мер отвечает критериям необходимости и соразмерности, в ч</w:t>
      </w:r>
      <w:r w:rsidRPr="00D65C9D">
        <w:t>а</w:t>
      </w:r>
      <w:r w:rsidRPr="00D65C9D">
        <w:t>стности путем установления прямой и непосредственной связи между формой выражения и угрозой</w:t>
      </w:r>
      <w:r w:rsidRPr="00BA1005">
        <w:rPr>
          <w:sz w:val="18"/>
          <w:szCs w:val="18"/>
          <w:vertAlign w:val="superscript"/>
        </w:rPr>
        <w:footnoteReference w:id="74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36.</w:t>
      </w:r>
      <w:r w:rsidRPr="00D65C9D">
        <w:tab/>
        <w:t>Комитет оставляет за собой право оценить, существовали ли в данном конкретном случае условия, обосновывающие необходимость установления о</w:t>
      </w:r>
      <w:r w:rsidRPr="00D65C9D">
        <w:t>г</w:t>
      </w:r>
      <w:r w:rsidRPr="00D65C9D">
        <w:t>раничений на свободу выражения мнений</w:t>
      </w:r>
      <w:r w:rsidRPr="00BA1005">
        <w:rPr>
          <w:sz w:val="18"/>
          <w:szCs w:val="18"/>
          <w:vertAlign w:val="superscript"/>
        </w:rPr>
        <w:footnoteReference w:id="75"/>
      </w:r>
      <w:r w:rsidRPr="00BD57AA">
        <w:rPr>
          <w:sz w:val="18"/>
          <w:szCs w:val="18"/>
        </w:rPr>
        <w:t>.</w:t>
      </w:r>
      <w:r w:rsidRPr="00BD57AA">
        <w:t xml:space="preserve"> </w:t>
      </w:r>
      <w:r w:rsidRPr="00D65C9D">
        <w:t>В связи с этим Комитет напомин</w:t>
      </w:r>
      <w:r w:rsidRPr="00D65C9D">
        <w:t>а</w:t>
      </w:r>
      <w:r w:rsidRPr="00D65C9D">
        <w:t>ет, что границы этой свободы не следует определять с точки зрения "предела оценки"</w:t>
      </w:r>
      <w:r w:rsidRPr="00BA1005">
        <w:rPr>
          <w:sz w:val="18"/>
          <w:szCs w:val="18"/>
          <w:vertAlign w:val="superscript"/>
        </w:rPr>
        <w:footnoteReference w:id="76"/>
      </w:r>
      <w:r w:rsidRPr="00D65C9D">
        <w:t xml:space="preserve"> и что для предоставления Комитету возможности выполнять свои функции </w:t>
      </w:r>
      <w:proofErr w:type="spellStart"/>
      <w:r w:rsidRPr="00D65C9D">
        <w:t>государство</w:t>
      </w:r>
      <w:r w:rsidR="00822453">
        <w:t>−</w:t>
      </w:r>
      <w:r w:rsidRPr="00D65C9D">
        <w:t>участник</w:t>
      </w:r>
      <w:proofErr w:type="spellEnd"/>
      <w:r w:rsidRPr="00D65C9D">
        <w:t xml:space="preserve"> должно в отношении любого конкретного сл</w:t>
      </w:r>
      <w:r w:rsidRPr="00D65C9D">
        <w:t>у</w:t>
      </w:r>
      <w:r w:rsidRPr="00D65C9D">
        <w:t>чая четко продемонстрировать реальный характер угрозы любому из ук</w:t>
      </w:r>
      <w:r w:rsidRPr="00D65C9D">
        <w:t>а</w:t>
      </w:r>
      <w:r w:rsidRPr="00D65C9D">
        <w:t>занных в пункте 3 оснований, возникновение которой привело к ограничению свободы выражения мнений</w:t>
      </w:r>
      <w:r w:rsidRPr="00543BEF">
        <w:rPr>
          <w:sz w:val="18"/>
          <w:szCs w:val="18"/>
          <w:vertAlign w:val="superscript"/>
        </w:rPr>
        <w:footnoteReference w:id="77"/>
      </w:r>
      <w:r w:rsidRPr="00D65C9D">
        <w:t>.</w:t>
      </w:r>
    </w:p>
    <w:p w:rsidR="008F3A81" w:rsidRPr="00D65C9D" w:rsidRDefault="008F3A81" w:rsidP="008F3A81">
      <w:pPr>
        <w:pStyle w:val="H1GR"/>
      </w:pPr>
      <w:r>
        <w:tab/>
      </w:r>
      <w:r>
        <w:tab/>
      </w:r>
      <w:r w:rsidRPr="00D65C9D">
        <w:t xml:space="preserve">Узкие </w:t>
      </w:r>
      <w:r>
        <w:t xml:space="preserve">пределы </w:t>
      </w:r>
      <w:r w:rsidRPr="00D65C9D">
        <w:t>огранич</w:t>
      </w:r>
      <w:r>
        <w:t>ения свободы выражения мнений в </w:t>
      </w:r>
      <w:r w:rsidRPr="00D65C9D">
        <w:t>ряде конкретных областей</w:t>
      </w:r>
    </w:p>
    <w:p w:rsidR="008F3A81" w:rsidRPr="00D65C9D" w:rsidRDefault="008F3A81" w:rsidP="008F3A81">
      <w:pPr>
        <w:pStyle w:val="SingleTxtGR"/>
      </w:pPr>
      <w:r w:rsidRPr="00D65C9D">
        <w:t>37.</w:t>
      </w:r>
      <w:r w:rsidRPr="00D65C9D">
        <w:tab/>
        <w:t>К ограничениям на участие в</w:t>
      </w:r>
      <w:r>
        <w:t xml:space="preserve"> политической жизни, вызывающим</w:t>
      </w:r>
      <w:r w:rsidRPr="00D65C9D">
        <w:t xml:space="preserve"> у Ком</w:t>
      </w:r>
      <w:r w:rsidRPr="00D65C9D">
        <w:t>и</w:t>
      </w:r>
      <w:r w:rsidRPr="00D65C9D">
        <w:t>тета обеспокоенность, относятся поквартирные опросы</w:t>
      </w:r>
      <w:r w:rsidRPr="00D65C9D">
        <w:rPr>
          <w:vertAlign w:val="superscript"/>
        </w:rPr>
        <w:footnoteReference w:id="78"/>
      </w:r>
      <w:r w:rsidRPr="00D65C9D">
        <w:t>, ограничения в отн</w:t>
      </w:r>
      <w:r w:rsidRPr="00D65C9D">
        <w:t>о</w:t>
      </w:r>
      <w:r w:rsidRPr="00D65C9D">
        <w:t>шении количества и характера печатных материалов, которые можно распр</w:t>
      </w:r>
      <w:r w:rsidRPr="00D65C9D">
        <w:t>о</w:t>
      </w:r>
      <w:r w:rsidRPr="00D65C9D">
        <w:t>странять во время предвыборных кампаний</w:t>
      </w:r>
      <w:r w:rsidRPr="00543BEF">
        <w:rPr>
          <w:sz w:val="18"/>
          <w:szCs w:val="18"/>
          <w:vertAlign w:val="superscript"/>
        </w:rPr>
        <w:footnoteReference w:id="79"/>
      </w:r>
      <w:r w:rsidRPr="00D65C9D">
        <w:t>, отказ в доступе во время избир</w:t>
      </w:r>
      <w:r w:rsidRPr="00D65C9D">
        <w:t>а</w:t>
      </w:r>
      <w:r w:rsidRPr="00D65C9D">
        <w:t>тельных кампаний к источникам, содержащим политические комме</w:t>
      </w:r>
      <w:r>
        <w:t>нтарии, в</w:t>
      </w:r>
      <w:r w:rsidR="00D81556">
        <w:t xml:space="preserve"> </w:t>
      </w:r>
      <w:r w:rsidRPr="00D65C9D">
        <w:t xml:space="preserve">том числе </w:t>
      </w:r>
      <w:r>
        <w:t xml:space="preserve">к </w:t>
      </w:r>
      <w:r w:rsidRPr="00D65C9D">
        <w:t>местным и иностранным средствам информации</w:t>
      </w:r>
      <w:r w:rsidRPr="00543BEF">
        <w:rPr>
          <w:sz w:val="18"/>
          <w:szCs w:val="18"/>
          <w:vertAlign w:val="superscript"/>
        </w:rPr>
        <w:footnoteReference w:id="80"/>
      </w:r>
      <w:r w:rsidRPr="00D65C9D">
        <w:t>, а также огран</w:t>
      </w:r>
      <w:r w:rsidRPr="00D65C9D">
        <w:t>и</w:t>
      </w:r>
      <w:r w:rsidRPr="00D65C9D">
        <w:t>чение доступа оппозиционных партий и политических деятелей к СМИ</w:t>
      </w:r>
      <w:r w:rsidRPr="00822453">
        <w:rPr>
          <w:sz w:val="18"/>
          <w:szCs w:val="18"/>
          <w:vertAlign w:val="superscript"/>
        </w:rPr>
        <w:footnoteReference w:id="81"/>
      </w:r>
      <w:r w:rsidRPr="00D65C9D">
        <w:t>. Л</w:t>
      </w:r>
      <w:r w:rsidRPr="00D65C9D">
        <w:t>ю</w:t>
      </w:r>
      <w:r w:rsidRPr="00D65C9D">
        <w:t xml:space="preserve">бое ограничение должно быть совместимо с пунктом 3. Тем не менее </w:t>
      </w:r>
      <w:proofErr w:type="spellStart"/>
      <w:r w:rsidRPr="00D65C9D">
        <w:t>госуда</w:t>
      </w:r>
      <w:r w:rsidRPr="00D65C9D">
        <w:t>р</w:t>
      </w:r>
      <w:r w:rsidRPr="00D65C9D">
        <w:t>ство</w:t>
      </w:r>
      <w:r w:rsidR="00822453">
        <w:t>−</w:t>
      </w:r>
      <w:r w:rsidRPr="00D65C9D">
        <w:t>участник</w:t>
      </w:r>
      <w:proofErr w:type="spellEnd"/>
      <w:r w:rsidRPr="00D65C9D">
        <w:t xml:space="preserve"> может на законных осн</w:t>
      </w:r>
      <w:r>
        <w:t>ованиях ограничивать политический</w:t>
      </w:r>
      <w:r w:rsidRPr="00D65C9D">
        <w:t xml:space="preserve"> </w:t>
      </w:r>
      <w:r>
        <w:t>о</w:t>
      </w:r>
      <w:r>
        <w:t>п</w:t>
      </w:r>
      <w:r>
        <w:t xml:space="preserve">рос </w:t>
      </w:r>
      <w:r w:rsidRPr="00D65C9D">
        <w:t>непосредственно перед выборами с целью сохранить целостность избир</w:t>
      </w:r>
      <w:r w:rsidRPr="00D65C9D">
        <w:t>а</w:t>
      </w:r>
      <w:r w:rsidRPr="00D65C9D">
        <w:t>тельного процесса</w:t>
      </w:r>
      <w:r w:rsidRPr="00543BEF">
        <w:rPr>
          <w:sz w:val="18"/>
          <w:szCs w:val="18"/>
          <w:vertAlign w:val="superscript"/>
        </w:rPr>
        <w:footnoteReference w:id="82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38.</w:t>
      </w:r>
      <w:r w:rsidRPr="00D65C9D">
        <w:tab/>
        <w:t>Как было ранее отмечено в пунктах 13 и 20, касающихся форм участия в политической жизни, Комитет отмечает, что в Пакте уделяется особое внимание праву на беспрепятственное выражение мнений при проведении дискуссий с участием политических и государственных деятелей</w:t>
      </w:r>
      <w:r w:rsidRPr="00543BEF">
        <w:rPr>
          <w:sz w:val="18"/>
          <w:szCs w:val="18"/>
          <w:vertAlign w:val="superscript"/>
        </w:rPr>
        <w:footnoteReference w:id="83"/>
      </w:r>
      <w:r w:rsidRPr="00D65C9D">
        <w:t>. Таким образом, одного лишь факта, что формы выражения мнений оскорбляют какого-либо общес</w:t>
      </w:r>
      <w:r w:rsidRPr="00D65C9D">
        <w:t>т</w:t>
      </w:r>
      <w:r w:rsidRPr="00D65C9D">
        <w:t>венного деятеля, недостаточно для того, чтобы обосновать установление нак</w:t>
      </w:r>
      <w:r w:rsidRPr="00D65C9D">
        <w:t>а</w:t>
      </w:r>
      <w:r w:rsidRPr="00D65C9D">
        <w:t xml:space="preserve">заний, хотя общественные деятели также могут </w:t>
      </w:r>
      <w:r>
        <w:t xml:space="preserve">в своих интересах использовать </w:t>
      </w:r>
      <w:r w:rsidRPr="00D65C9D">
        <w:t>положения Пакта</w:t>
      </w:r>
      <w:r w:rsidRPr="00543BEF">
        <w:rPr>
          <w:sz w:val="18"/>
          <w:szCs w:val="18"/>
          <w:vertAlign w:val="superscript"/>
        </w:rPr>
        <w:footnoteReference w:id="84"/>
      </w:r>
      <w:r w:rsidRPr="00D65C9D">
        <w:t>. Более того, все общественные деятели, в том числе пре</w:t>
      </w:r>
      <w:r w:rsidRPr="00D65C9D">
        <w:t>д</w:t>
      </w:r>
      <w:r w:rsidRPr="00D65C9D">
        <w:t>ставители высшей политической власти, такие как главы государств и прав</w:t>
      </w:r>
      <w:r w:rsidRPr="00D65C9D">
        <w:t>и</w:t>
      </w:r>
      <w:r w:rsidRPr="00D65C9D">
        <w:t>тельств, могут на законных основаниях становиться объектом критики и нап</w:t>
      </w:r>
      <w:r w:rsidRPr="00D65C9D">
        <w:t>а</w:t>
      </w:r>
      <w:r w:rsidRPr="00D65C9D">
        <w:t>док политической оппозиции</w:t>
      </w:r>
      <w:r w:rsidRPr="00543BEF">
        <w:rPr>
          <w:sz w:val="18"/>
          <w:szCs w:val="18"/>
          <w:vertAlign w:val="superscript"/>
        </w:rPr>
        <w:footnoteReference w:id="85"/>
      </w:r>
      <w:r w:rsidRPr="00D65C9D">
        <w:t>. По этой причине Комитет выражает обеспок</w:t>
      </w:r>
      <w:r w:rsidRPr="00D65C9D">
        <w:t>о</w:t>
      </w:r>
      <w:r w:rsidRPr="00D65C9D">
        <w:t>енность в связи с законами о таких действиях, как оскорбление высшего гос</w:t>
      </w:r>
      <w:r w:rsidRPr="00D65C9D">
        <w:t>у</w:t>
      </w:r>
      <w:r w:rsidRPr="00D65C9D">
        <w:t>дарственного лица</w:t>
      </w:r>
      <w:r w:rsidRPr="00543BEF">
        <w:rPr>
          <w:sz w:val="18"/>
          <w:szCs w:val="18"/>
          <w:vertAlign w:val="superscript"/>
        </w:rPr>
        <w:footnoteReference w:id="86"/>
      </w:r>
      <w:r w:rsidRPr="00D65C9D">
        <w:t>, неуважение к суду</w:t>
      </w:r>
      <w:r w:rsidRPr="00543BEF">
        <w:rPr>
          <w:sz w:val="18"/>
          <w:szCs w:val="18"/>
          <w:vertAlign w:val="superscript"/>
        </w:rPr>
        <w:footnoteReference w:id="87"/>
      </w:r>
      <w:r w:rsidRPr="00D65C9D">
        <w:t>, неуважение к представителям вл</w:t>
      </w:r>
      <w:r w:rsidRPr="00D65C9D">
        <w:t>а</w:t>
      </w:r>
      <w:r w:rsidRPr="00D65C9D">
        <w:t>сти</w:t>
      </w:r>
      <w:r w:rsidRPr="00543BEF">
        <w:rPr>
          <w:sz w:val="18"/>
          <w:szCs w:val="18"/>
          <w:vertAlign w:val="superscript"/>
        </w:rPr>
        <w:footnoteReference w:id="88"/>
      </w:r>
      <w:r w:rsidRPr="00D65C9D">
        <w:t>, неуважение к флагу и символике, клевета на главу государства</w:t>
      </w:r>
      <w:r w:rsidRPr="00543BEF">
        <w:rPr>
          <w:sz w:val="18"/>
          <w:szCs w:val="18"/>
          <w:vertAlign w:val="superscript"/>
        </w:rPr>
        <w:footnoteReference w:id="89"/>
      </w:r>
      <w:r w:rsidRPr="00D65C9D">
        <w:t>, защита чести государственных должностных лиц</w:t>
      </w:r>
      <w:r w:rsidRPr="00543BEF">
        <w:rPr>
          <w:sz w:val="18"/>
          <w:szCs w:val="18"/>
          <w:vertAlign w:val="superscript"/>
        </w:rPr>
        <w:footnoteReference w:id="90"/>
      </w:r>
      <w:r>
        <w:t>; он</w:t>
      </w:r>
      <w:r w:rsidRPr="00D65C9D">
        <w:t xml:space="preserve"> также заявляет, что законом не должны устанавливаться более жесткие меры наказания исключ</w:t>
      </w:r>
      <w:r w:rsidRPr="00D65C9D">
        <w:t>и</w:t>
      </w:r>
      <w:r w:rsidRPr="00D65C9D">
        <w:t xml:space="preserve">тельно в связи с </w:t>
      </w:r>
      <w:r>
        <w:t xml:space="preserve">положением </w:t>
      </w:r>
      <w:r w:rsidRPr="00D65C9D">
        <w:t xml:space="preserve">личности </w:t>
      </w:r>
      <w:r>
        <w:t>индивида</w:t>
      </w:r>
      <w:r w:rsidRPr="00D65C9D">
        <w:t>, чья репутация была якобы подвергнута с</w:t>
      </w:r>
      <w:r w:rsidRPr="00D65C9D">
        <w:t>о</w:t>
      </w:r>
      <w:r w:rsidRPr="00D65C9D">
        <w:t xml:space="preserve">мнению. </w:t>
      </w:r>
      <w:proofErr w:type="spellStart"/>
      <w:r w:rsidRPr="00D65C9D">
        <w:t>Государствам</w:t>
      </w:r>
      <w:r w:rsidR="00822453">
        <w:t>−</w:t>
      </w:r>
      <w:r w:rsidRPr="00D65C9D">
        <w:t>участникам</w:t>
      </w:r>
      <w:proofErr w:type="spellEnd"/>
      <w:r w:rsidRPr="00D65C9D">
        <w:t xml:space="preserve"> не следует запрещать критику таких стру</w:t>
      </w:r>
      <w:r w:rsidRPr="00D65C9D">
        <w:t>к</w:t>
      </w:r>
      <w:r w:rsidRPr="00D65C9D">
        <w:t>тур, как армия или административный аппарат</w:t>
      </w:r>
      <w:r w:rsidRPr="00543BEF">
        <w:rPr>
          <w:sz w:val="18"/>
          <w:szCs w:val="18"/>
          <w:vertAlign w:val="superscript"/>
        </w:rPr>
        <w:footnoteReference w:id="91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39.</w:t>
      </w:r>
      <w:r w:rsidRPr="00D65C9D">
        <w:tab/>
      </w:r>
      <w:proofErr w:type="spellStart"/>
      <w:r w:rsidRPr="00D65C9D">
        <w:t>Государствам</w:t>
      </w:r>
      <w:r w:rsidR="00822453">
        <w:t>−</w:t>
      </w:r>
      <w:r w:rsidRPr="00D65C9D">
        <w:t>участникам</w:t>
      </w:r>
      <w:proofErr w:type="spellEnd"/>
      <w:r w:rsidRPr="00D65C9D">
        <w:t xml:space="preserve"> следует обеспечивать соответствие законод</w:t>
      </w:r>
      <w:r w:rsidRPr="00D65C9D">
        <w:t>а</w:t>
      </w:r>
      <w:r w:rsidRPr="00D65C9D">
        <w:t xml:space="preserve">тельных и административных </w:t>
      </w:r>
      <w:r>
        <w:t>основ</w:t>
      </w:r>
      <w:r w:rsidRPr="00D65C9D">
        <w:t>, регулирующих деятельность СМИ, пол</w:t>
      </w:r>
      <w:r w:rsidRPr="00D65C9D">
        <w:t>о</w:t>
      </w:r>
      <w:r w:rsidRPr="00D65C9D">
        <w:t>жениям пункта 3</w:t>
      </w:r>
      <w:r w:rsidRPr="00543BEF">
        <w:rPr>
          <w:sz w:val="18"/>
          <w:szCs w:val="18"/>
          <w:vertAlign w:val="superscript"/>
        </w:rPr>
        <w:footnoteReference w:id="92"/>
      </w:r>
      <w:r w:rsidRPr="00D65C9D">
        <w:t xml:space="preserve">. Системы регулирования должны принимать во внимание различия между печатными и вещательными СМИ и </w:t>
      </w:r>
      <w:r>
        <w:t>И</w:t>
      </w:r>
      <w:r w:rsidRPr="00D65C9D">
        <w:t>нтернетом с учетом точек соприкосновения различных форматов СМИ. Запрет на выпуск газет и других печатных СМИ при отсутствии особых условий, закрепленных в пункте 3 ст</w:t>
      </w:r>
      <w:r w:rsidRPr="00D65C9D">
        <w:t>а</w:t>
      </w:r>
      <w:r w:rsidRPr="00D65C9D">
        <w:t>тьи 19, является нарушением этой статьи. Запрет на выпуск какого-либо ко</w:t>
      </w:r>
      <w:r w:rsidRPr="00D65C9D">
        <w:t>н</w:t>
      </w:r>
      <w:r w:rsidRPr="00D65C9D">
        <w:t>кретного издания может быть установлен лишь в том случае, если конкретные</w:t>
      </w:r>
      <w:r>
        <w:t>,</w:t>
      </w:r>
      <w:r w:rsidRPr="00D65C9D">
        <w:t xml:space="preserve"> неразрывно связанные с данным изданием материалы могут быть на законных основаниях запрещены в соответствии с пунктом 3. </w:t>
      </w:r>
      <w:proofErr w:type="spellStart"/>
      <w:r w:rsidRPr="00D65C9D">
        <w:t>Государства</w:t>
      </w:r>
      <w:r w:rsidR="00822453">
        <w:t>−</w:t>
      </w:r>
      <w:r w:rsidRPr="00D65C9D">
        <w:t>участники</w:t>
      </w:r>
      <w:proofErr w:type="spellEnd"/>
      <w:r w:rsidRPr="00D65C9D">
        <w:t xml:space="preserve"> не должны вводить для вещательных СМИ, в том числе небольших и коммерч</w:t>
      </w:r>
      <w:r w:rsidRPr="00D65C9D">
        <w:t>е</w:t>
      </w:r>
      <w:r w:rsidRPr="00D65C9D">
        <w:t>ских станций, обременительные лицензионные условия и облагать их сбор</w:t>
      </w:r>
      <w:r w:rsidRPr="00D65C9D">
        <w:t>а</w:t>
      </w:r>
      <w:r w:rsidRPr="00D65C9D">
        <w:t>ми</w:t>
      </w:r>
      <w:r w:rsidRPr="00543BEF">
        <w:rPr>
          <w:sz w:val="18"/>
          <w:szCs w:val="18"/>
          <w:vertAlign w:val="superscript"/>
        </w:rPr>
        <w:footnoteReference w:id="93"/>
      </w:r>
      <w:r w:rsidRPr="00D65C9D">
        <w:t>. Критерии для введения таких условий и лицензионных сборов должны быть целесообразными и объективными</w:t>
      </w:r>
      <w:r w:rsidRPr="00543BEF">
        <w:rPr>
          <w:sz w:val="18"/>
          <w:szCs w:val="18"/>
          <w:vertAlign w:val="superscript"/>
        </w:rPr>
        <w:footnoteReference w:id="94"/>
      </w:r>
      <w:r w:rsidRPr="00D65C9D">
        <w:t>, четкими</w:t>
      </w:r>
      <w:r w:rsidRPr="00543BEF">
        <w:rPr>
          <w:sz w:val="18"/>
          <w:szCs w:val="18"/>
          <w:vertAlign w:val="superscript"/>
        </w:rPr>
        <w:footnoteReference w:id="95"/>
      </w:r>
      <w:r w:rsidRPr="00D65C9D">
        <w:t>, прозрачными</w:t>
      </w:r>
      <w:r w:rsidRPr="00543BEF">
        <w:rPr>
          <w:sz w:val="18"/>
          <w:szCs w:val="18"/>
          <w:vertAlign w:val="superscript"/>
        </w:rPr>
        <w:footnoteReference w:id="96"/>
      </w:r>
      <w:r w:rsidRPr="00D65C9D">
        <w:t>, не дол</w:t>
      </w:r>
      <w:r w:rsidRPr="00D65C9D">
        <w:t>ж</w:t>
      </w:r>
      <w:r w:rsidRPr="00D65C9D">
        <w:t>ны носить дискриминационного характера и должны отвечать иным характерист</w:t>
      </w:r>
      <w:r w:rsidRPr="00D65C9D">
        <w:t>и</w:t>
      </w:r>
      <w:r w:rsidRPr="00D65C9D">
        <w:t>кам в соответствии с Пактом</w:t>
      </w:r>
      <w:r w:rsidRPr="00543BEF">
        <w:rPr>
          <w:sz w:val="18"/>
          <w:szCs w:val="18"/>
          <w:vertAlign w:val="superscript"/>
        </w:rPr>
        <w:footnoteReference w:id="97"/>
      </w:r>
      <w:r w:rsidRPr="0042755B">
        <w:rPr>
          <w:sz w:val="18"/>
          <w:szCs w:val="18"/>
        </w:rPr>
        <w:t>.</w:t>
      </w:r>
      <w:r w:rsidRPr="00D65C9D">
        <w:t xml:space="preserve"> Порядок выдачи лицензий на вещание при п</w:t>
      </w:r>
      <w:r w:rsidRPr="00D65C9D">
        <w:t>о</w:t>
      </w:r>
      <w:r w:rsidRPr="00D65C9D">
        <w:t>мощи средств ограниченн</w:t>
      </w:r>
      <w:r>
        <w:t>ых возможностей</w:t>
      </w:r>
      <w:r w:rsidRPr="00D65C9D">
        <w:t>, таких как аудиовизуальные назе</w:t>
      </w:r>
      <w:r w:rsidRPr="00D65C9D">
        <w:t>м</w:t>
      </w:r>
      <w:r w:rsidRPr="00D65C9D">
        <w:t>ные и спутниковые службы, должен обеспечивать равное распределение дост</w:t>
      </w:r>
      <w:r w:rsidRPr="00D65C9D">
        <w:t>у</w:t>
      </w:r>
      <w:r w:rsidRPr="00D65C9D">
        <w:t xml:space="preserve">па и частот для государственных, коммерческих и местных вещательных служб. </w:t>
      </w:r>
      <w:proofErr w:type="spellStart"/>
      <w:r w:rsidRPr="00D65C9D">
        <w:t>Государствам</w:t>
      </w:r>
      <w:r w:rsidR="00822453">
        <w:t>−</w:t>
      </w:r>
      <w:r w:rsidRPr="00D65C9D">
        <w:t>участникам</w:t>
      </w:r>
      <w:proofErr w:type="spellEnd"/>
      <w:r w:rsidRPr="00D65C9D">
        <w:t>, которые еще этого не сделали, рекомендуется учр</w:t>
      </w:r>
      <w:r w:rsidRPr="00D65C9D">
        <w:t>е</w:t>
      </w:r>
      <w:r w:rsidRPr="00D65C9D">
        <w:t>дить независимый государственный орган по выдаче лицензий на вещание, уполномоченный рассма</w:t>
      </w:r>
      <w:r w:rsidRPr="00D65C9D">
        <w:t>т</w:t>
      </w:r>
      <w:r w:rsidRPr="00D65C9D">
        <w:t>ривать заявки на вещание и выдавать лицензии</w:t>
      </w:r>
      <w:r w:rsidRPr="00CE71B8">
        <w:rPr>
          <w:sz w:val="18"/>
          <w:szCs w:val="18"/>
          <w:vertAlign w:val="superscript"/>
        </w:rPr>
        <w:footnoteReference w:id="98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40.</w:t>
      </w:r>
      <w:r w:rsidRPr="00D65C9D">
        <w:tab/>
        <w:t>Комитет вновь повторяет свой комментарий, содержащийся в замечании общего порядка № 10 о том, что "в связи с развитием современных средств массовой информации необходимы эффективные меры для предотвращения т</w:t>
      </w:r>
      <w:r w:rsidRPr="00D65C9D">
        <w:t>а</w:t>
      </w:r>
      <w:r w:rsidRPr="00D65C9D">
        <w:t>кого контроля над средствами массовой информации, который препятствовал бы осуществлению каждым человеком права на свободное выражение своего мнения". Государства не должны обладать монополией на СМИ и должны п</w:t>
      </w:r>
      <w:r w:rsidRPr="00D65C9D">
        <w:t>о</w:t>
      </w:r>
      <w:r w:rsidRPr="00D65C9D">
        <w:t>ощрять их разнообразие</w:t>
      </w:r>
      <w:r w:rsidRPr="00CE71B8">
        <w:rPr>
          <w:sz w:val="18"/>
          <w:szCs w:val="18"/>
          <w:vertAlign w:val="superscript"/>
        </w:rPr>
        <w:footnoteReference w:id="99"/>
      </w:r>
      <w:r w:rsidRPr="00D65C9D">
        <w:t xml:space="preserve">. Вследствие этого </w:t>
      </w:r>
      <w:proofErr w:type="spellStart"/>
      <w:r w:rsidRPr="00D65C9D">
        <w:t>государствам</w:t>
      </w:r>
      <w:r w:rsidR="00822453">
        <w:t>−</w:t>
      </w:r>
      <w:r w:rsidRPr="00D65C9D">
        <w:t>участникам</w:t>
      </w:r>
      <w:proofErr w:type="spellEnd"/>
      <w:r w:rsidRPr="00D65C9D">
        <w:t xml:space="preserve"> следует принять все необходимые меры в соответствии с Пактом для того, чтобы пр</w:t>
      </w:r>
      <w:r w:rsidRPr="00D65C9D">
        <w:t>е</w:t>
      </w:r>
      <w:r w:rsidRPr="00D65C9D">
        <w:t>дупредить случаи монополизации, ненадлежащее доминирование в СМИ час</w:t>
      </w:r>
      <w:r w:rsidRPr="00D65C9D">
        <w:t>т</w:t>
      </w:r>
      <w:r w:rsidRPr="00D65C9D">
        <w:t xml:space="preserve">ных </w:t>
      </w:r>
      <w:proofErr w:type="spellStart"/>
      <w:r w:rsidRPr="00D65C9D">
        <w:t>медиагрупп</w:t>
      </w:r>
      <w:proofErr w:type="spellEnd"/>
      <w:r w:rsidRPr="00D65C9D">
        <w:t xml:space="preserve"> или сосредоточение СМИ в их руках, что может негативно ск</w:t>
      </w:r>
      <w:r w:rsidRPr="00D65C9D">
        <w:t>а</w:t>
      </w:r>
      <w:r w:rsidRPr="00D65C9D">
        <w:t>заться на разнообразии источников информ</w:t>
      </w:r>
      <w:r w:rsidRPr="00D65C9D">
        <w:t>а</w:t>
      </w:r>
      <w:r w:rsidRPr="00D65C9D">
        <w:t xml:space="preserve">ции и взглядов. </w:t>
      </w:r>
    </w:p>
    <w:p w:rsidR="008F3A81" w:rsidRPr="00D65C9D" w:rsidRDefault="008F3A81" w:rsidP="008F3A81">
      <w:pPr>
        <w:pStyle w:val="SingleTxtGR"/>
      </w:pPr>
      <w:r w:rsidRPr="00D65C9D">
        <w:t>41.</w:t>
      </w:r>
      <w:r w:rsidRPr="00D65C9D">
        <w:tab/>
        <w:t>Крайне необходимо следить за тем, чтобы системы государственного су</w:t>
      </w:r>
      <w:r w:rsidRPr="00D65C9D">
        <w:t>б</w:t>
      </w:r>
      <w:r w:rsidRPr="00D65C9D">
        <w:t>сидирования СМИ и размещение государственной рекламы</w:t>
      </w:r>
      <w:r w:rsidRPr="009E0B5D">
        <w:rPr>
          <w:sz w:val="18"/>
          <w:szCs w:val="18"/>
          <w:vertAlign w:val="superscript"/>
        </w:rPr>
        <w:footnoteReference w:id="100"/>
      </w:r>
      <w:r w:rsidRPr="00D65C9D">
        <w:t xml:space="preserve"> не использов</w:t>
      </w:r>
      <w:r w:rsidRPr="00D65C9D">
        <w:t>а</w:t>
      </w:r>
      <w:r w:rsidRPr="00D65C9D">
        <w:t>лись для ограничения права на свободное выражение мнений</w:t>
      </w:r>
      <w:r w:rsidRPr="009E0B5D">
        <w:rPr>
          <w:sz w:val="18"/>
          <w:szCs w:val="18"/>
          <w:vertAlign w:val="superscript"/>
        </w:rPr>
        <w:footnoteReference w:id="101"/>
      </w:r>
      <w:r w:rsidRPr="00D65C9D">
        <w:t>. Кроме того, ч</w:t>
      </w:r>
      <w:r w:rsidRPr="00D65C9D">
        <w:t>а</w:t>
      </w:r>
      <w:r w:rsidRPr="00D65C9D">
        <w:t>стные СМИ не должны ставиться в неблагоприятное положение по сравн</w:t>
      </w:r>
      <w:r w:rsidRPr="00D65C9D">
        <w:t>е</w:t>
      </w:r>
      <w:r w:rsidRPr="00D65C9D">
        <w:t>нию с государственными СМИ с точки зрения доступа к средствам распространения/ ра</w:t>
      </w:r>
      <w:r w:rsidRPr="00D65C9D">
        <w:t>с</w:t>
      </w:r>
      <w:r w:rsidRPr="00D65C9D">
        <w:t>пределения и доступа к новостям</w:t>
      </w:r>
      <w:r w:rsidRPr="009E0B5D">
        <w:rPr>
          <w:sz w:val="18"/>
          <w:szCs w:val="18"/>
          <w:vertAlign w:val="superscript"/>
        </w:rPr>
        <w:footnoteReference w:id="102"/>
      </w:r>
      <w:r w:rsidRPr="00D65C9D">
        <w:t xml:space="preserve">. </w:t>
      </w:r>
    </w:p>
    <w:p w:rsidR="008F3A81" w:rsidRPr="00D65C9D" w:rsidRDefault="008F3A81" w:rsidP="008F3A81">
      <w:pPr>
        <w:pStyle w:val="SingleTxtGR"/>
      </w:pPr>
      <w:r w:rsidRPr="00D65C9D">
        <w:t>42.</w:t>
      </w:r>
      <w:r w:rsidRPr="00D65C9D">
        <w:tab/>
        <w:t>Установление мер наказания для СМИ, издателей или журналистов и</w:t>
      </w:r>
      <w:r w:rsidRPr="00D65C9D">
        <w:t>с</w:t>
      </w:r>
      <w:r w:rsidRPr="00D65C9D">
        <w:t>ключительно за критику правительства или общественно-политической сист</w:t>
      </w:r>
      <w:r w:rsidRPr="00D65C9D">
        <w:t>е</w:t>
      </w:r>
      <w:r w:rsidRPr="00D65C9D">
        <w:t>мы, которой придерживается правительство</w:t>
      </w:r>
      <w:r w:rsidRPr="009E0B5D">
        <w:rPr>
          <w:sz w:val="18"/>
          <w:szCs w:val="18"/>
          <w:vertAlign w:val="superscript"/>
        </w:rPr>
        <w:footnoteReference w:id="103"/>
      </w:r>
      <w:r w:rsidRPr="00D65C9D">
        <w:t>, ни при каких обстоятельствах не может рассматриваться в качестве необходимого ограничения права на свобо</w:t>
      </w:r>
      <w:r w:rsidRPr="00D65C9D">
        <w:t>д</w:t>
      </w:r>
      <w:r w:rsidRPr="00D65C9D">
        <w:t>ное выражение мнений.</w:t>
      </w:r>
    </w:p>
    <w:p w:rsidR="008F3A81" w:rsidRPr="00D65C9D" w:rsidRDefault="008F3A81" w:rsidP="008F3A81">
      <w:pPr>
        <w:pStyle w:val="SingleTxtGR"/>
      </w:pPr>
      <w:r w:rsidRPr="00D65C9D">
        <w:t>43.</w:t>
      </w:r>
      <w:r w:rsidRPr="00D65C9D">
        <w:tab/>
      </w:r>
      <w:r>
        <w:t xml:space="preserve">Любые ограничения на работу </w:t>
      </w:r>
      <w:proofErr w:type="spellStart"/>
      <w:r>
        <w:t>веб</w:t>
      </w:r>
      <w:r w:rsidRPr="00D65C9D">
        <w:t>сайтов</w:t>
      </w:r>
      <w:proofErr w:type="spellEnd"/>
      <w:r w:rsidRPr="00D65C9D">
        <w:t xml:space="preserve">, </w:t>
      </w:r>
      <w:proofErr w:type="spellStart"/>
      <w:r w:rsidRPr="00D65C9D">
        <w:t>блогов</w:t>
      </w:r>
      <w:proofErr w:type="spellEnd"/>
      <w:r w:rsidRPr="00D65C9D">
        <w:t xml:space="preserve"> и любых других подо</w:t>
      </w:r>
      <w:r w:rsidRPr="00D65C9D">
        <w:t>б</w:t>
      </w:r>
      <w:r w:rsidRPr="00D65C9D">
        <w:t>ных систем распростр</w:t>
      </w:r>
      <w:r w:rsidRPr="00D65C9D">
        <w:t>а</w:t>
      </w:r>
      <w:r w:rsidRPr="00D65C9D">
        <w:t xml:space="preserve">нения электронной и иной информации, основанных на </w:t>
      </w:r>
      <w:proofErr w:type="spellStart"/>
      <w:r w:rsidR="00822453" w:rsidRPr="00D65C9D">
        <w:t>Интернет</w:t>
      </w:r>
      <w:r w:rsidRPr="00D65C9D">
        <w:t>-технологиях</w:t>
      </w:r>
      <w:proofErr w:type="spellEnd"/>
      <w:r w:rsidRPr="00D65C9D">
        <w:t>, в том числе систем, обеспечивающих работу подобных средств коммуникации, таки</w:t>
      </w:r>
      <w:r>
        <w:t xml:space="preserve">х </w:t>
      </w:r>
      <w:r w:rsidRPr="00D65C9D">
        <w:t xml:space="preserve">как системы доступа к сети </w:t>
      </w:r>
      <w:r>
        <w:t>И</w:t>
      </w:r>
      <w:r w:rsidRPr="00D65C9D">
        <w:t>нтернет или пои</w:t>
      </w:r>
      <w:r w:rsidRPr="00D65C9D">
        <w:t>с</w:t>
      </w:r>
      <w:r w:rsidRPr="00D65C9D">
        <w:t>ковые системы, допустимы в той мере, в какой они совместимы с пунктом 3. Допустимы</w:t>
      </w:r>
      <w:r>
        <w:t>е</w:t>
      </w:r>
      <w:r w:rsidRPr="00D65C9D">
        <w:t xml:space="preserve"> ограничения </w:t>
      </w:r>
      <w:r>
        <w:t>должны основываться главным образом на содерж</w:t>
      </w:r>
      <w:r>
        <w:t>а</w:t>
      </w:r>
      <w:r>
        <w:t xml:space="preserve">нии конкретных </w:t>
      </w:r>
      <w:r w:rsidRPr="00D65C9D">
        <w:t>материалов; общие запреты на функционирование определе</w:t>
      </w:r>
      <w:r w:rsidRPr="00D65C9D">
        <w:t>н</w:t>
      </w:r>
      <w:r>
        <w:t>ных сайтов и систем не</w:t>
      </w:r>
      <w:r w:rsidRPr="00D65C9D">
        <w:t>совместимы с пунктом 3. Кроме того</w:t>
      </w:r>
      <w:r>
        <w:t>,</w:t>
      </w:r>
      <w:r w:rsidRPr="00D65C9D">
        <w:t xml:space="preserve"> несовместимым с пунктом 3 является запрет на публикацию сайтами или системами распростр</w:t>
      </w:r>
      <w:r w:rsidRPr="00D65C9D">
        <w:t>а</w:t>
      </w:r>
      <w:r w:rsidRPr="00D65C9D">
        <w:t>нения информации каких-либо материалов и</w:t>
      </w:r>
      <w:r w:rsidRPr="00D65C9D">
        <w:t>с</w:t>
      </w:r>
      <w:r w:rsidRPr="00D65C9D">
        <w:t>ключительно по той причине, что они могут содержать критику правительства или социально-политической си</w:t>
      </w:r>
      <w:r w:rsidRPr="00D65C9D">
        <w:t>с</w:t>
      </w:r>
      <w:r w:rsidRPr="00D65C9D">
        <w:t>темы, которой придерживается правительс</w:t>
      </w:r>
      <w:r w:rsidRPr="00D65C9D">
        <w:t>т</w:t>
      </w:r>
      <w:r w:rsidRPr="00D65C9D">
        <w:t>во</w:t>
      </w:r>
      <w:r w:rsidRPr="009E0B5D">
        <w:rPr>
          <w:sz w:val="18"/>
          <w:szCs w:val="18"/>
          <w:vertAlign w:val="superscript"/>
        </w:rPr>
        <w:footnoteReference w:id="104"/>
      </w:r>
      <w:r w:rsidRPr="00D65C9D">
        <w:t>.</w:t>
      </w:r>
    </w:p>
    <w:p w:rsidR="008F3A81" w:rsidRPr="00D65C9D" w:rsidRDefault="008F3A81" w:rsidP="008F3A81">
      <w:pPr>
        <w:pStyle w:val="SingleTxtGR"/>
      </w:pPr>
      <w:r w:rsidRPr="00D65C9D">
        <w:t>44.</w:t>
      </w:r>
      <w:r w:rsidRPr="00D65C9D">
        <w:tab/>
        <w:t>Журналистские функции выполняет широкий круг лиц, в том числе пр</w:t>
      </w:r>
      <w:r w:rsidRPr="00D65C9D">
        <w:t>о</w:t>
      </w:r>
      <w:r w:rsidRPr="00D65C9D">
        <w:t xml:space="preserve">фессиональные штатные репортеры и аналитики, </w:t>
      </w:r>
      <w:proofErr w:type="spellStart"/>
      <w:r w:rsidRPr="00D65C9D">
        <w:t>блогеры</w:t>
      </w:r>
      <w:proofErr w:type="spellEnd"/>
      <w:r w:rsidRPr="00D65C9D">
        <w:t xml:space="preserve"> и другие лица, кот</w:t>
      </w:r>
      <w:r w:rsidRPr="00D65C9D">
        <w:t>о</w:t>
      </w:r>
      <w:r w:rsidRPr="00D65C9D">
        <w:t xml:space="preserve">рые публикуются в печатных изданиях, </w:t>
      </w:r>
      <w:r>
        <w:t>И</w:t>
      </w:r>
      <w:r w:rsidRPr="00D65C9D">
        <w:t xml:space="preserve">нтернете или где-либо еще, поэтому существование </w:t>
      </w:r>
      <w:r>
        <w:t xml:space="preserve">общих </w:t>
      </w:r>
      <w:r w:rsidRPr="00D65C9D">
        <w:t>государственных систем регистрации журналистов или выдачи им лицензий является несовместимым с пунктом 3. Ограничения на а</w:t>
      </w:r>
      <w:r w:rsidRPr="00D65C9D">
        <w:t>к</w:t>
      </w:r>
      <w:r w:rsidRPr="00D65C9D">
        <w:t xml:space="preserve">кредитацию допустимы лишь в случаях, когда для журналистов необходимо предоставить привилегированный доступ в некоторые места или на некоторые события. Такие ограничения не должны носить дискриминационный характер и должны применяться в соответствии со статьей 19 и другими положениями Пакта на основе объективных критериев и </w:t>
      </w:r>
      <w:r>
        <w:t>с учетом</w:t>
      </w:r>
      <w:r w:rsidRPr="00D65C9D">
        <w:t xml:space="preserve"> того, что журналистские функции выполняет широкий круг лиц. </w:t>
      </w:r>
    </w:p>
    <w:p w:rsidR="008F3A81" w:rsidRPr="00D507E7" w:rsidRDefault="008F3A81" w:rsidP="008F3A81">
      <w:pPr>
        <w:pStyle w:val="SingleTxtGR"/>
      </w:pPr>
      <w:r w:rsidRPr="00D65C9D">
        <w:t>45.</w:t>
      </w:r>
      <w:r w:rsidRPr="00D65C9D">
        <w:tab/>
        <w:t>Как правило, несовместимыми с пунктом 3 являются попытки огран</w:t>
      </w:r>
      <w:r w:rsidRPr="00D65C9D">
        <w:t>и</w:t>
      </w:r>
      <w:r w:rsidRPr="00D65C9D">
        <w:t>чить право журналистов и других лиц, которые стремятся использовать свое право на свободное выражение мнений (к ним, например, относятся те, кто ж</w:t>
      </w:r>
      <w:r w:rsidRPr="00D65C9D">
        <w:t>е</w:t>
      </w:r>
      <w:r>
        <w:t>лаю</w:t>
      </w:r>
      <w:r w:rsidRPr="00D65C9D">
        <w:t>т посетить правозащитные мероприятия)</w:t>
      </w:r>
      <w:r w:rsidRPr="009E0B5D">
        <w:rPr>
          <w:sz w:val="18"/>
          <w:szCs w:val="18"/>
          <w:vertAlign w:val="superscript"/>
        </w:rPr>
        <w:footnoteReference w:id="105"/>
      </w:r>
      <w:r w:rsidRPr="00D65C9D">
        <w:t xml:space="preserve">, на перемещение за пределы </w:t>
      </w:r>
      <w:proofErr w:type="spellStart"/>
      <w:r w:rsidRPr="00D65C9D">
        <w:t>г</w:t>
      </w:r>
      <w:r w:rsidRPr="00D65C9D">
        <w:t>о</w:t>
      </w:r>
      <w:r w:rsidRPr="00D65C9D">
        <w:t>сударства</w:t>
      </w:r>
      <w:r w:rsidR="00822453">
        <w:t>−</w:t>
      </w:r>
      <w:r w:rsidRPr="00D65C9D">
        <w:t>участника</w:t>
      </w:r>
      <w:proofErr w:type="spellEnd"/>
      <w:r w:rsidRPr="00D65C9D">
        <w:t xml:space="preserve">, ограничивать въезд иностранных журналистов в </w:t>
      </w:r>
      <w:proofErr w:type="spellStart"/>
      <w:r w:rsidRPr="00D65C9D">
        <w:t>госуда</w:t>
      </w:r>
      <w:r w:rsidRPr="00D65C9D">
        <w:t>р</w:t>
      </w:r>
      <w:r w:rsidRPr="00D65C9D">
        <w:t>ство</w:t>
      </w:r>
      <w:r w:rsidR="00822453">
        <w:t>−</w:t>
      </w:r>
      <w:r w:rsidRPr="00D65C9D">
        <w:t>участник</w:t>
      </w:r>
      <w:proofErr w:type="spellEnd"/>
      <w:r w:rsidRPr="00D65C9D">
        <w:t xml:space="preserve"> из определенных стран</w:t>
      </w:r>
      <w:r w:rsidRPr="007D5139">
        <w:rPr>
          <w:sz w:val="18"/>
          <w:szCs w:val="18"/>
          <w:vertAlign w:val="superscript"/>
        </w:rPr>
        <w:footnoteReference w:id="106"/>
      </w:r>
      <w:r w:rsidRPr="00D65C9D">
        <w:t xml:space="preserve"> или ограничивать право на свободное передвижение журналистов и </w:t>
      </w:r>
      <w:r>
        <w:t>рас</w:t>
      </w:r>
      <w:r w:rsidRPr="00D65C9D">
        <w:t xml:space="preserve">следователей по вопросам прав человека в рамках </w:t>
      </w:r>
      <w:proofErr w:type="spellStart"/>
      <w:r w:rsidRPr="00D65C9D">
        <w:t>государства</w:t>
      </w:r>
      <w:r w:rsidR="00822453">
        <w:t>−</w:t>
      </w:r>
      <w:r w:rsidRPr="00D65C9D">
        <w:t>участника</w:t>
      </w:r>
      <w:proofErr w:type="spellEnd"/>
      <w:r w:rsidRPr="00D65C9D">
        <w:t xml:space="preserve"> (в том числе в затронутые конфликтом районы, районы природных катастроф и места, где, по утверждениям, наблюдаются н</w:t>
      </w:r>
      <w:r w:rsidRPr="00D65C9D">
        <w:t>а</w:t>
      </w:r>
      <w:r w:rsidRPr="00D65C9D">
        <w:t xml:space="preserve">рушения прав человека). </w:t>
      </w:r>
      <w:proofErr w:type="spellStart"/>
      <w:r w:rsidRPr="00D65C9D">
        <w:t>Государствам</w:t>
      </w:r>
      <w:r w:rsidR="00822453">
        <w:t>−</w:t>
      </w:r>
      <w:r w:rsidRPr="00D65C9D">
        <w:t>участникам</w:t>
      </w:r>
      <w:proofErr w:type="spellEnd"/>
      <w:r w:rsidRPr="00D65C9D">
        <w:t xml:space="preserve"> следует признать, что и</w:t>
      </w:r>
      <w:r w:rsidRPr="00D65C9D">
        <w:t>с</w:t>
      </w:r>
      <w:r w:rsidRPr="00D65C9D">
        <w:t>ключительная привилегия журналистов не разглашать источники информации является составным элементом права на свободное выражение мнений, и обе</w:t>
      </w:r>
      <w:r w:rsidRPr="00D65C9D">
        <w:t>с</w:t>
      </w:r>
      <w:r w:rsidRPr="00D65C9D">
        <w:t>печивать ее соблюдение</w:t>
      </w:r>
      <w:r w:rsidRPr="007D5139">
        <w:rPr>
          <w:sz w:val="18"/>
          <w:szCs w:val="18"/>
          <w:vertAlign w:val="superscript"/>
        </w:rPr>
        <w:footnoteReference w:id="107"/>
      </w:r>
      <w:r w:rsidRPr="00D65C9D">
        <w:t>.</w:t>
      </w:r>
    </w:p>
    <w:p w:rsidR="008F3A81" w:rsidRPr="00337962" w:rsidRDefault="008F3A81" w:rsidP="008F3A81">
      <w:pPr>
        <w:pStyle w:val="SingleTxtGR"/>
      </w:pPr>
      <w:r w:rsidRPr="00337962">
        <w:t>46.</w:t>
      </w:r>
      <w:r w:rsidRPr="00337962">
        <w:tab/>
      </w:r>
      <w:proofErr w:type="spellStart"/>
      <w:r w:rsidRPr="00337962">
        <w:t>Государствам</w:t>
      </w:r>
      <w:r w:rsidR="00822453">
        <w:t>−</w:t>
      </w:r>
      <w:r w:rsidRPr="00337962">
        <w:t>участникам</w:t>
      </w:r>
      <w:proofErr w:type="spellEnd"/>
      <w:r w:rsidRPr="00337962">
        <w:t xml:space="preserve"> следует обеспечивать совместимость антите</w:t>
      </w:r>
      <w:r w:rsidRPr="00337962">
        <w:t>р</w:t>
      </w:r>
      <w:r w:rsidRPr="00337962">
        <w:t>рористических мер с пунктом 3. Такие правонарушения как "поощрение терр</w:t>
      </w:r>
      <w:r w:rsidRPr="00337962">
        <w:t>о</w:t>
      </w:r>
      <w:r w:rsidRPr="00337962">
        <w:t>ризма"</w:t>
      </w:r>
      <w:r>
        <w:rPr>
          <w:rStyle w:val="FootnoteReference"/>
        </w:rPr>
        <w:footnoteReference w:id="108"/>
      </w:r>
      <w:r w:rsidRPr="00337962">
        <w:t xml:space="preserve"> и "экстремистская деятельность"</w:t>
      </w:r>
      <w:r w:rsidRPr="00337962">
        <w:rPr>
          <w:rStyle w:val="FootnoteReference"/>
        </w:rPr>
        <w:footnoteReference w:id="109"/>
      </w:r>
      <w:r w:rsidRPr="00337962">
        <w:t>, а также правонарушения "восхв</w:t>
      </w:r>
      <w:r w:rsidRPr="00337962">
        <w:t>а</w:t>
      </w:r>
      <w:r w:rsidRPr="00337962">
        <w:t>ления", "прославления" или "оправдания" терроризма должны иметь четкие о</w:t>
      </w:r>
      <w:r w:rsidRPr="00337962">
        <w:t>п</w:t>
      </w:r>
      <w:r w:rsidRPr="00337962">
        <w:t>ределения для гарантии того, что их применение не ведет к неуместному или несоразмерному вмешательству в осуществление права на свободное выраж</w:t>
      </w:r>
      <w:r w:rsidRPr="00337962">
        <w:t>е</w:t>
      </w:r>
      <w:r w:rsidRPr="00337962">
        <w:t>ние мнений. Кроме того, следует избегать чрезмерных ограничений на доступ к информации. СМИ играют ключевую роль при предоставлении населению и</w:t>
      </w:r>
      <w:r w:rsidRPr="00337962">
        <w:t>н</w:t>
      </w:r>
      <w:r w:rsidRPr="00337962">
        <w:t>формации о террористических действиях, поэтому нельзя допускать неправ</w:t>
      </w:r>
      <w:r w:rsidRPr="00337962">
        <w:t>о</w:t>
      </w:r>
      <w:r w:rsidRPr="00337962">
        <w:t>мерного ограничения их работы. В связи с этим журналисты не должны по</w:t>
      </w:r>
      <w:r w:rsidRPr="00337962">
        <w:t>д</w:t>
      </w:r>
      <w:r w:rsidRPr="00337962">
        <w:t xml:space="preserve">вергаться наказаниям за то, что они законно выполняют свои функции. </w:t>
      </w:r>
    </w:p>
    <w:p w:rsidR="008F3A81" w:rsidRPr="00337962" w:rsidRDefault="008F3A81" w:rsidP="008F3A81">
      <w:pPr>
        <w:pStyle w:val="SingleTxtGR"/>
      </w:pPr>
      <w:r w:rsidRPr="00337962">
        <w:t>47.</w:t>
      </w:r>
      <w:r w:rsidRPr="00337962">
        <w:tab/>
        <w:t>Необходимо тщательно подходить к разработке законов, касающихся кл</w:t>
      </w:r>
      <w:r w:rsidRPr="00337962">
        <w:t>е</w:t>
      </w:r>
      <w:r w:rsidRPr="00337962">
        <w:t>веты, обеспечи</w:t>
      </w:r>
      <w:r>
        <w:t>ва</w:t>
      </w:r>
      <w:r w:rsidRPr="00337962">
        <w:t>ть их соответствие положениям пункта 3, а также не допу</w:t>
      </w:r>
      <w:r w:rsidRPr="00337962">
        <w:t>с</w:t>
      </w:r>
      <w:r>
        <w:t>ка</w:t>
      </w:r>
      <w:r w:rsidRPr="00337962">
        <w:t>ть, чтобы они на практике использовались для ограничения права на свобо</w:t>
      </w:r>
      <w:r w:rsidRPr="00337962">
        <w:t>д</w:t>
      </w:r>
      <w:r w:rsidRPr="00337962">
        <w:t>ное выражение мнений</w:t>
      </w:r>
      <w:r w:rsidRPr="00337962">
        <w:rPr>
          <w:rStyle w:val="FootnoteReference"/>
        </w:rPr>
        <w:footnoteReference w:id="110"/>
      </w:r>
      <w:r w:rsidRPr="00337962">
        <w:t>. Во все такие законы, в частности уголовные законы, касающиеся клеветы, следует включить такие формы защиты, которые отвеч</w:t>
      </w:r>
      <w:r w:rsidRPr="00337962">
        <w:t>а</w:t>
      </w:r>
      <w:r w:rsidRPr="00337962">
        <w:t>ют интересам правд</w:t>
      </w:r>
      <w:r>
        <w:t>ивости</w:t>
      </w:r>
      <w:r w:rsidRPr="00337962">
        <w:t>, и они не должны применяться по отношению к т</w:t>
      </w:r>
      <w:r w:rsidRPr="00337962">
        <w:t>а</w:t>
      </w:r>
      <w:r w:rsidRPr="00337962">
        <w:t>ким формам выражения мнений, которые по своей природе не могут быть пр</w:t>
      </w:r>
      <w:r w:rsidRPr="00337962">
        <w:t>о</w:t>
      </w:r>
      <w:r w:rsidRPr="00337962">
        <w:t>верены. По крайней мере, в отношении комментариев, затрагивающих интер</w:t>
      </w:r>
      <w:r w:rsidRPr="00337962">
        <w:t>е</w:t>
      </w:r>
      <w:r w:rsidRPr="00337962">
        <w:t>сы общественных деятелей, следует стремиться не допускать установления н</w:t>
      </w:r>
      <w:r w:rsidRPr="00337962">
        <w:t>а</w:t>
      </w:r>
      <w:r w:rsidRPr="00337962">
        <w:t>казаний за высказывания, которые стали достоянием общественности по оши</w:t>
      </w:r>
      <w:r w:rsidRPr="00337962">
        <w:t>б</w:t>
      </w:r>
      <w:r w:rsidRPr="00337962">
        <w:t>ке и без злого умысла, или их перевода в разряд незаконных</w:t>
      </w:r>
      <w:r w:rsidRPr="00337962">
        <w:rPr>
          <w:rStyle w:val="FootnoteReference"/>
        </w:rPr>
        <w:footnoteReference w:id="111"/>
      </w:r>
      <w:r w:rsidRPr="00337962">
        <w:t xml:space="preserve">. В любом случае наличие общественного интереса к объекту критики следует рассматривать в качестве </w:t>
      </w:r>
      <w:r>
        <w:t>элемента</w:t>
      </w:r>
      <w:r w:rsidRPr="00337962">
        <w:t xml:space="preserve"> защиты. </w:t>
      </w:r>
      <w:proofErr w:type="spellStart"/>
      <w:r w:rsidRPr="00337962">
        <w:t>Государствам</w:t>
      </w:r>
      <w:r w:rsidR="00822453">
        <w:t>−</w:t>
      </w:r>
      <w:r w:rsidRPr="00337962">
        <w:t>участникам</w:t>
      </w:r>
      <w:proofErr w:type="spellEnd"/>
      <w:r w:rsidRPr="00337962">
        <w:t xml:space="preserve"> следует принимать меры </w:t>
      </w:r>
      <w:r>
        <w:t>во избежание</w:t>
      </w:r>
      <w:r w:rsidRPr="00337962">
        <w:t xml:space="preserve"> чрезмерных мер наказания и штрафов. Там, где это необходимо, </w:t>
      </w:r>
      <w:proofErr w:type="spellStart"/>
      <w:r w:rsidRPr="00337962">
        <w:t>государствам</w:t>
      </w:r>
      <w:r w:rsidR="00822453">
        <w:t>−</w:t>
      </w:r>
      <w:r w:rsidRPr="00337962">
        <w:t>участникам</w:t>
      </w:r>
      <w:proofErr w:type="spellEnd"/>
      <w:r w:rsidRPr="00337962">
        <w:t xml:space="preserve"> следует вводить умеренные ограничения на требов</w:t>
      </w:r>
      <w:r w:rsidRPr="00337962">
        <w:t>а</w:t>
      </w:r>
      <w:r w:rsidRPr="00337962">
        <w:t>ние, в соответствии с которым защита обязана возместить расходы стороны, выигравшей дело</w:t>
      </w:r>
      <w:r w:rsidRPr="00337962">
        <w:rPr>
          <w:rStyle w:val="FootnoteReference"/>
        </w:rPr>
        <w:footnoteReference w:id="112"/>
      </w:r>
      <w:r w:rsidRPr="00337962">
        <w:t xml:space="preserve">. </w:t>
      </w:r>
      <w:proofErr w:type="spellStart"/>
      <w:r w:rsidRPr="00337962">
        <w:t>Государствам</w:t>
      </w:r>
      <w:r w:rsidR="00822453">
        <w:t>−</w:t>
      </w:r>
      <w:r w:rsidRPr="00337962">
        <w:t>участникам</w:t>
      </w:r>
      <w:proofErr w:type="spellEnd"/>
      <w:r w:rsidRPr="00337962">
        <w:t xml:space="preserve"> следует рассмотреть возмо</w:t>
      </w:r>
      <w:r w:rsidRPr="00337962">
        <w:t>ж</w:t>
      </w:r>
      <w:r w:rsidRPr="00337962">
        <w:t>ность исключения клеветы из разряда преступлений</w:t>
      </w:r>
      <w:r w:rsidRPr="00337962">
        <w:rPr>
          <w:rStyle w:val="FootnoteReference"/>
        </w:rPr>
        <w:footnoteReference w:id="113"/>
      </w:r>
      <w:r w:rsidRPr="00337962">
        <w:t>, но в любом случае уг</w:t>
      </w:r>
      <w:r w:rsidRPr="00337962">
        <w:t>о</w:t>
      </w:r>
      <w:r w:rsidRPr="00337962">
        <w:t>ловное законодательство должно применяться лишь в связи с наиболее серье</w:t>
      </w:r>
      <w:r w:rsidRPr="00337962">
        <w:t>з</w:t>
      </w:r>
      <w:r w:rsidRPr="00337962">
        <w:t>ными случаями, а лишение свободы ни при каких условиях не должно считат</w:t>
      </w:r>
      <w:r w:rsidRPr="00337962">
        <w:t>ь</w:t>
      </w:r>
      <w:r w:rsidRPr="00337962">
        <w:t xml:space="preserve">ся адекватной мерой наказания. </w:t>
      </w:r>
      <w:proofErr w:type="spellStart"/>
      <w:r w:rsidRPr="00337962">
        <w:t>Государство</w:t>
      </w:r>
      <w:r w:rsidR="00822453">
        <w:t>−</w:t>
      </w:r>
      <w:r w:rsidRPr="00337962">
        <w:t>участник</w:t>
      </w:r>
      <w:proofErr w:type="spellEnd"/>
      <w:r w:rsidRPr="00337962">
        <w:t xml:space="preserve"> не должно допускать с</w:t>
      </w:r>
      <w:r w:rsidRPr="00337962">
        <w:t>и</w:t>
      </w:r>
      <w:r w:rsidRPr="00337962">
        <w:t>туаций, когда после предъявления лицу обвинения в клевете судебное разбир</w:t>
      </w:r>
      <w:r w:rsidRPr="00337962">
        <w:t>а</w:t>
      </w:r>
      <w:r w:rsidRPr="00337962">
        <w:t>тельство в отношени</w:t>
      </w:r>
      <w:r>
        <w:t>и</w:t>
      </w:r>
      <w:r w:rsidRPr="00337962">
        <w:t xml:space="preserve"> этого лица не проводится скорейшим образом, п</w:t>
      </w:r>
      <w:r w:rsidRPr="00337962">
        <w:t>о</w:t>
      </w:r>
      <w:r w:rsidRPr="00337962">
        <w:t xml:space="preserve">скольку такая практика оказывает сковывающее </w:t>
      </w:r>
      <w:r>
        <w:t>воз</w:t>
      </w:r>
      <w:r w:rsidRPr="00337962">
        <w:t>действие, неправомерно огранич</w:t>
      </w:r>
      <w:r w:rsidRPr="00337962">
        <w:t>и</w:t>
      </w:r>
      <w:r w:rsidRPr="00337962">
        <w:t>ва</w:t>
      </w:r>
      <w:r>
        <w:t>ющее</w:t>
      </w:r>
      <w:r w:rsidRPr="00337962">
        <w:t xml:space="preserve"> осуществление таким лицом или другими лицами права на свободное выражение мнения</w:t>
      </w:r>
      <w:r w:rsidRPr="00337962">
        <w:rPr>
          <w:rStyle w:val="FootnoteReference"/>
        </w:rPr>
        <w:footnoteReference w:id="114"/>
      </w:r>
      <w:r w:rsidRPr="00337962">
        <w:t xml:space="preserve">. </w:t>
      </w:r>
    </w:p>
    <w:p w:rsidR="008F3A81" w:rsidRPr="00337962" w:rsidRDefault="008F3A81" w:rsidP="008F3A81">
      <w:pPr>
        <w:pStyle w:val="SingleTxtGR"/>
      </w:pPr>
      <w:r w:rsidRPr="00337962">
        <w:t>48.</w:t>
      </w:r>
      <w:r w:rsidRPr="00337962">
        <w:tab/>
        <w:t>Запреты на разные формы неуважения к какой-либо религии или другим системам убеждений, в том числе законы о богохульстве, являются несовме</w:t>
      </w:r>
      <w:r w:rsidRPr="00337962">
        <w:t>с</w:t>
      </w:r>
      <w:r w:rsidRPr="00337962">
        <w:t>тимым с Пактом за исключением отдельных случаев, предусмотренных в пун</w:t>
      </w:r>
      <w:r w:rsidRPr="00337962">
        <w:t>к</w:t>
      </w:r>
      <w:r w:rsidRPr="00337962">
        <w:t>те 2 статьи 20 Пакта. Такие запреты должны также строго соответствовать тр</w:t>
      </w:r>
      <w:r w:rsidRPr="00337962">
        <w:t>е</w:t>
      </w:r>
      <w:r w:rsidRPr="00337962">
        <w:t>бованиям пункта 3 статьи 19, а также статьей 2, 5, 17, 18 и 26. Так, например, недопустимо, чтобы в каких-либо подобных законах содержалась дискримин</w:t>
      </w:r>
      <w:r w:rsidRPr="00337962">
        <w:t>а</w:t>
      </w:r>
      <w:r w:rsidRPr="00337962">
        <w:t>ция в пользу или против одной или нескольких религиозных систем или систем убеждений, либо в отношении их приверженцев по сравнению с приверженц</w:t>
      </w:r>
      <w:r w:rsidRPr="00337962">
        <w:t>а</w:t>
      </w:r>
      <w:r w:rsidRPr="00337962">
        <w:t>ми других систем, а также религиозных верующих по сравнению с неверу</w:t>
      </w:r>
      <w:r w:rsidRPr="00337962">
        <w:t>ю</w:t>
      </w:r>
      <w:r w:rsidRPr="00337962">
        <w:t>щими. Кроме того, нельзя допускать, чтобы такие запреты препятствовали кр</w:t>
      </w:r>
      <w:r w:rsidRPr="00337962">
        <w:t>и</w:t>
      </w:r>
      <w:r w:rsidRPr="00337962">
        <w:t>тике религиозных лидеров и высказыванию замечаний по поводу религиозных доктрин и догматов веры или устанавливали за это наказание</w:t>
      </w:r>
      <w:r w:rsidRPr="00337962">
        <w:rPr>
          <w:rStyle w:val="FootnoteReference"/>
        </w:rPr>
        <w:footnoteReference w:id="115"/>
      </w:r>
      <w:r w:rsidRPr="00337962">
        <w:t xml:space="preserve">. </w:t>
      </w:r>
    </w:p>
    <w:p w:rsidR="008F3A81" w:rsidRPr="00337962" w:rsidRDefault="008F3A81" w:rsidP="008F3A81">
      <w:pPr>
        <w:pStyle w:val="SingleTxtGR"/>
      </w:pPr>
      <w:r w:rsidRPr="00337962">
        <w:t>49.</w:t>
      </w:r>
      <w:r w:rsidRPr="00337962">
        <w:tab/>
        <w:t>Законы, предусматривающие меры наказания за выражение мнений об исторических фактах, я</w:t>
      </w:r>
      <w:r w:rsidRPr="00337962">
        <w:t>в</w:t>
      </w:r>
      <w:r w:rsidRPr="00337962">
        <w:t xml:space="preserve">ляются несовместимыми с предусмотренными Пактом обязательствами </w:t>
      </w:r>
      <w:proofErr w:type="spellStart"/>
      <w:r w:rsidRPr="00337962">
        <w:t>государств</w:t>
      </w:r>
      <w:r w:rsidR="00822453">
        <w:t>−</w:t>
      </w:r>
      <w:r w:rsidRPr="00337962">
        <w:t>участников</w:t>
      </w:r>
      <w:proofErr w:type="spellEnd"/>
      <w:r w:rsidRPr="00337962">
        <w:t xml:space="preserve"> уважать свободу мнений и право на их свободное выражение</w:t>
      </w:r>
      <w:r w:rsidRPr="00337962">
        <w:rPr>
          <w:rStyle w:val="FootnoteReference"/>
        </w:rPr>
        <w:footnoteReference w:id="116"/>
      </w:r>
      <w:r w:rsidRPr="00337962">
        <w:t>. В Пакте не предусмотрено широкого запрета на выр</w:t>
      </w:r>
      <w:r w:rsidRPr="00337962">
        <w:t>а</w:t>
      </w:r>
      <w:r w:rsidRPr="00337962">
        <w:t>жение ошибочных мнений или неверной интерпретации событий, прои</w:t>
      </w:r>
      <w:r>
        <w:t>с</w:t>
      </w:r>
      <w:r w:rsidRPr="00337962">
        <w:t>ше</w:t>
      </w:r>
      <w:r w:rsidRPr="00337962">
        <w:t>д</w:t>
      </w:r>
      <w:r w:rsidRPr="00337962">
        <w:t>ших в прошлом. Ограничения на свободу мнений не должны навязываться ни при каких условиях, а ограничения в отнош</w:t>
      </w:r>
      <w:r w:rsidRPr="00337962">
        <w:t>е</w:t>
      </w:r>
      <w:r w:rsidRPr="00337962">
        <w:t xml:space="preserve">нии права на свободное выражение мнений не должны выходить за рамки требований, предусмотренных пунктом 3 статьи 19 или статьей 20. </w:t>
      </w:r>
    </w:p>
    <w:p w:rsidR="008F3A81" w:rsidRPr="00337962" w:rsidRDefault="008F3A81" w:rsidP="008F3A81">
      <w:pPr>
        <w:pStyle w:val="H1GR"/>
      </w:pPr>
      <w:r>
        <w:tab/>
      </w:r>
      <w:r>
        <w:tab/>
      </w:r>
      <w:r w:rsidRPr="00337962">
        <w:t>Взаимосвязь между статьями 19 и 20</w:t>
      </w:r>
    </w:p>
    <w:p w:rsidR="008F3A81" w:rsidRPr="00337962" w:rsidRDefault="008F3A81" w:rsidP="008F3A81">
      <w:pPr>
        <w:pStyle w:val="SingleTxtGR"/>
      </w:pPr>
      <w:r w:rsidRPr="00337962">
        <w:t>50.</w:t>
      </w:r>
      <w:r w:rsidRPr="00337962">
        <w:tab/>
        <w:t>Статьи 19 и 20 совместимы друг с дру</w:t>
      </w:r>
      <w:r>
        <w:t>гом и дополняют одна другую. На </w:t>
      </w:r>
      <w:r w:rsidRPr="00337962">
        <w:t>все деяния, о которых идет речь в статье 20, распространяются ограничения, предусмотренные в пункте 3 статьи 19. Любое ограничение, обоснованное статьей</w:t>
      </w:r>
      <w:r w:rsidRPr="00337962">
        <w:rPr>
          <w:lang w:val="en-US"/>
        </w:rPr>
        <w:t> </w:t>
      </w:r>
      <w:r w:rsidRPr="00337962">
        <w:t>20, должно также соответствовать пункту</w:t>
      </w:r>
      <w:r w:rsidRPr="00337962">
        <w:rPr>
          <w:lang w:val="en-US"/>
        </w:rPr>
        <w:t> </w:t>
      </w:r>
      <w:r w:rsidRPr="00337962">
        <w:t>3 статьи</w:t>
      </w:r>
      <w:r w:rsidRPr="00337962">
        <w:rPr>
          <w:lang w:val="en-US"/>
        </w:rPr>
        <w:t> </w:t>
      </w:r>
      <w:r w:rsidRPr="00337962">
        <w:t>19</w:t>
      </w:r>
      <w:r w:rsidRPr="00337962">
        <w:rPr>
          <w:rStyle w:val="FootnoteReference"/>
        </w:rPr>
        <w:footnoteReference w:id="117"/>
      </w:r>
      <w:r w:rsidRPr="00337962">
        <w:t xml:space="preserve">. </w:t>
      </w:r>
    </w:p>
    <w:p w:rsidR="008F3A81" w:rsidRPr="00337962" w:rsidRDefault="008F3A81" w:rsidP="008F3A81">
      <w:pPr>
        <w:pStyle w:val="SingleTxtGR"/>
      </w:pPr>
      <w:r w:rsidRPr="00337962">
        <w:t>51.</w:t>
      </w:r>
      <w:r w:rsidRPr="00337962">
        <w:tab/>
        <w:t>Признаком, отличающим деяния, о которых идет речь в статье 20, от де</w:t>
      </w:r>
      <w:r w:rsidRPr="00337962">
        <w:t>я</w:t>
      </w:r>
      <w:r w:rsidRPr="00337962">
        <w:t>ний, которые могут по</w:t>
      </w:r>
      <w:r w:rsidRPr="00337962">
        <w:t>д</w:t>
      </w:r>
      <w:r w:rsidRPr="00337962">
        <w:t>падать под ограничения пункта 3 статьи 19, является то, что в соответствии с Пактом в отношении деяни</w:t>
      </w:r>
      <w:r>
        <w:t>й, о которых идет речь в ст</w:t>
      </w:r>
      <w:r>
        <w:t>а</w:t>
      </w:r>
      <w:r>
        <w:t>тье </w:t>
      </w:r>
      <w:r w:rsidRPr="00337962">
        <w:t>20, от государства требуется конкретная мера реагирования: они должны быть запрещены законом. Таким образом, статья 20 лишь в этой степени может ра</w:t>
      </w:r>
      <w:r w:rsidRPr="00337962">
        <w:t>с</w:t>
      </w:r>
      <w:r w:rsidRPr="00337962">
        <w:t xml:space="preserve">сматриваться в качестве </w:t>
      </w:r>
      <w:proofErr w:type="spellStart"/>
      <w:r w:rsidRPr="00822453">
        <w:rPr>
          <w:i/>
          <w:lang w:val="en-US"/>
        </w:rPr>
        <w:t>lex</w:t>
      </w:r>
      <w:proofErr w:type="spellEnd"/>
      <w:r w:rsidRPr="00822453">
        <w:rPr>
          <w:i/>
        </w:rPr>
        <w:t xml:space="preserve"> </w:t>
      </w:r>
      <w:proofErr w:type="spellStart"/>
      <w:r w:rsidRPr="00822453">
        <w:rPr>
          <w:i/>
          <w:lang w:val="en-US"/>
        </w:rPr>
        <w:t>specialis</w:t>
      </w:r>
      <w:proofErr w:type="spellEnd"/>
      <w:r w:rsidRPr="00337962">
        <w:t xml:space="preserve"> по отношению к статье 19. </w:t>
      </w:r>
    </w:p>
    <w:p w:rsidR="008F3A81" w:rsidRDefault="008F3A81" w:rsidP="008F3A81">
      <w:pPr>
        <w:pStyle w:val="SingleTxtGR"/>
      </w:pPr>
      <w:r w:rsidRPr="00337962">
        <w:t>52.</w:t>
      </w:r>
      <w:r w:rsidRPr="00337962">
        <w:tab/>
      </w:r>
      <w:proofErr w:type="spellStart"/>
      <w:r w:rsidRPr="00337962">
        <w:t>Государства</w:t>
      </w:r>
      <w:r w:rsidR="00822453">
        <w:t>−</w:t>
      </w:r>
      <w:r w:rsidRPr="00337962">
        <w:t>участники</w:t>
      </w:r>
      <w:proofErr w:type="spellEnd"/>
      <w:r w:rsidRPr="00337962">
        <w:t xml:space="preserve"> обязаны иметь </w:t>
      </w:r>
      <w:r>
        <w:t>законные</w:t>
      </w:r>
      <w:r w:rsidRPr="00337962">
        <w:t xml:space="preserve"> запреты только в отн</w:t>
      </w:r>
      <w:r w:rsidRPr="00337962">
        <w:t>о</w:t>
      </w:r>
      <w:r w:rsidRPr="00337962">
        <w:t xml:space="preserve">шении конкретных форм выражения мнений, указанных в статье 20. В каждом случае, когда </w:t>
      </w:r>
      <w:proofErr w:type="spellStart"/>
      <w:r w:rsidRPr="00337962">
        <w:t>государство</w:t>
      </w:r>
      <w:r w:rsidR="00822453">
        <w:t>−</w:t>
      </w:r>
      <w:r w:rsidRPr="00337962">
        <w:t>участник</w:t>
      </w:r>
      <w:proofErr w:type="spellEnd"/>
      <w:r w:rsidRPr="00337962">
        <w:t xml:space="preserve"> ограничивает право на свободное выраж</w:t>
      </w:r>
      <w:r w:rsidRPr="00337962">
        <w:t>е</w:t>
      </w:r>
      <w:r w:rsidRPr="00337962">
        <w:t>ние мнений, ему необходимо обосновывать запреты и их условия в строгом с</w:t>
      </w:r>
      <w:r w:rsidRPr="00337962">
        <w:t>о</w:t>
      </w:r>
      <w:r w:rsidRPr="00337962">
        <w:t>ответс</w:t>
      </w:r>
      <w:r w:rsidRPr="00337962">
        <w:t>т</w:t>
      </w:r>
      <w:r w:rsidRPr="00337962">
        <w:t>вии со статьей 19.</w:t>
      </w:r>
    </w:p>
    <w:p w:rsidR="008F3A81" w:rsidRPr="008E2261" w:rsidRDefault="008F3A81" w:rsidP="008F3A81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8F3A81" w:rsidRPr="008E2261" w:rsidSect="0084613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701" w:right="1134" w:bottom="2268" w:left="1134" w:header="1134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F3" w:rsidRDefault="006B12F3">
      <w:r>
        <w:rPr>
          <w:lang w:val="en-US"/>
        </w:rPr>
        <w:tab/>
      </w:r>
      <w:r>
        <w:separator/>
      </w:r>
    </w:p>
  </w:endnote>
  <w:endnote w:type="continuationSeparator" w:id="0">
    <w:p w:rsidR="006B12F3" w:rsidRDefault="006B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F3" w:rsidRPr="005F0588" w:rsidRDefault="006B12F3">
    <w:pPr>
      <w:pStyle w:val="Footer"/>
      <w:rPr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lang w:val="en-US"/>
      </w:rPr>
      <w:tab/>
      <w:t>GE.11-45333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F3" w:rsidRPr="005F0588" w:rsidRDefault="006B12F3">
    <w:pPr>
      <w:pStyle w:val="Footer"/>
      <w:rPr>
        <w:lang w:val="en-US"/>
      </w:rPr>
    </w:pPr>
    <w:r>
      <w:rPr>
        <w:lang w:val="en-US"/>
      </w:rPr>
      <w:t>GE.11-45333</w:t>
    </w:r>
    <w:r>
      <w:rPr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F3" w:rsidRPr="007B2C3F" w:rsidRDefault="006B12F3">
    <w:pPr>
      <w:pStyle w:val="Footer"/>
      <w:rPr>
        <w:sz w:val="20"/>
        <w:lang w:val="en-US"/>
      </w:rPr>
    </w:pPr>
    <w:r>
      <w:rPr>
        <w:sz w:val="20"/>
        <w:lang w:val="en-US"/>
      </w:rPr>
      <w:t>GE.11-45333  (R)  011111  011111</w:t>
    </w:r>
    <w:r>
      <w:rPr>
        <w:sz w:val="20"/>
        <w:lang w:val="en-US"/>
      </w:rPr>
      <w:tab/>
    </w:r>
    <w:r w:rsidRPr="00206282"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13pt;height:18pt">
          <v:imagedata r:id="rId1" o:title="recycle_Russia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F3" w:rsidRPr="00F71F63" w:rsidRDefault="006B12F3" w:rsidP="00457634">
      <w:pPr>
        <w:tabs>
          <w:tab w:val="right" w:pos="2155"/>
        </w:tabs>
        <w:spacing w:after="80" w:line="240" w:lineRule="auto"/>
        <w:ind w:left="680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</w:footnote>
  <w:footnote w:type="continuationSeparator" w:id="0">
    <w:p w:rsidR="006B12F3" w:rsidRPr="00F71F63" w:rsidRDefault="006B12F3" w:rsidP="00635E86">
      <w:pPr>
        <w:tabs>
          <w:tab w:val="right" w:pos="2155"/>
        </w:tabs>
        <w:spacing w:after="80" w:line="240" w:lineRule="auto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  <w:p w:rsidR="006B12F3" w:rsidRPr="00635E86" w:rsidRDefault="006B12F3" w:rsidP="00635E86">
      <w:pPr>
        <w:pStyle w:val="Footer"/>
      </w:pPr>
    </w:p>
  </w:footnote>
  <w:footnote w:id="1">
    <w:p w:rsidR="006B12F3" w:rsidRPr="001235A1" w:rsidRDefault="006B12F3" w:rsidP="00374C13">
      <w:pPr>
        <w:pStyle w:val="FootnoteText"/>
        <w:rPr>
          <w:lang w:val="ru-RU"/>
        </w:rPr>
      </w:pPr>
      <w:r>
        <w:rPr>
          <w:lang w:val="en-US"/>
        </w:rPr>
        <w:tab/>
      </w:r>
      <w:r>
        <w:rPr>
          <w:rStyle w:val="FootnoteReference"/>
        </w:rPr>
        <w:footnoteRef/>
      </w:r>
      <w:r w:rsidRPr="00665F75">
        <w:rPr>
          <w:lang w:val="ru-RU"/>
        </w:rPr>
        <w:t xml:space="preserve"> </w:t>
      </w:r>
      <w:r w:rsidRPr="00C41A0B">
        <w:rPr>
          <w:lang w:val="ru-RU"/>
        </w:rPr>
        <w:tab/>
      </w:r>
      <w:r>
        <w:rPr>
          <w:lang w:val="ru-RU"/>
        </w:rPr>
        <w:t>См. сообщение №  1173</w:t>
      </w:r>
      <w:r w:rsidRPr="00665F75">
        <w:rPr>
          <w:lang w:val="ru-RU"/>
        </w:rPr>
        <w:t>/</w:t>
      </w:r>
      <w:r>
        <w:rPr>
          <w:lang w:val="ru-RU"/>
        </w:rPr>
        <w:t xml:space="preserve">2003, </w:t>
      </w:r>
      <w:r w:rsidRPr="00114124">
        <w:rPr>
          <w:i/>
          <w:lang w:val="ru-RU"/>
        </w:rPr>
        <w:t>Бенхадж против Алжира</w:t>
      </w:r>
      <w:r>
        <w:rPr>
          <w:lang w:val="ru-RU"/>
        </w:rPr>
        <w:t xml:space="preserve">, Соображения приняты 20 июля 2007 года; № 628/1995, </w:t>
      </w:r>
      <w:r w:rsidRPr="00114124">
        <w:rPr>
          <w:i/>
          <w:lang w:val="ru-RU"/>
        </w:rPr>
        <w:t>Парк против Республики Корея</w:t>
      </w:r>
      <w:r>
        <w:rPr>
          <w:lang w:val="ru-RU"/>
        </w:rPr>
        <w:t xml:space="preserve">, Соображения приняты 5 июля 1996 года. </w:t>
      </w:r>
    </w:p>
  </w:footnote>
  <w:footnote w:id="2">
    <w:p w:rsidR="006B12F3" w:rsidRPr="009D20A9" w:rsidRDefault="006B12F3" w:rsidP="00374C13">
      <w:pPr>
        <w:pStyle w:val="FootnoteText"/>
        <w:rPr>
          <w:i/>
          <w:lang w:val="ru-RU"/>
        </w:rPr>
      </w:pPr>
      <w:r w:rsidRPr="007B44C9">
        <w:rPr>
          <w:lang w:val="ru-RU"/>
        </w:rPr>
        <w:tab/>
      </w:r>
      <w:r>
        <w:rPr>
          <w:rStyle w:val="FootnoteReference"/>
        </w:rPr>
        <w:footnoteRef/>
      </w:r>
      <w:r w:rsidRPr="000A1FCB">
        <w:rPr>
          <w:lang w:val="ru-RU"/>
        </w:rPr>
        <w:t xml:space="preserve"> </w:t>
      </w:r>
      <w:r w:rsidRPr="00C41A0B">
        <w:rPr>
          <w:lang w:val="ru-RU"/>
        </w:rPr>
        <w:tab/>
      </w:r>
      <w:r>
        <w:rPr>
          <w:lang w:val="ru-RU"/>
        </w:rPr>
        <w:t xml:space="preserve">См. замечание общего порядка № 24 (1994) Комитета о </w:t>
      </w:r>
      <w:r w:rsidRPr="000A1FCB">
        <w:rPr>
          <w:color w:val="000000"/>
          <w:lang w:val="ru-RU"/>
        </w:rPr>
        <w:t>вопрос</w:t>
      </w:r>
      <w:r>
        <w:rPr>
          <w:color w:val="000000"/>
          <w:lang w:val="ru-RU"/>
        </w:rPr>
        <w:t>ах</w:t>
      </w:r>
      <w:r w:rsidRPr="000A1FCB">
        <w:rPr>
          <w:color w:val="000000"/>
          <w:lang w:val="ru-RU"/>
        </w:rPr>
        <w:t>, касающи</w:t>
      </w:r>
      <w:r>
        <w:rPr>
          <w:color w:val="000000"/>
          <w:lang w:val="ru-RU"/>
        </w:rPr>
        <w:t>х</w:t>
      </w:r>
      <w:r w:rsidRPr="000A1FCB">
        <w:rPr>
          <w:color w:val="000000"/>
          <w:lang w:val="ru-RU"/>
        </w:rPr>
        <w:t>ся оговорок,</w:t>
      </w:r>
      <w:r>
        <w:rPr>
          <w:color w:val="000000"/>
          <w:lang w:val="ru-RU"/>
        </w:rPr>
        <w:t xml:space="preserve"> </w:t>
      </w:r>
      <w:r w:rsidRPr="000A1FCB">
        <w:rPr>
          <w:color w:val="000000"/>
          <w:lang w:val="ru-RU"/>
        </w:rPr>
        <w:t>сделанных при ратификации Пакта и</w:t>
      </w:r>
      <w:r>
        <w:rPr>
          <w:color w:val="000000"/>
          <w:lang w:val="ru-RU"/>
        </w:rPr>
        <w:t>ли</w:t>
      </w:r>
      <w:r w:rsidRPr="000A1FCB">
        <w:rPr>
          <w:color w:val="000000"/>
          <w:lang w:val="ru-RU"/>
        </w:rPr>
        <w:t xml:space="preserve"> Факультативных протоколов к</w:t>
      </w:r>
      <w:r>
        <w:rPr>
          <w:color w:val="000000"/>
          <w:lang w:val="ru-RU"/>
        </w:rPr>
        <w:t xml:space="preserve"> </w:t>
      </w:r>
      <w:r w:rsidRPr="000A1FCB">
        <w:rPr>
          <w:color w:val="000000"/>
          <w:lang w:val="ru-RU"/>
        </w:rPr>
        <w:t>нему или при присоединении к ним или в связи с заявлениями,</w:t>
      </w:r>
      <w:r>
        <w:rPr>
          <w:color w:val="000000"/>
          <w:lang w:val="ru-RU"/>
        </w:rPr>
        <w:t xml:space="preserve"> </w:t>
      </w:r>
      <w:r w:rsidRPr="000A1FCB">
        <w:rPr>
          <w:color w:val="000000"/>
          <w:lang w:val="ru-RU"/>
        </w:rPr>
        <w:t>предусмотренными статьей</w:t>
      </w:r>
      <w:r>
        <w:rPr>
          <w:color w:val="000000"/>
          <w:lang w:val="ru-RU"/>
        </w:rPr>
        <w:t> </w:t>
      </w:r>
      <w:r w:rsidRPr="000A1FCB">
        <w:rPr>
          <w:color w:val="000000"/>
          <w:lang w:val="ru-RU"/>
        </w:rPr>
        <w:t>41 Пакта</w:t>
      </w:r>
      <w:r>
        <w:rPr>
          <w:color w:val="000000"/>
          <w:lang w:val="ru-RU"/>
        </w:rPr>
        <w:t xml:space="preserve">, </w:t>
      </w:r>
      <w:r w:rsidRPr="00E56536">
        <w:rPr>
          <w:i/>
          <w:lang w:val="ru-RU"/>
        </w:rPr>
        <w:t>Оф</w:t>
      </w:r>
      <w:r w:rsidRPr="009D20A9">
        <w:rPr>
          <w:i/>
          <w:lang w:val="ru-RU"/>
        </w:rPr>
        <w:t>ициальные отчеты Генеральной Ассамблеи, пятидесятая сессия, Дополнение №</w:t>
      </w:r>
      <w:r>
        <w:rPr>
          <w:i/>
          <w:lang w:val="ru-RU"/>
        </w:rPr>
        <w:t xml:space="preserve"> </w:t>
      </w:r>
      <w:r w:rsidRPr="009D20A9">
        <w:rPr>
          <w:i/>
          <w:lang w:val="ru-RU"/>
        </w:rPr>
        <w:t xml:space="preserve">40, </w:t>
      </w:r>
      <w:r>
        <w:rPr>
          <w:lang w:val="ru-RU"/>
        </w:rPr>
        <w:t xml:space="preserve">том </w:t>
      </w:r>
      <w:r w:rsidRPr="009D20A9">
        <w:rPr>
          <w:lang w:val="en-US"/>
        </w:rPr>
        <w:t>I</w:t>
      </w:r>
      <w:r>
        <w:rPr>
          <w:lang w:val="ru-RU"/>
        </w:rPr>
        <w:t xml:space="preserve"> </w:t>
      </w:r>
      <w:r w:rsidRPr="009D20A9">
        <w:rPr>
          <w:lang w:val="ru-RU"/>
        </w:rPr>
        <w:t>(</w:t>
      </w:r>
      <w:r w:rsidRPr="009D20A9">
        <w:rPr>
          <w:lang w:val="en-US"/>
        </w:rPr>
        <w:t>A</w:t>
      </w:r>
      <w:r w:rsidRPr="009D20A9">
        <w:rPr>
          <w:lang w:val="ru-RU"/>
        </w:rPr>
        <w:t>/50/40</w:t>
      </w:r>
      <w:r>
        <w:rPr>
          <w:lang w:val="ru-RU"/>
        </w:rPr>
        <w:t xml:space="preserve"> </w:t>
      </w:r>
      <w:r w:rsidRPr="009D20A9">
        <w:rPr>
          <w:lang w:val="ru-RU"/>
        </w:rPr>
        <w:t>(</w:t>
      </w:r>
      <w:r>
        <w:rPr>
          <w:lang w:val="ru-RU"/>
        </w:rPr>
        <w:t xml:space="preserve">том </w:t>
      </w:r>
      <w:r w:rsidRPr="009D20A9">
        <w:rPr>
          <w:lang w:val="en-US"/>
        </w:rPr>
        <w:t>I</w:t>
      </w:r>
      <w:r w:rsidRPr="009D20A9">
        <w:rPr>
          <w:lang w:val="ru-RU"/>
        </w:rPr>
        <w:t xml:space="preserve">)), приложение </w:t>
      </w:r>
      <w:r w:rsidRPr="009D20A9">
        <w:rPr>
          <w:lang w:val="en-US"/>
        </w:rPr>
        <w:t>V</w:t>
      </w:r>
      <w:r w:rsidRPr="009D20A9">
        <w:rPr>
          <w:lang w:val="ru-RU"/>
        </w:rPr>
        <w:t>.</w:t>
      </w:r>
    </w:p>
  </w:footnote>
  <w:footnote w:id="3">
    <w:p w:rsidR="006B12F3" w:rsidRPr="009D20A9" w:rsidRDefault="006B12F3" w:rsidP="00374C13">
      <w:pPr>
        <w:pStyle w:val="FootnoteText"/>
        <w:rPr>
          <w:lang w:val="ru-RU"/>
        </w:rPr>
      </w:pPr>
      <w:r w:rsidRPr="007B44C9">
        <w:rPr>
          <w:lang w:val="ru-RU"/>
        </w:rPr>
        <w:tab/>
      </w:r>
      <w:r w:rsidRPr="009D20A9">
        <w:rPr>
          <w:rStyle w:val="FootnoteReference"/>
        </w:rPr>
        <w:footnoteRef/>
      </w:r>
      <w:r w:rsidRPr="009D20A9">
        <w:rPr>
          <w:lang w:val="ru-RU"/>
        </w:rPr>
        <w:t xml:space="preserve"> </w:t>
      </w:r>
      <w:r w:rsidRPr="00C41A0B">
        <w:rPr>
          <w:lang w:val="ru-RU"/>
        </w:rPr>
        <w:tab/>
      </w:r>
      <w:r w:rsidRPr="009D20A9">
        <w:rPr>
          <w:lang w:val="ru-RU"/>
        </w:rPr>
        <w:t xml:space="preserve">См. замечание общего порядка № 29 (2001) Комитета об </w:t>
      </w:r>
      <w:r w:rsidRPr="009D20A9">
        <w:rPr>
          <w:bCs/>
          <w:lang w:val="ru-RU"/>
        </w:rPr>
        <w:t xml:space="preserve">отступлении от обязательств в связи с чрезвычайным положением, </w:t>
      </w:r>
      <w:r>
        <w:rPr>
          <w:bCs/>
          <w:lang w:val="ru-RU"/>
        </w:rPr>
        <w:t xml:space="preserve">пункт </w:t>
      </w:r>
      <w:r w:rsidRPr="009D20A9">
        <w:rPr>
          <w:bCs/>
          <w:lang w:val="ru-RU"/>
        </w:rPr>
        <w:t xml:space="preserve">13, </w:t>
      </w:r>
      <w:r w:rsidRPr="009D20A9">
        <w:rPr>
          <w:i/>
          <w:lang w:val="ru-RU"/>
        </w:rPr>
        <w:t>Официальные отчеты Генеральной Ассамблеи, пят</w:t>
      </w:r>
      <w:r>
        <w:rPr>
          <w:i/>
          <w:lang w:val="ru-RU"/>
        </w:rPr>
        <w:t>ь</w:t>
      </w:r>
      <w:r w:rsidRPr="009D20A9">
        <w:rPr>
          <w:i/>
          <w:lang w:val="ru-RU"/>
        </w:rPr>
        <w:t>десят шестая сессия, Дополнение №</w:t>
      </w:r>
      <w:r>
        <w:rPr>
          <w:i/>
          <w:lang w:val="ru-RU"/>
        </w:rPr>
        <w:t xml:space="preserve"> </w:t>
      </w:r>
      <w:r w:rsidRPr="009D20A9">
        <w:rPr>
          <w:i/>
          <w:lang w:val="ru-RU"/>
        </w:rPr>
        <w:t xml:space="preserve">40, </w:t>
      </w:r>
      <w:r>
        <w:rPr>
          <w:lang w:val="ru-RU"/>
        </w:rPr>
        <w:t xml:space="preserve">том </w:t>
      </w:r>
      <w:r w:rsidRPr="009D20A9">
        <w:rPr>
          <w:lang w:val="en-US"/>
        </w:rPr>
        <w:t>I</w:t>
      </w:r>
      <w:r w:rsidRPr="009D20A9">
        <w:rPr>
          <w:lang w:val="ru-RU"/>
        </w:rPr>
        <w:t xml:space="preserve"> (</w:t>
      </w:r>
      <w:r w:rsidRPr="009D20A9">
        <w:rPr>
          <w:lang w:val="en-US"/>
        </w:rPr>
        <w:t>A</w:t>
      </w:r>
      <w:r w:rsidRPr="009D20A9">
        <w:rPr>
          <w:lang w:val="ru-RU"/>
        </w:rPr>
        <w:t>/56/40</w:t>
      </w:r>
      <w:r>
        <w:rPr>
          <w:lang w:val="ru-RU"/>
        </w:rPr>
        <w:t xml:space="preserve"> </w:t>
      </w:r>
      <w:r w:rsidRPr="009D20A9">
        <w:rPr>
          <w:lang w:val="ru-RU"/>
        </w:rPr>
        <w:t>(</w:t>
      </w:r>
      <w:r>
        <w:rPr>
          <w:lang w:val="ru-RU"/>
        </w:rPr>
        <w:t xml:space="preserve">том </w:t>
      </w:r>
      <w:r w:rsidRPr="009D20A9">
        <w:rPr>
          <w:lang w:val="en-US"/>
        </w:rPr>
        <w:t>I</w:t>
      </w:r>
      <w:r w:rsidRPr="009D20A9">
        <w:rPr>
          <w:lang w:val="ru-RU"/>
        </w:rPr>
        <w:t xml:space="preserve">)), приложение </w:t>
      </w:r>
      <w:r w:rsidRPr="009D20A9">
        <w:rPr>
          <w:lang w:val="en-US"/>
        </w:rPr>
        <w:t>VI</w:t>
      </w:r>
      <w:r w:rsidRPr="009D20A9">
        <w:rPr>
          <w:lang w:val="ru-RU"/>
        </w:rPr>
        <w:t>.</w:t>
      </w:r>
    </w:p>
  </w:footnote>
  <w:footnote w:id="4">
    <w:p w:rsidR="006B12F3" w:rsidRPr="0021486B" w:rsidRDefault="006B12F3" w:rsidP="00374C13">
      <w:pPr>
        <w:pStyle w:val="FootnoteText"/>
        <w:rPr>
          <w:lang w:val="ru-RU"/>
        </w:rPr>
      </w:pPr>
      <w:r w:rsidRPr="00A257E9">
        <w:rPr>
          <w:lang w:val="ru-RU"/>
        </w:rPr>
        <w:tab/>
      </w:r>
      <w:r>
        <w:rPr>
          <w:rStyle w:val="FootnoteReference"/>
        </w:rPr>
        <w:footnoteRef/>
      </w:r>
      <w:r w:rsidRPr="00C41A0B">
        <w:rPr>
          <w:lang w:val="ru-RU"/>
        </w:rPr>
        <w:tab/>
      </w:r>
      <w:r w:rsidRPr="009D20A9">
        <w:rPr>
          <w:lang w:val="ru-RU"/>
        </w:rPr>
        <w:t>Замечание общего порядка № 29</w:t>
      </w:r>
      <w:r>
        <w:rPr>
          <w:lang w:val="ru-RU"/>
        </w:rPr>
        <w:t>, пункт 11.</w:t>
      </w:r>
    </w:p>
  </w:footnote>
  <w:footnote w:id="5">
    <w:p w:rsidR="006B12F3" w:rsidRPr="00483928" w:rsidRDefault="006B12F3" w:rsidP="00374C13">
      <w:pPr>
        <w:pStyle w:val="FootnoteText"/>
        <w:rPr>
          <w:lang w:val="ru-RU"/>
        </w:rPr>
      </w:pPr>
      <w:r w:rsidRPr="0081682E">
        <w:rPr>
          <w:lang w:val="ru-RU"/>
        </w:rPr>
        <w:tab/>
      </w:r>
      <w:r>
        <w:rPr>
          <w:rStyle w:val="FootnoteReference"/>
        </w:rPr>
        <w:footnoteRef/>
      </w:r>
      <w:r w:rsidRPr="00C41A0B">
        <w:rPr>
          <w:lang w:val="ru-RU"/>
        </w:rPr>
        <w:tab/>
      </w:r>
      <w:r w:rsidRPr="009D20A9">
        <w:rPr>
          <w:lang w:val="ru-RU"/>
        </w:rPr>
        <w:t>Замечание общего порядка № 2</w:t>
      </w:r>
      <w:r>
        <w:rPr>
          <w:lang w:val="ru-RU"/>
        </w:rPr>
        <w:t>4.</w:t>
      </w:r>
    </w:p>
  </w:footnote>
  <w:footnote w:id="6">
    <w:p w:rsidR="006B12F3" w:rsidRPr="00A57AE9" w:rsidRDefault="006B12F3" w:rsidP="00374C13">
      <w:pPr>
        <w:pStyle w:val="FootnoteText"/>
        <w:rPr>
          <w:lang w:val="ru-RU"/>
        </w:rPr>
      </w:pPr>
      <w:r w:rsidRPr="0081682E">
        <w:rPr>
          <w:lang w:val="ru-RU"/>
        </w:rPr>
        <w:tab/>
      </w:r>
      <w:r>
        <w:rPr>
          <w:rStyle w:val="FootnoteReference"/>
        </w:rPr>
        <w:footnoteRef/>
      </w:r>
      <w:r w:rsidRPr="00E36FB8">
        <w:rPr>
          <w:lang w:val="ru-RU"/>
        </w:rPr>
        <w:tab/>
      </w:r>
      <w:r>
        <w:rPr>
          <w:lang w:val="ru-RU"/>
        </w:rPr>
        <w:t>Замечание общего порядка № 31 (2004) Комитет</w:t>
      </w:r>
      <w:r w:rsidRPr="00083A59">
        <w:rPr>
          <w:lang w:val="ru-RU"/>
        </w:rPr>
        <w:t xml:space="preserve">а о </w:t>
      </w:r>
      <w:r w:rsidRPr="00083A59">
        <w:rPr>
          <w:bCs/>
          <w:lang w:val="ru-RU"/>
        </w:rPr>
        <w:t>характере общего юридического обязательства, налагаемого на государства</w:t>
      </w:r>
      <w:r w:rsidRPr="00083A59">
        <w:rPr>
          <w:bCs/>
          <w:lang w:val="en-US"/>
        </w:rPr>
        <w:t> </w:t>
      </w:r>
      <w:r>
        <w:rPr>
          <w:bCs/>
          <w:lang w:val="ru-RU"/>
        </w:rPr>
        <w:t>−</w:t>
      </w:r>
      <w:r w:rsidRPr="00083A59">
        <w:rPr>
          <w:bCs/>
          <w:lang w:val="ru-RU"/>
        </w:rPr>
        <w:t xml:space="preserve"> участники Пакта, </w:t>
      </w:r>
      <w:r>
        <w:rPr>
          <w:bCs/>
          <w:lang w:val="ru-RU"/>
        </w:rPr>
        <w:t xml:space="preserve">пункт </w:t>
      </w:r>
      <w:r w:rsidRPr="00083A59">
        <w:rPr>
          <w:bCs/>
          <w:lang w:val="ru-RU"/>
        </w:rPr>
        <w:t xml:space="preserve">4, </w:t>
      </w:r>
      <w:r w:rsidRPr="00083A59">
        <w:rPr>
          <w:i/>
          <w:lang w:val="ru-RU"/>
        </w:rPr>
        <w:t>Официальные отчеты Генеральной Ассамблеи, пят</w:t>
      </w:r>
      <w:r>
        <w:rPr>
          <w:i/>
          <w:lang w:val="ru-RU"/>
        </w:rPr>
        <w:t>ь</w:t>
      </w:r>
      <w:r w:rsidRPr="00083A59">
        <w:rPr>
          <w:i/>
          <w:lang w:val="ru-RU"/>
        </w:rPr>
        <w:t>д</w:t>
      </w:r>
      <w:r w:rsidRPr="00A57AE9">
        <w:rPr>
          <w:i/>
          <w:lang w:val="ru-RU"/>
        </w:rPr>
        <w:t>есят девятая сессия, Дополнение №</w:t>
      </w:r>
      <w:r>
        <w:rPr>
          <w:i/>
          <w:lang w:val="ru-RU"/>
        </w:rPr>
        <w:t xml:space="preserve"> </w:t>
      </w:r>
      <w:r w:rsidRPr="00A57AE9">
        <w:rPr>
          <w:i/>
          <w:lang w:val="ru-RU"/>
        </w:rPr>
        <w:t xml:space="preserve">40, </w:t>
      </w:r>
      <w:r>
        <w:rPr>
          <w:lang w:val="ru-RU"/>
        </w:rPr>
        <w:t xml:space="preserve">том </w:t>
      </w:r>
      <w:r w:rsidRPr="00A57AE9">
        <w:rPr>
          <w:lang w:val="en-US"/>
        </w:rPr>
        <w:t>I</w:t>
      </w:r>
      <w:r w:rsidRPr="00A57AE9">
        <w:rPr>
          <w:lang w:val="ru-RU"/>
        </w:rPr>
        <w:t xml:space="preserve"> (</w:t>
      </w:r>
      <w:r w:rsidRPr="00A57AE9">
        <w:rPr>
          <w:lang w:val="en-US"/>
        </w:rPr>
        <w:t>A</w:t>
      </w:r>
      <w:r w:rsidRPr="00A57AE9">
        <w:rPr>
          <w:lang w:val="ru-RU"/>
        </w:rPr>
        <w:t>/59/40</w:t>
      </w:r>
      <w:r>
        <w:rPr>
          <w:lang w:val="ru-RU"/>
        </w:rPr>
        <w:t xml:space="preserve"> </w:t>
      </w:r>
      <w:r w:rsidRPr="00A57AE9">
        <w:rPr>
          <w:lang w:val="ru-RU"/>
        </w:rPr>
        <w:t>(</w:t>
      </w:r>
      <w:r>
        <w:rPr>
          <w:lang w:val="ru-RU"/>
        </w:rPr>
        <w:t xml:space="preserve">том </w:t>
      </w:r>
      <w:r w:rsidRPr="00A57AE9">
        <w:rPr>
          <w:lang w:val="en-US"/>
        </w:rPr>
        <w:t>I</w:t>
      </w:r>
      <w:r w:rsidRPr="00A57AE9">
        <w:rPr>
          <w:lang w:val="ru-RU"/>
        </w:rPr>
        <w:t xml:space="preserve">)), приложение </w:t>
      </w:r>
      <w:r w:rsidRPr="00A57AE9">
        <w:rPr>
          <w:lang w:val="en-US"/>
        </w:rPr>
        <w:t>III</w:t>
      </w:r>
      <w:r w:rsidRPr="00A57AE9">
        <w:rPr>
          <w:lang w:val="ru-RU"/>
        </w:rPr>
        <w:t>.</w:t>
      </w:r>
    </w:p>
  </w:footnote>
  <w:footnote w:id="7">
    <w:p w:rsidR="006B12F3" w:rsidRPr="00945478" w:rsidRDefault="006B12F3" w:rsidP="00374C13">
      <w:pPr>
        <w:pStyle w:val="FootnoteText"/>
        <w:rPr>
          <w:lang w:val="ru-RU"/>
        </w:rPr>
      </w:pPr>
      <w:r w:rsidRPr="00A257E9">
        <w:rPr>
          <w:lang w:val="ru-RU"/>
        </w:rPr>
        <w:tab/>
      </w:r>
      <w:r>
        <w:rPr>
          <w:rStyle w:val="FootnoteReference"/>
        </w:rPr>
        <w:footnoteRef/>
      </w:r>
      <w:r w:rsidRPr="00E36FB8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945478">
        <w:rPr>
          <w:lang w:val="ru-RU"/>
        </w:rPr>
        <w:t>61/1979</w:t>
      </w:r>
      <w:r>
        <w:rPr>
          <w:lang w:val="ru-RU"/>
        </w:rPr>
        <w:t xml:space="preserve">, </w:t>
      </w:r>
      <w:r w:rsidRPr="00424B06">
        <w:rPr>
          <w:i/>
          <w:lang w:val="ru-RU"/>
        </w:rPr>
        <w:t>Херцберг и др. против Финляндии</w:t>
      </w:r>
      <w:r>
        <w:rPr>
          <w:lang w:val="ru-RU"/>
        </w:rPr>
        <w:t>, Соображения приняты 2 апреля 1982 года.</w:t>
      </w:r>
    </w:p>
  </w:footnote>
  <w:footnote w:id="8">
    <w:p w:rsidR="006B12F3" w:rsidRPr="00F12AEA" w:rsidRDefault="006B12F3" w:rsidP="00374C13">
      <w:pPr>
        <w:pStyle w:val="FootnoteText"/>
        <w:rPr>
          <w:lang w:val="ru-RU"/>
        </w:rPr>
      </w:pPr>
      <w:r w:rsidRPr="00A257E9">
        <w:rPr>
          <w:lang w:val="ru-RU"/>
        </w:rPr>
        <w:tab/>
      </w:r>
      <w:r>
        <w:rPr>
          <w:rStyle w:val="FootnoteReference"/>
        </w:rPr>
        <w:footnoteRef/>
      </w:r>
      <w:r w:rsidRPr="00F12AEA">
        <w:rPr>
          <w:lang w:val="ru-RU"/>
        </w:rPr>
        <w:t xml:space="preserve"> </w:t>
      </w:r>
      <w:r w:rsidRPr="00E36FB8">
        <w:rPr>
          <w:lang w:val="ru-RU"/>
        </w:rPr>
        <w:tab/>
      </w:r>
      <w:r>
        <w:rPr>
          <w:lang w:val="ru-RU"/>
        </w:rPr>
        <w:t>Замечание общего порядка № 31, пункт 8; см. сообщение № 633</w:t>
      </w:r>
      <w:r w:rsidRPr="00F12AEA">
        <w:rPr>
          <w:lang w:val="ru-RU"/>
        </w:rPr>
        <w:t>/1995</w:t>
      </w:r>
      <w:r>
        <w:rPr>
          <w:lang w:val="ru-RU"/>
        </w:rPr>
        <w:t xml:space="preserve">, </w:t>
      </w:r>
      <w:r w:rsidRPr="00424B06">
        <w:rPr>
          <w:i/>
          <w:lang w:val="ru-RU"/>
        </w:rPr>
        <w:t>Готье против Канады</w:t>
      </w:r>
      <w:r>
        <w:rPr>
          <w:lang w:val="ru-RU"/>
        </w:rPr>
        <w:t xml:space="preserve">, Соображения приняты 7 апреля 1999 года. </w:t>
      </w:r>
    </w:p>
  </w:footnote>
  <w:footnote w:id="9">
    <w:p w:rsidR="006B12F3" w:rsidRPr="00ED4F25" w:rsidRDefault="006B12F3" w:rsidP="00374C13">
      <w:pPr>
        <w:pStyle w:val="FootnoteText"/>
        <w:rPr>
          <w:lang w:val="ru-RU"/>
        </w:rPr>
      </w:pPr>
      <w:r w:rsidRPr="00A257E9">
        <w:rPr>
          <w:lang w:val="ru-RU"/>
        </w:rPr>
        <w:tab/>
      </w:r>
      <w:r>
        <w:rPr>
          <w:rStyle w:val="FootnoteReference"/>
        </w:rPr>
        <w:footnoteRef/>
      </w:r>
      <w:r w:rsidRPr="00E36FB8">
        <w:rPr>
          <w:lang w:val="ru-RU"/>
        </w:rPr>
        <w:tab/>
      </w:r>
      <w:r>
        <w:rPr>
          <w:lang w:val="ru-RU"/>
        </w:rPr>
        <w:t>См. сообщение № 550</w:t>
      </w:r>
      <w:r w:rsidRPr="00ED4F25">
        <w:rPr>
          <w:lang w:val="ru-RU"/>
        </w:rPr>
        <w:t>/</w:t>
      </w:r>
      <w:r>
        <w:rPr>
          <w:lang w:val="ru-RU"/>
        </w:rPr>
        <w:t xml:space="preserve">93, </w:t>
      </w:r>
      <w:r w:rsidRPr="00ED4F25">
        <w:rPr>
          <w:i/>
          <w:lang w:val="ru-RU"/>
        </w:rPr>
        <w:t>Фориссон против Франции</w:t>
      </w:r>
      <w:r>
        <w:rPr>
          <w:lang w:val="ru-RU"/>
        </w:rPr>
        <w:t>, Соображения приняты 8 ноября 1996 года.</w:t>
      </w:r>
    </w:p>
  </w:footnote>
  <w:footnote w:id="10">
    <w:p w:rsidR="006B12F3" w:rsidRPr="00C81B91" w:rsidRDefault="006B12F3" w:rsidP="00374C13">
      <w:pPr>
        <w:pStyle w:val="FootnoteText"/>
        <w:rPr>
          <w:lang w:val="ru-RU"/>
        </w:rPr>
      </w:pPr>
      <w:r w:rsidRPr="00CA6F06">
        <w:rPr>
          <w:lang w:val="ru-RU"/>
        </w:rPr>
        <w:tab/>
      </w:r>
      <w:r>
        <w:rPr>
          <w:rStyle w:val="FootnoteReference"/>
        </w:rPr>
        <w:footnoteRef/>
      </w:r>
      <w:r w:rsidRPr="00C81B91">
        <w:rPr>
          <w:lang w:val="ru-RU"/>
        </w:rPr>
        <w:t xml:space="preserve"> </w:t>
      </w:r>
      <w:r w:rsidRPr="00E36FB8">
        <w:rPr>
          <w:lang w:val="ru-RU"/>
        </w:rPr>
        <w:tab/>
      </w:r>
      <w:r>
        <w:rPr>
          <w:lang w:val="ru-RU"/>
        </w:rPr>
        <w:t>См. сообщение № 157</w:t>
      </w:r>
      <w:r w:rsidRPr="00C81B91">
        <w:rPr>
          <w:lang w:val="ru-RU"/>
        </w:rPr>
        <w:t>/1983</w:t>
      </w:r>
      <w:r>
        <w:rPr>
          <w:lang w:val="ru-RU"/>
        </w:rPr>
        <w:t xml:space="preserve">, </w:t>
      </w:r>
      <w:r w:rsidRPr="00C81B91">
        <w:rPr>
          <w:i/>
          <w:lang w:val="ru-RU"/>
        </w:rPr>
        <w:t>Мпака-Нсуси против Заира</w:t>
      </w:r>
      <w:r>
        <w:rPr>
          <w:lang w:val="ru-RU"/>
        </w:rPr>
        <w:t xml:space="preserve">, Соображения приняты 26 марта 1986 года; № </w:t>
      </w:r>
      <w:r w:rsidRPr="009051A8">
        <w:rPr>
          <w:lang w:val="it-IT"/>
        </w:rPr>
        <w:t xml:space="preserve">414/1990, </w:t>
      </w:r>
      <w:r>
        <w:rPr>
          <w:i/>
          <w:lang w:val="ru-RU"/>
        </w:rPr>
        <w:t>Мика Миха против Экваториальной Гвинеи</w:t>
      </w:r>
      <w:r w:rsidRPr="009051A8">
        <w:rPr>
          <w:lang w:val="it-IT"/>
        </w:rPr>
        <w:t xml:space="preserve">, </w:t>
      </w:r>
      <w:r>
        <w:rPr>
          <w:lang w:val="ru-RU"/>
        </w:rPr>
        <w:t>Соображения приняты 8 июля 1994 года.</w:t>
      </w:r>
    </w:p>
  </w:footnote>
  <w:footnote w:id="11">
    <w:p w:rsidR="006B12F3" w:rsidRPr="00164683" w:rsidRDefault="006B12F3" w:rsidP="00374C13">
      <w:pPr>
        <w:pStyle w:val="FootnoteText"/>
        <w:rPr>
          <w:lang w:val="ru-RU"/>
        </w:rPr>
      </w:pPr>
      <w:r w:rsidRPr="00CA6F06">
        <w:rPr>
          <w:lang w:val="ru-RU"/>
        </w:rPr>
        <w:tab/>
      </w:r>
      <w:r>
        <w:rPr>
          <w:rStyle w:val="FootnoteReference"/>
        </w:rPr>
        <w:footnoteRef/>
      </w:r>
      <w:r w:rsidRPr="00164683">
        <w:rPr>
          <w:lang w:val="ru-RU"/>
        </w:rPr>
        <w:t xml:space="preserve"> </w:t>
      </w:r>
      <w:r w:rsidRPr="00E36FB8">
        <w:rPr>
          <w:lang w:val="ru-RU"/>
        </w:rPr>
        <w:tab/>
      </w:r>
      <w:r>
        <w:rPr>
          <w:lang w:val="ru-RU"/>
        </w:rPr>
        <w:t>См</w:t>
      </w:r>
      <w:r w:rsidRPr="00164683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164683">
        <w:rPr>
          <w:lang w:val="ru-RU"/>
        </w:rPr>
        <w:t xml:space="preserve"> № 878/1999, </w:t>
      </w:r>
      <w:r>
        <w:rPr>
          <w:i/>
          <w:lang w:val="ru-RU"/>
        </w:rPr>
        <w:t>Канг против Республики Корея</w:t>
      </w:r>
      <w:r w:rsidRPr="00164683">
        <w:rPr>
          <w:lang w:val="ru-RU"/>
        </w:rPr>
        <w:t xml:space="preserve">, </w:t>
      </w:r>
      <w:r>
        <w:rPr>
          <w:lang w:val="ru-RU"/>
        </w:rPr>
        <w:t>Соображения приняты 15 июля 2003 года.</w:t>
      </w:r>
    </w:p>
  </w:footnote>
  <w:footnote w:id="12">
    <w:p w:rsidR="006B12F3" w:rsidRPr="00EF3D25" w:rsidRDefault="006B12F3" w:rsidP="008F3A81">
      <w:pPr>
        <w:pStyle w:val="FootnoteText"/>
        <w:rPr>
          <w:lang w:val="ru-RU"/>
        </w:rPr>
      </w:pPr>
      <w:r>
        <w:rPr>
          <w:lang w:val="en-US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>См. сообщения № 395</w:t>
      </w:r>
      <w:r w:rsidRPr="003A2FE3">
        <w:rPr>
          <w:lang w:val="ru-RU"/>
        </w:rPr>
        <w:t xml:space="preserve">/1989 </w:t>
      </w:r>
      <w:r>
        <w:rPr>
          <w:lang w:val="ru-RU"/>
        </w:rPr>
        <w:t xml:space="preserve">и </w:t>
      </w:r>
      <w:r w:rsidRPr="003A2FE3">
        <w:rPr>
          <w:lang w:val="ru-RU"/>
        </w:rPr>
        <w:t>385/1989</w:t>
      </w:r>
      <w:r>
        <w:rPr>
          <w:lang w:val="ru-RU"/>
        </w:rPr>
        <w:t xml:space="preserve">, </w:t>
      </w:r>
      <w:r w:rsidRPr="003A2FE3">
        <w:rPr>
          <w:i/>
          <w:lang w:val="ru-RU"/>
        </w:rPr>
        <w:t>Баллантайн, Дэвидсон и Макинтайр против Канады</w:t>
      </w:r>
      <w:r>
        <w:rPr>
          <w:lang w:val="ru-RU"/>
        </w:rPr>
        <w:t xml:space="preserve">, Соображения приняты 18 октября 1990 года. </w:t>
      </w:r>
    </w:p>
  </w:footnote>
  <w:footnote w:id="13">
    <w:p w:rsidR="006B12F3" w:rsidRPr="0065217E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65217E">
        <w:rPr>
          <w:lang w:val="ru-RU"/>
        </w:rPr>
        <w:t>414/1990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Мика Миха против Экваториальной Гвинеи</w:t>
      </w:r>
      <w:r>
        <w:rPr>
          <w:lang w:val="ru-RU"/>
        </w:rPr>
        <w:t>.</w:t>
      </w:r>
    </w:p>
  </w:footnote>
  <w:footnote w:id="14">
    <w:p w:rsidR="006B12F3" w:rsidRPr="0065217E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65217E">
        <w:rPr>
          <w:lang w:val="ru-RU"/>
        </w:rPr>
        <w:t>1189/2003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Фернандо против Шри-Ланки</w:t>
      </w:r>
      <w:r>
        <w:rPr>
          <w:lang w:val="ru-RU"/>
        </w:rPr>
        <w:t xml:space="preserve">, Соображения приняты </w:t>
      </w:r>
      <w:r w:rsidRPr="0065217E">
        <w:rPr>
          <w:lang w:val="ru-RU"/>
        </w:rPr>
        <w:t>31</w:t>
      </w:r>
      <w:r>
        <w:rPr>
          <w:lang w:val="ru-RU"/>
        </w:rPr>
        <w:t> марта 2005 года.</w:t>
      </w:r>
    </w:p>
  </w:footnote>
  <w:footnote w:id="15">
    <w:p w:rsidR="006B12F3" w:rsidRPr="0065217E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65217E">
        <w:rPr>
          <w:lang w:val="ru-RU"/>
        </w:rPr>
        <w:t>1157/2003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Коулман против Австралии</w:t>
      </w:r>
      <w:r>
        <w:rPr>
          <w:lang w:val="ru-RU"/>
        </w:rPr>
        <w:t>, Соображения приняты 17 июля 2006 года.</w:t>
      </w:r>
    </w:p>
  </w:footnote>
  <w:footnote w:id="16">
    <w:p w:rsidR="006B12F3" w:rsidRPr="00727942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Заключительные замечания в отношении Японии </w:t>
      </w:r>
      <w:r w:rsidRPr="00727942">
        <w:rPr>
          <w:lang w:val="ru-RU"/>
        </w:rPr>
        <w:t>(</w:t>
      </w:r>
      <w:r w:rsidRPr="009051A8">
        <w:t>CCPR</w:t>
      </w:r>
      <w:r w:rsidRPr="00727942">
        <w:rPr>
          <w:lang w:val="ru-RU"/>
        </w:rPr>
        <w:t>/</w:t>
      </w:r>
      <w:r w:rsidRPr="009051A8">
        <w:t>C</w:t>
      </w:r>
      <w:r w:rsidRPr="00727942">
        <w:rPr>
          <w:lang w:val="ru-RU"/>
        </w:rPr>
        <w:t>/</w:t>
      </w:r>
      <w:r w:rsidRPr="009051A8">
        <w:t>JPN</w:t>
      </w:r>
      <w:r w:rsidRPr="00727942">
        <w:rPr>
          <w:lang w:val="ru-RU"/>
        </w:rPr>
        <w:t>/</w:t>
      </w:r>
      <w:r w:rsidRPr="009051A8">
        <w:t>CO</w:t>
      </w:r>
      <w:r w:rsidRPr="00727942">
        <w:rPr>
          <w:lang w:val="ru-RU"/>
        </w:rPr>
        <w:t>/5)</w:t>
      </w:r>
      <w:r>
        <w:rPr>
          <w:lang w:val="ru-RU"/>
        </w:rPr>
        <w:t>.</w:t>
      </w:r>
    </w:p>
  </w:footnote>
  <w:footnote w:id="17">
    <w:p w:rsidR="006B12F3" w:rsidRPr="00727942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727942">
        <w:rPr>
          <w:lang w:val="ru-RU"/>
        </w:rPr>
        <w:t>1022/2001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Величкин против Республики Беларусь</w:t>
      </w:r>
      <w:r>
        <w:rPr>
          <w:lang w:val="ru-RU"/>
        </w:rPr>
        <w:t xml:space="preserve">, Соображения приняты 20 октября 2005 года. </w:t>
      </w:r>
    </w:p>
  </w:footnote>
  <w:footnote w:id="18">
    <w:p w:rsidR="006B12F3" w:rsidRPr="00727942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727942">
        <w:rPr>
          <w:lang w:val="ru-RU"/>
        </w:rPr>
        <w:t>1334/2004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Мавлонов и С</w:t>
      </w:r>
      <w:r>
        <w:rPr>
          <w:i/>
          <w:lang w:val="ru-RU"/>
        </w:rPr>
        <w:t>ай</w:t>
      </w:r>
      <w:r w:rsidRPr="00727942">
        <w:rPr>
          <w:i/>
          <w:lang w:val="ru-RU"/>
        </w:rPr>
        <w:t>ди против Узбекистана</w:t>
      </w:r>
      <w:r>
        <w:rPr>
          <w:lang w:val="ru-RU"/>
        </w:rPr>
        <w:t xml:space="preserve">, Соображения приняты 19 марта 2009 года. </w:t>
      </w:r>
    </w:p>
  </w:footnote>
  <w:footnote w:id="19">
    <w:p w:rsidR="006B12F3" w:rsidRPr="00712C7E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>См. сообщение № 926</w:t>
      </w:r>
      <w:r w:rsidRPr="00712C7E">
        <w:rPr>
          <w:lang w:val="ru-RU"/>
        </w:rPr>
        <w:t>/2000</w:t>
      </w:r>
      <w:r>
        <w:rPr>
          <w:lang w:val="ru-RU"/>
        </w:rPr>
        <w:t xml:space="preserve">, </w:t>
      </w:r>
      <w:r w:rsidRPr="00712C7E">
        <w:rPr>
          <w:i/>
          <w:lang w:val="ru-RU"/>
        </w:rPr>
        <w:t>Шин против Республики Корея</w:t>
      </w:r>
      <w:r>
        <w:rPr>
          <w:lang w:val="ru-RU"/>
        </w:rPr>
        <w:t xml:space="preserve">, Соображения приняты 16 марта 2004 года. </w:t>
      </w:r>
    </w:p>
  </w:footnote>
  <w:footnote w:id="20">
    <w:p w:rsidR="006B12F3" w:rsidRPr="00712C7E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712C7E">
        <w:rPr>
          <w:lang w:val="ru-RU"/>
        </w:rPr>
        <w:t>736/97</w:t>
      </w:r>
      <w:r>
        <w:rPr>
          <w:lang w:val="ru-RU"/>
        </w:rPr>
        <w:t xml:space="preserve">, </w:t>
      </w:r>
      <w:r w:rsidRPr="00712C7E">
        <w:rPr>
          <w:i/>
          <w:lang w:val="ru-RU"/>
        </w:rPr>
        <w:t>Росс против Канады</w:t>
      </w:r>
      <w:r>
        <w:rPr>
          <w:lang w:val="ru-RU"/>
        </w:rPr>
        <w:t>, Соображения приняты 18 октября 2000</w:t>
      </w:r>
      <w:r w:rsidRPr="007354E3">
        <w:rPr>
          <w:lang w:val="ru-RU"/>
        </w:rPr>
        <w:t xml:space="preserve"> </w:t>
      </w:r>
      <w:r>
        <w:rPr>
          <w:lang w:val="ru-RU"/>
        </w:rPr>
        <w:t>года.</w:t>
      </w:r>
    </w:p>
  </w:footnote>
  <w:footnote w:id="21">
    <w:p w:rsidR="006B12F3" w:rsidRPr="00501608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8F3A81">
        <w:rPr>
          <w:lang w:val="ru-RU"/>
        </w:rPr>
        <w:tab/>
      </w:r>
      <w:r>
        <w:rPr>
          <w:lang w:val="ru-RU"/>
        </w:rPr>
        <w:t>Там же.</w:t>
      </w:r>
    </w:p>
  </w:footnote>
  <w:footnote w:id="22">
    <w:p w:rsidR="006B12F3" w:rsidRPr="00A4224D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>Там же.</w:t>
      </w:r>
    </w:p>
  </w:footnote>
  <w:footnote w:id="23">
    <w:p w:rsidR="006B12F3" w:rsidRPr="00AD74A1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AD74A1">
        <w:rPr>
          <w:lang w:val="ru-RU"/>
        </w:rPr>
        <w:t>926/2000</w:t>
      </w:r>
      <w:r>
        <w:rPr>
          <w:lang w:val="ru-RU"/>
        </w:rPr>
        <w:t xml:space="preserve">, </w:t>
      </w:r>
      <w:r w:rsidRPr="00AD74A1">
        <w:rPr>
          <w:i/>
          <w:lang w:val="ru-RU"/>
        </w:rPr>
        <w:t>Шин против Республики Корея</w:t>
      </w:r>
      <w:r>
        <w:rPr>
          <w:lang w:val="ru-RU"/>
        </w:rPr>
        <w:t xml:space="preserve">. </w:t>
      </w:r>
    </w:p>
  </w:footnote>
  <w:footnote w:id="24">
    <w:p w:rsidR="006B12F3" w:rsidRPr="00FC5FAA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FC5FAA">
        <w:rPr>
          <w:lang w:val="ru-RU"/>
        </w:rPr>
        <w:t>1341/2005</w:t>
      </w:r>
      <w:r>
        <w:rPr>
          <w:lang w:val="ru-RU"/>
        </w:rPr>
        <w:t xml:space="preserve">, </w:t>
      </w:r>
      <w:r w:rsidRPr="006506A5">
        <w:rPr>
          <w:i/>
          <w:lang w:val="ru-RU"/>
        </w:rPr>
        <w:t>Цюндель против Канады</w:t>
      </w:r>
      <w:r>
        <w:rPr>
          <w:lang w:val="ru-RU"/>
        </w:rPr>
        <w:t>, Соображения приняты 20 марта 2007 года.</w:t>
      </w:r>
    </w:p>
  </w:footnote>
  <w:footnote w:id="25">
    <w:p w:rsidR="006B12F3" w:rsidRPr="00FC5FAA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FC5FAA">
        <w:rPr>
          <w:lang w:val="ru-RU"/>
        </w:rPr>
        <w:t>1009/2001</w:t>
      </w:r>
      <w:r>
        <w:rPr>
          <w:lang w:val="ru-RU"/>
        </w:rPr>
        <w:t xml:space="preserve">, </w:t>
      </w:r>
      <w:r w:rsidRPr="00FC5FAA">
        <w:rPr>
          <w:i/>
          <w:lang w:val="ru-RU"/>
        </w:rPr>
        <w:t>Щетко и др</w:t>
      </w:r>
      <w:r>
        <w:rPr>
          <w:i/>
          <w:lang w:val="ru-RU"/>
        </w:rPr>
        <w:t>.</w:t>
      </w:r>
      <w:r w:rsidRPr="00FC5FAA">
        <w:rPr>
          <w:i/>
          <w:lang w:val="ru-RU"/>
        </w:rPr>
        <w:t xml:space="preserve"> против Республики Беларусь</w:t>
      </w:r>
      <w:r>
        <w:rPr>
          <w:lang w:val="ru-RU"/>
        </w:rPr>
        <w:t>, Соображения приняты 11 июля 2006 года.</w:t>
      </w:r>
    </w:p>
  </w:footnote>
  <w:footnote w:id="26">
    <w:p w:rsidR="006B12F3" w:rsidRPr="006506A5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6506A5">
        <w:rPr>
          <w:lang w:val="ru-RU"/>
        </w:rPr>
        <w:t>412/1990</w:t>
      </w:r>
      <w:r>
        <w:rPr>
          <w:lang w:val="ru-RU"/>
        </w:rPr>
        <w:t xml:space="preserve">, </w:t>
      </w:r>
      <w:r w:rsidRPr="006506A5">
        <w:rPr>
          <w:i/>
          <w:lang w:val="ru-RU"/>
        </w:rPr>
        <w:t>Кивенмаа против Финляндии</w:t>
      </w:r>
      <w:r>
        <w:rPr>
          <w:lang w:val="ru-RU"/>
        </w:rPr>
        <w:t xml:space="preserve">, Соображения приняты 31 марта 1994 года. </w:t>
      </w:r>
    </w:p>
  </w:footnote>
  <w:footnote w:id="27">
    <w:p w:rsidR="006B12F3" w:rsidRPr="006506A5" w:rsidRDefault="006B12F3" w:rsidP="008F3A81">
      <w:pPr>
        <w:pStyle w:val="FootnoteText"/>
        <w:rPr>
          <w:lang w:val="ru-RU"/>
        </w:rPr>
      </w:pPr>
      <w:r w:rsidRPr="007354E3">
        <w:rPr>
          <w:lang w:val="ru-RU"/>
        </w:rPr>
        <w:tab/>
      </w:r>
      <w:r>
        <w:rPr>
          <w:rStyle w:val="FootnoteReference"/>
        </w:rPr>
        <w:footnoteRef/>
      </w:r>
      <w:r w:rsidRPr="007354E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6506A5">
        <w:rPr>
          <w:lang w:val="ru-RU"/>
        </w:rPr>
        <w:t>1189/2003</w:t>
      </w:r>
      <w:r>
        <w:rPr>
          <w:lang w:val="ru-RU"/>
        </w:rPr>
        <w:t xml:space="preserve">, </w:t>
      </w:r>
      <w:r w:rsidRPr="006506A5">
        <w:rPr>
          <w:i/>
          <w:lang w:val="ru-RU"/>
        </w:rPr>
        <w:t>Фернандо против Шри-Ланки</w:t>
      </w:r>
      <w:r>
        <w:rPr>
          <w:lang w:val="ru-RU"/>
        </w:rPr>
        <w:t>.</w:t>
      </w:r>
    </w:p>
  </w:footnote>
  <w:footnote w:id="28">
    <w:p w:rsidR="006B12F3" w:rsidRPr="00965C1B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965C1B">
        <w:rPr>
          <w:lang w:val="ru-RU"/>
        </w:rPr>
        <w:t>1128/2002</w:t>
      </w:r>
      <w:r>
        <w:rPr>
          <w:lang w:val="ru-RU"/>
        </w:rPr>
        <w:t xml:space="preserve">, </w:t>
      </w:r>
      <w:r>
        <w:rPr>
          <w:i/>
          <w:lang w:val="ru-RU"/>
        </w:rPr>
        <w:t>Маркес против Анголы</w:t>
      </w:r>
      <w:r>
        <w:rPr>
          <w:lang w:val="ru-RU"/>
        </w:rPr>
        <w:t>, Соображения приняты 29 марта 2005 года.</w:t>
      </w:r>
    </w:p>
  </w:footnote>
  <w:footnote w:id="29">
    <w:p w:rsidR="006B12F3" w:rsidRPr="00A12975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A12975">
        <w:rPr>
          <w:lang w:val="ru-RU"/>
        </w:rPr>
        <w:t>633/95</w:t>
      </w:r>
      <w:r>
        <w:rPr>
          <w:lang w:val="ru-RU"/>
        </w:rPr>
        <w:t xml:space="preserve">, </w:t>
      </w:r>
      <w:r w:rsidRPr="00A12975">
        <w:rPr>
          <w:i/>
          <w:lang w:val="ru-RU"/>
        </w:rPr>
        <w:t>Готье против Канады</w:t>
      </w:r>
      <w:r>
        <w:rPr>
          <w:lang w:val="ru-RU"/>
        </w:rPr>
        <w:t>.</w:t>
      </w:r>
    </w:p>
  </w:footnote>
  <w:footnote w:id="30">
    <w:p w:rsidR="006B12F3" w:rsidRPr="00E34417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E34417">
        <w:rPr>
          <w:lang w:val="ru-RU"/>
        </w:rPr>
        <w:t xml:space="preserve">. </w:t>
      </w:r>
      <w:r>
        <w:rPr>
          <w:lang w:val="ru-RU"/>
        </w:rPr>
        <w:t>замечание общего порядка № 25 (1996) Комите</w:t>
      </w:r>
      <w:r w:rsidRPr="00E34417">
        <w:rPr>
          <w:lang w:val="ru-RU"/>
        </w:rPr>
        <w:t xml:space="preserve">та </w:t>
      </w:r>
      <w:r>
        <w:rPr>
          <w:lang w:val="ru-RU"/>
        </w:rPr>
        <w:t>в отношении</w:t>
      </w:r>
      <w:r w:rsidRPr="00E34417">
        <w:rPr>
          <w:lang w:val="ru-RU"/>
        </w:rPr>
        <w:t xml:space="preserve"> </w:t>
      </w:r>
      <w:r w:rsidRPr="00E34417">
        <w:rPr>
          <w:bCs/>
          <w:lang w:val="ru-RU"/>
        </w:rPr>
        <w:t>стать</w:t>
      </w:r>
      <w:r>
        <w:rPr>
          <w:bCs/>
          <w:lang w:val="ru-RU"/>
        </w:rPr>
        <w:t>и</w:t>
      </w:r>
      <w:r w:rsidRPr="00E34417">
        <w:rPr>
          <w:bCs/>
          <w:lang w:val="ru-RU"/>
        </w:rPr>
        <w:t xml:space="preserve"> 25 (</w:t>
      </w:r>
      <w:r>
        <w:rPr>
          <w:bCs/>
          <w:lang w:val="ru-RU"/>
        </w:rPr>
        <w:t>У</w:t>
      </w:r>
      <w:r w:rsidRPr="00E34417">
        <w:rPr>
          <w:bCs/>
          <w:lang w:val="ru-RU"/>
        </w:rPr>
        <w:t>частие в ведении</w:t>
      </w:r>
      <w:r>
        <w:rPr>
          <w:bCs/>
          <w:lang w:val="ru-RU"/>
        </w:rPr>
        <w:t xml:space="preserve"> </w:t>
      </w:r>
      <w:r w:rsidRPr="00E34417">
        <w:rPr>
          <w:bCs/>
          <w:lang w:val="ru-RU"/>
        </w:rPr>
        <w:t>государственных дел и право голос</w:t>
      </w:r>
      <w:r>
        <w:rPr>
          <w:bCs/>
          <w:lang w:val="ru-RU"/>
        </w:rPr>
        <w:t>а</w:t>
      </w:r>
      <w:r w:rsidRPr="00E34417">
        <w:rPr>
          <w:bCs/>
          <w:lang w:val="ru-RU"/>
        </w:rPr>
        <w:t xml:space="preserve">), </w:t>
      </w:r>
      <w:r>
        <w:rPr>
          <w:bCs/>
          <w:lang w:val="ru-RU"/>
        </w:rPr>
        <w:t xml:space="preserve">пункт </w:t>
      </w:r>
      <w:r w:rsidRPr="00E34417">
        <w:rPr>
          <w:bCs/>
          <w:lang w:val="ru-RU"/>
        </w:rPr>
        <w:t xml:space="preserve">25, </w:t>
      </w:r>
      <w:r w:rsidRPr="00E34417">
        <w:rPr>
          <w:i/>
          <w:lang w:val="ru-RU"/>
        </w:rPr>
        <w:t>Официальные отчеты Генеральной Ассамблеи, пятьдесят первая сессия, Дополнение №</w:t>
      </w:r>
      <w:r>
        <w:rPr>
          <w:i/>
          <w:lang w:val="ru-RU"/>
        </w:rPr>
        <w:t xml:space="preserve"> </w:t>
      </w:r>
      <w:r w:rsidRPr="00E34417">
        <w:rPr>
          <w:i/>
          <w:lang w:val="ru-RU"/>
        </w:rPr>
        <w:t xml:space="preserve">40, </w:t>
      </w:r>
      <w:r w:rsidRPr="00E34417">
        <w:rPr>
          <w:lang w:val="ru-RU"/>
        </w:rPr>
        <w:t>т</w:t>
      </w:r>
      <w:r>
        <w:rPr>
          <w:lang w:val="ru-RU"/>
        </w:rPr>
        <w:t xml:space="preserve">ом </w:t>
      </w:r>
      <w:r w:rsidRPr="00E34417">
        <w:rPr>
          <w:lang w:val="en-US"/>
        </w:rPr>
        <w:t>I</w:t>
      </w:r>
      <w:r w:rsidRPr="00E34417">
        <w:rPr>
          <w:lang w:val="ru-RU"/>
        </w:rPr>
        <w:t xml:space="preserve"> (</w:t>
      </w:r>
      <w:r w:rsidRPr="00E34417">
        <w:rPr>
          <w:lang w:val="en-US"/>
        </w:rPr>
        <w:t>A</w:t>
      </w:r>
      <w:r w:rsidRPr="00E34417">
        <w:rPr>
          <w:lang w:val="ru-RU"/>
        </w:rPr>
        <w:t>/51/40</w:t>
      </w:r>
      <w:r>
        <w:rPr>
          <w:lang w:val="ru-RU"/>
        </w:rPr>
        <w:t xml:space="preserve"> </w:t>
      </w:r>
      <w:r w:rsidRPr="00E34417">
        <w:rPr>
          <w:lang w:val="ru-RU"/>
        </w:rPr>
        <w:t>(т</w:t>
      </w:r>
      <w:r>
        <w:rPr>
          <w:lang w:val="ru-RU"/>
        </w:rPr>
        <w:t xml:space="preserve">ом </w:t>
      </w:r>
      <w:r w:rsidRPr="00E34417">
        <w:rPr>
          <w:lang w:val="en-US"/>
        </w:rPr>
        <w:t>I</w:t>
      </w:r>
      <w:r w:rsidRPr="00E34417">
        <w:rPr>
          <w:lang w:val="ru-RU"/>
        </w:rPr>
        <w:t>)), приложение</w:t>
      </w:r>
      <w:r>
        <w:rPr>
          <w:lang w:val="ru-RU"/>
        </w:rPr>
        <w:t xml:space="preserve"> </w:t>
      </w:r>
      <w:r w:rsidRPr="00E34417">
        <w:rPr>
          <w:lang w:val="en-US"/>
        </w:rPr>
        <w:t>V</w:t>
      </w:r>
      <w:r w:rsidRPr="00E34417">
        <w:rPr>
          <w:lang w:val="ru-RU"/>
        </w:rPr>
        <w:t>.</w:t>
      </w:r>
    </w:p>
  </w:footnote>
  <w:footnote w:id="31">
    <w:p w:rsidR="006B12F3" w:rsidRPr="008A578C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727942">
        <w:rPr>
          <w:lang w:val="ru-RU"/>
        </w:rPr>
        <w:t>1334/2004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Мавлонов и С</w:t>
      </w:r>
      <w:r>
        <w:rPr>
          <w:i/>
          <w:lang w:val="ru-RU"/>
        </w:rPr>
        <w:t>ай</w:t>
      </w:r>
      <w:r w:rsidRPr="00727942">
        <w:rPr>
          <w:i/>
          <w:lang w:val="ru-RU"/>
        </w:rPr>
        <w:t>ди против Узбекистана</w:t>
      </w:r>
      <w:r>
        <w:rPr>
          <w:i/>
          <w:lang w:val="ru-RU"/>
        </w:rPr>
        <w:t>.</w:t>
      </w:r>
    </w:p>
  </w:footnote>
  <w:footnote w:id="32">
    <w:p w:rsidR="006B12F3" w:rsidRPr="007D06E3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Заключительные замечания в отношении Республики Молдова </w:t>
      </w:r>
      <w:r w:rsidRPr="007D06E3">
        <w:rPr>
          <w:lang w:val="ru-RU"/>
        </w:rPr>
        <w:t>(</w:t>
      </w:r>
      <w:r w:rsidRPr="009051A8">
        <w:t>CCPR</w:t>
      </w:r>
      <w:r w:rsidRPr="007D06E3">
        <w:rPr>
          <w:lang w:val="ru-RU"/>
        </w:rPr>
        <w:t>/</w:t>
      </w:r>
      <w:r w:rsidRPr="009051A8">
        <w:t>CO</w:t>
      </w:r>
      <w:r w:rsidRPr="007D06E3">
        <w:rPr>
          <w:lang w:val="ru-RU"/>
        </w:rPr>
        <w:t>/75/</w:t>
      </w:r>
      <w:r w:rsidRPr="009051A8">
        <w:t>MDA</w:t>
      </w:r>
      <w:r w:rsidRPr="007D06E3">
        <w:rPr>
          <w:lang w:val="ru-RU"/>
        </w:rPr>
        <w:t>)</w:t>
      </w:r>
      <w:r>
        <w:rPr>
          <w:lang w:val="ru-RU"/>
        </w:rPr>
        <w:t>.</w:t>
      </w:r>
    </w:p>
  </w:footnote>
  <w:footnote w:id="33">
    <w:p w:rsidR="006B12F3" w:rsidRPr="00F92E9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F92E91">
        <w:rPr>
          <w:lang w:val="ru-RU"/>
        </w:rPr>
        <w:t>633/95</w:t>
      </w:r>
      <w:r>
        <w:rPr>
          <w:lang w:val="ru-RU"/>
        </w:rPr>
        <w:t xml:space="preserve">, </w:t>
      </w:r>
      <w:r>
        <w:rPr>
          <w:i/>
          <w:lang w:val="ru-RU"/>
        </w:rPr>
        <w:t>Готье против Канады.</w:t>
      </w:r>
    </w:p>
  </w:footnote>
  <w:footnote w:id="34">
    <w:p w:rsidR="006B12F3" w:rsidRPr="00F92E9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727942">
        <w:rPr>
          <w:lang w:val="ru-RU"/>
        </w:rPr>
        <w:t>1334/2004</w:t>
      </w:r>
      <w:r>
        <w:rPr>
          <w:lang w:val="ru-RU"/>
        </w:rPr>
        <w:t xml:space="preserve">, </w:t>
      </w:r>
      <w:r w:rsidRPr="00727942">
        <w:rPr>
          <w:i/>
          <w:lang w:val="ru-RU"/>
        </w:rPr>
        <w:t>Мавлонов и С</w:t>
      </w:r>
      <w:r>
        <w:rPr>
          <w:i/>
          <w:lang w:val="ru-RU"/>
        </w:rPr>
        <w:t>ай</w:t>
      </w:r>
      <w:r w:rsidRPr="00727942">
        <w:rPr>
          <w:i/>
          <w:lang w:val="ru-RU"/>
        </w:rPr>
        <w:t>ди против Узбекистана</w:t>
      </w:r>
      <w:r>
        <w:rPr>
          <w:i/>
          <w:lang w:val="ru-RU"/>
        </w:rPr>
        <w:t>.</w:t>
      </w:r>
    </w:p>
  </w:footnote>
  <w:footnote w:id="35">
    <w:p w:rsidR="006B12F3" w:rsidRPr="00F31411" w:rsidRDefault="006B12F3" w:rsidP="008F3A81">
      <w:pPr>
        <w:pStyle w:val="FootnoteText"/>
        <w:rPr>
          <w:u w:val="single"/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сообщение №</w:t>
      </w:r>
      <w:r w:rsidRPr="00F31411">
        <w:rPr>
          <w:lang w:val="ru-RU"/>
        </w:rPr>
        <w:t xml:space="preserve"> 726/1996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Желудков против Украины, </w:t>
      </w:r>
      <w:r>
        <w:rPr>
          <w:lang w:val="ru-RU"/>
        </w:rPr>
        <w:t xml:space="preserve">Соображения приняты 29 октября 2002 года. </w:t>
      </w:r>
    </w:p>
  </w:footnote>
  <w:footnote w:id="36">
    <w:p w:rsidR="006B12F3" w:rsidRPr="00F3065F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E34417">
        <w:rPr>
          <w:lang w:val="ru-RU"/>
        </w:rPr>
        <w:t xml:space="preserve">. </w:t>
      </w:r>
      <w:r>
        <w:rPr>
          <w:lang w:val="ru-RU"/>
        </w:rPr>
        <w:t xml:space="preserve">замечание общего порядка № 32 (2007) о </w:t>
      </w:r>
      <w:r w:rsidRPr="00CA3C2A">
        <w:rPr>
          <w:lang w:val="ru-RU"/>
        </w:rPr>
        <w:t>праве на равенство перед судами и трибуналами и на справедливое судебное разбирательство</w:t>
      </w:r>
      <w:r w:rsidRPr="00E34417">
        <w:rPr>
          <w:bCs/>
          <w:lang w:val="ru-RU"/>
        </w:rPr>
        <w:t>, п</w:t>
      </w:r>
      <w:r>
        <w:rPr>
          <w:bCs/>
          <w:lang w:val="ru-RU"/>
        </w:rPr>
        <w:t>ункт 33</w:t>
      </w:r>
      <w:r w:rsidRPr="00E34417">
        <w:rPr>
          <w:bCs/>
          <w:lang w:val="ru-RU"/>
        </w:rPr>
        <w:t xml:space="preserve">, </w:t>
      </w:r>
      <w:r w:rsidRPr="00E34417">
        <w:rPr>
          <w:i/>
          <w:lang w:val="ru-RU"/>
        </w:rPr>
        <w:t>Официальные отчеты Ге</w:t>
      </w:r>
      <w:r w:rsidRPr="00CA3C2A">
        <w:rPr>
          <w:i/>
          <w:lang w:val="ru-RU"/>
        </w:rPr>
        <w:t>неральной Ассамблеи, шестьдесят вторая сессия, Дополнение №</w:t>
      </w:r>
      <w:r>
        <w:rPr>
          <w:i/>
          <w:lang w:val="ru-RU"/>
        </w:rPr>
        <w:t xml:space="preserve"> </w:t>
      </w:r>
      <w:r w:rsidRPr="00CA3C2A">
        <w:rPr>
          <w:i/>
          <w:lang w:val="ru-RU"/>
        </w:rPr>
        <w:t xml:space="preserve">40, </w:t>
      </w:r>
      <w:r w:rsidRPr="00F3065F">
        <w:rPr>
          <w:lang w:val="ru-RU"/>
        </w:rPr>
        <w:t xml:space="preserve">том </w:t>
      </w:r>
      <w:r w:rsidRPr="00F3065F">
        <w:rPr>
          <w:lang w:val="en-US"/>
        </w:rPr>
        <w:t>I</w:t>
      </w:r>
      <w:r w:rsidRPr="00F3065F">
        <w:rPr>
          <w:lang w:val="ru-RU"/>
        </w:rPr>
        <w:t xml:space="preserve"> (</w:t>
      </w:r>
      <w:r w:rsidRPr="00F3065F">
        <w:rPr>
          <w:lang w:val="en-US"/>
        </w:rPr>
        <w:t>A</w:t>
      </w:r>
      <w:r w:rsidRPr="00F3065F">
        <w:rPr>
          <w:lang w:val="ru-RU"/>
        </w:rPr>
        <w:t xml:space="preserve">/62/40 (том </w:t>
      </w:r>
      <w:r w:rsidRPr="00F3065F">
        <w:rPr>
          <w:lang w:val="en-US"/>
        </w:rPr>
        <w:t>I</w:t>
      </w:r>
      <w:r w:rsidRPr="00F3065F">
        <w:rPr>
          <w:lang w:val="ru-RU"/>
        </w:rPr>
        <w:t xml:space="preserve">)), приложение </w:t>
      </w:r>
      <w:r w:rsidRPr="00F3065F">
        <w:rPr>
          <w:lang w:val="en-US"/>
        </w:rPr>
        <w:t>VI</w:t>
      </w:r>
      <w:r w:rsidRPr="00F3065F">
        <w:rPr>
          <w:lang w:val="ru-RU"/>
        </w:rPr>
        <w:t>.</w:t>
      </w:r>
    </w:p>
  </w:footnote>
  <w:footnote w:id="37">
    <w:p w:rsidR="006B12F3" w:rsidRPr="0073359A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Замечание общего порядка № 31. </w:t>
      </w:r>
    </w:p>
  </w:footnote>
  <w:footnote w:id="38">
    <w:p w:rsidR="006B12F3" w:rsidRPr="006F23FA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6F23FA">
        <w:rPr>
          <w:lang w:val="ru-RU"/>
        </w:rPr>
        <w:t>1457/2006</w:t>
      </w:r>
      <w:r>
        <w:rPr>
          <w:lang w:val="ru-RU"/>
        </w:rPr>
        <w:t xml:space="preserve">, </w:t>
      </w:r>
      <w:r>
        <w:rPr>
          <w:i/>
          <w:lang w:val="ru-RU"/>
        </w:rPr>
        <w:t>Пома против Перу</w:t>
      </w:r>
      <w:r>
        <w:rPr>
          <w:lang w:val="ru-RU"/>
        </w:rPr>
        <w:t xml:space="preserve">, Соображения приняты 27 марта 2009 года. </w:t>
      </w:r>
    </w:p>
  </w:footnote>
  <w:footnote w:id="39">
    <w:p w:rsidR="006B12F3" w:rsidRPr="00C07D5D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Заключительные замечания в отношении Азербайджана </w:t>
      </w:r>
      <w:r w:rsidRPr="00C07D5D">
        <w:rPr>
          <w:lang w:val="ru-RU"/>
        </w:rPr>
        <w:t>(</w:t>
      </w:r>
      <w:r w:rsidRPr="009051A8">
        <w:t>CCPR</w:t>
      </w:r>
      <w:r w:rsidRPr="00C07D5D">
        <w:rPr>
          <w:lang w:val="ru-RU"/>
        </w:rPr>
        <w:t>/</w:t>
      </w:r>
      <w:r w:rsidRPr="009051A8">
        <w:t>C</w:t>
      </w:r>
      <w:r w:rsidRPr="00C07D5D">
        <w:rPr>
          <w:lang w:val="ru-RU"/>
        </w:rPr>
        <w:t>/79/</w:t>
      </w:r>
      <w:r w:rsidRPr="009051A8">
        <w:t>Add</w:t>
      </w:r>
      <w:r w:rsidRPr="00C07D5D">
        <w:rPr>
          <w:lang w:val="ru-RU"/>
        </w:rPr>
        <w:t>.38 (1994))</w:t>
      </w:r>
      <w:r>
        <w:rPr>
          <w:lang w:val="ru-RU"/>
        </w:rPr>
        <w:t>.</w:t>
      </w:r>
    </w:p>
  </w:footnote>
  <w:footnote w:id="40">
    <w:p w:rsidR="006B12F3" w:rsidRPr="00B9024D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замечание общего порядка № 25 в отношении статьи 25 Пакта, пункт 25.</w:t>
      </w:r>
    </w:p>
  </w:footnote>
  <w:footnote w:id="41">
    <w:p w:rsidR="006B12F3" w:rsidRPr="0070284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замечание общего порядка № 27 в отношении статьи 12</w:t>
      </w:r>
      <w:r w:rsidRPr="00E34417">
        <w:rPr>
          <w:bCs/>
          <w:lang w:val="ru-RU"/>
        </w:rPr>
        <w:t xml:space="preserve">, </w:t>
      </w:r>
      <w:r w:rsidRPr="00E34417">
        <w:rPr>
          <w:i/>
          <w:lang w:val="ru-RU"/>
        </w:rPr>
        <w:t>Официальные отчеты Ге</w:t>
      </w:r>
      <w:r w:rsidRPr="00CA3C2A">
        <w:rPr>
          <w:i/>
          <w:lang w:val="ru-RU"/>
        </w:rPr>
        <w:t xml:space="preserve">неральной Ассамблеи, </w:t>
      </w:r>
      <w:r>
        <w:rPr>
          <w:i/>
          <w:lang w:val="ru-RU"/>
        </w:rPr>
        <w:t xml:space="preserve">пятьдесят пятая </w:t>
      </w:r>
      <w:r w:rsidRPr="00CA3C2A">
        <w:rPr>
          <w:i/>
          <w:lang w:val="ru-RU"/>
        </w:rPr>
        <w:t>сессия, Дополнение №</w:t>
      </w:r>
      <w:r>
        <w:rPr>
          <w:i/>
          <w:lang w:val="ru-RU"/>
        </w:rPr>
        <w:t xml:space="preserve"> </w:t>
      </w:r>
      <w:r w:rsidRPr="00CA3C2A">
        <w:rPr>
          <w:i/>
          <w:lang w:val="ru-RU"/>
        </w:rPr>
        <w:t>40</w:t>
      </w:r>
      <w:r w:rsidRPr="00702841">
        <w:rPr>
          <w:lang w:val="ru-RU"/>
        </w:rPr>
        <w:t>, т</w:t>
      </w:r>
      <w:r>
        <w:rPr>
          <w:lang w:val="ru-RU"/>
        </w:rPr>
        <w:t xml:space="preserve">ом </w:t>
      </w:r>
      <w:r w:rsidRPr="00702841">
        <w:rPr>
          <w:lang w:val="en-US"/>
        </w:rPr>
        <w:t>I</w:t>
      </w:r>
      <w:r w:rsidRPr="00702841">
        <w:rPr>
          <w:lang w:val="ru-RU"/>
        </w:rPr>
        <w:t xml:space="preserve"> (</w:t>
      </w:r>
      <w:r w:rsidRPr="00702841">
        <w:rPr>
          <w:lang w:val="en-US"/>
        </w:rPr>
        <w:t>A</w:t>
      </w:r>
      <w:r w:rsidRPr="00702841">
        <w:rPr>
          <w:lang w:val="ru-RU"/>
        </w:rPr>
        <w:t>/55/40</w:t>
      </w:r>
      <w:r>
        <w:rPr>
          <w:lang w:val="ru-RU"/>
        </w:rPr>
        <w:t xml:space="preserve"> </w:t>
      </w:r>
      <w:r w:rsidRPr="00702841">
        <w:rPr>
          <w:lang w:val="ru-RU"/>
        </w:rPr>
        <w:t>(т</w:t>
      </w:r>
      <w:r>
        <w:rPr>
          <w:lang w:val="ru-RU"/>
        </w:rPr>
        <w:t xml:space="preserve">ом </w:t>
      </w:r>
      <w:r w:rsidRPr="00702841">
        <w:rPr>
          <w:lang w:val="en-US"/>
        </w:rPr>
        <w:t>I</w:t>
      </w:r>
      <w:r w:rsidRPr="00702841">
        <w:rPr>
          <w:lang w:val="ru-RU"/>
        </w:rPr>
        <w:t xml:space="preserve">)), приложение </w:t>
      </w:r>
      <w:r w:rsidRPr="00702841">
        <w:rPr>
          <w:lang w:val="en-US"/>
        </w:rPr>
        <w:t>VI</w:t>
      </w:r>
      <w:r w:rsidRPr="00702841">
        <w:rPr>
          <w:lang w:val="ru-RU"/>
        </w:rPr>
        <w:t>, раздел А.</w:t>
      </w:r>
    </w:p>
  </w:footnote>
  <w:footnote w:id="42">
    <w:p w:rsidR="006B12F3" w:rsidRPr="005F78F9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сообщение № 1022</w:t>
      </w:r>
      <w:r w:rsidRPr="005F78F9">
        <w:rPr>
          <w:lang w:val="ru-RU"/>
        </w:rPr>
        <w:t>/</w:t>
      </w:r>
      <w:r>
        <w:rPr>
          <w:lang w:val="ru-RU"/>
        </w:rPr>
        <w:t xml:space="preserve">2001, </w:t>
      </w:r>
      <w:r>
        <w:rPr>
          <w:i/>
          <w:lang w:val="ru-RU"/>
        </w:rPr>
        <w:t>Величкин против Белоруссии</w:t>
      </w:r>
      <w:r>
        <w:rPr>
          <w:lang w:val="ru-RU"/>
        </w:rPr>
        <w:t>, Соображения приняты 20 октября 2005 года.</w:t>
      </w:r>
    </w:p>
  </w:footnote>
  <w:footnote w:id="43">
    <w:p w:rsidR="006B12F3" w:rsidRPr="006E2C6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замечание общего порядка № 22 Комитета</w:t>
      </w:r>
      <w:r w:rsidRPr="00E34417">
        <w:rPr>
          <w:bCs/>
          <w:lang w:val="ru-RU"/>
        </w:rPr>
        <w:t xml:space="preserve">, </w:t>
      </w:r>
      <w:r w:rsidRPr="00E34417">
        <w:rPr>
          <w:i/>
          <w:lang w:val="ru-RU"/>
        </w:rPr>
        <w:t>Официальные отчеты Ге</w:t>
      </w:r>
      <w:r w:rsidRPr="00CA3C2A">
        <w:rPr>
          <w:i/>
          <w:lang w:val="ru-RU"/>
        </w:rPr>
        <w:t xml:space="preserve">неральной Ассамблеи, </w:t>
      </w:r>
      <w:r>
        <w:rPr>
          <w:i/>
          <w:lang w:val="ru-RU"/>
        </w:rPr>
        <w:t xml:space="preserve">сорок восьмая </w:t>
      </w:r>
      <w:r w:rsidRPr="00CA3C2A">
        <w:rPr>
          <w:i/>
          <w:lang w:val="ru-RU"/>
        </w:rPr>
        <w:t>сессия, Дополнение №</w:t>
      </w:r>
      <w:r>
        <w:rPr>
          <w:i/>
          <w:lang w:val="ru-RU"/>
        </w:rPr>
        <w:t xml:space="preserve"> </w:t>
      </w:r>
      <w:r w:rsidRPr="00CA3C2A">
        <w:rPr>
          <w:i/>
          <w:lang w:val="ru-RU"/>
        </w:rPr>
        <w:t>40</w:t>
      </w:r>
      <w:r w:rsidRPr="0010281B">
        <w:rPr>
          <w:lang w:val="ru-RU"/>
        </w:rPr>
        <w:t xml:space="preserve"> (</w:t>
      </w:r>
      <w:r w:rsidRPr="0010281B">
        <w:rPr>
          <w:lang w:val="en-US"/>
        </w:rPr>
        <w:t>A</w:t>
      </w:r>
      <w:r w:rsidRPr="0010281B">
        <w:rPr>
          <w:lang w:val="ru-RU"/>
        </w:rPr>
        <w:t>/48/40)</w:t>
      </w:r>
      <w:r w:rsidRPr="00CE0F27">
        <w:rPr>
          <w:lang w:val="ru-RU"/>
        </w:rPr>
        <w:t>, приложение </w:t>
      </w:r>
      <w:r w:rsidRPr="00CE0F27">
        <w:rPr>
          <w:lang w:val="en-US"/>
        </w:rPr>
        <w:t>VI</w:t>
      </w:r>
      <w:r w:rsidRPr="00CE0F27">
        <w:rPr>
          <w:lang w:val="ru-RU"/>
        </w:rPr>
        <w:t>.</w:t>
      </w:r>
    </w:p>
  </w:footnote>
  <w:footnote w:id="44">
    <w:p w:rsidR="006B12F3" w:rsidRPr="0086141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861418">
        <w:rPr>
          <w:szCs w:val="21"/>
          <w:lang w:val="ru-RU"/>
        </w:rPr>
        <w:t>458/91</w:t>
      </w:r>
      <w:r>
        <w:rPr>
          <w:szCs w:val="21"/>
          <w:lang w:val="ru-RU"/>
        </w:rPr>
        <w:t xml:space="preserve">, </w:t>
      </w:r>
      <w:r>
        <w:rPr>
          <w:i/>
          <w:szCs w:val="21"/>
          <w:lang w:val="ru-RU"/>
        </w:rPr>
        <w:t>Муконг против Камеруна</w:t>
      </w:r>
      <w:r>
        <w:rPr>
          <w:szCs w:val="21"/>
          <w:lang w:val="ru-RU"/>
        </w:rPr>
        <w:t>, Соображения приняты 21 июля 1994 года.</w:t>
      </w:r>
    </w:p>
  </w:footnote>
  <w:footnote w:id="45">
    <w:p w:rsidR="006B12F3" w:rsidRPr="00B85EF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B85EF1">
        <w:rPr>
          <w:szCs w:val="21"/>
          <w:lang w:val="ru-RU"/>
        </w:rPr>
        <w:t>1353/2005</w:t>
      </w:r>
      <w:r>
        <w:rPr>
          <w:szCs w:val="21"/>
          <w:lang w:val="ru-RU"/>
        </w:rPr>
        <w:t xml:space="preserve">, </w:t>
      </w:r>
      <w:r>
        <w:rPr>
          <w:i/>
          <w:szCs w:val="21"/>
          <w:lang w:val="ru-RU"/>
        </w:rPr>
        <w:t>Нджару против Камеруна</w:t>
      </w:r>
      <w:r>
        <w:rPr>
          <w:szCs w:val="21"/>
          <w:lang w:val="ru-RU"/>
        </w:rPr>
        <w:t xml:space="preserve">, Соображения приняты 19 марта 2007 года. </w:t>
      </w:r>
    </w:p>
  </w:footnote>
  <w:footnote w:id="46">
    <w:p w:rsidR="006B12F3" w:rsidRPr="00C704AB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См., например, заключительные замечания в отношении Алжира </w:t>
      </w:r>
      <w:r w:rsidRPr="00C704AB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DZA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C704AB">
        <w:rPr>
          <w:szCs w:val="21"/>
          <w:lang w:val="ru-RU"/>
        </w:rPr>
        <w:t>/3)</w:t>
      </w:r>
      <w:r>
        <w:rPr>
          <w:szCs w:val="21"/>
          <w:lang w:val="ru-RU"/>
        </w:rPr>
        <w:t xml:space="preserve">; </w:t>
      </w:r>
      <w:r>
        <w:rPr>
          <w:lang w:val="ru-RU"/>
        </w:rPr>
        <w:t>заключительные замечания в отношении Коста-Рики (</w:t>
      </w:r>
      <w:r w:rsidRPr="009051A8">
        <w:rPr>
          <w:szCs w:val="21"/>
        </w:rPr>
        <w:t>CCPR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CRI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C704AB">
        <w:rPr>
          <w:szCs w:val="21"/>
          <w:lang w:val="ru-RU"/>
        </w:rPr>
        <w:t>/5)</w:t>
      </w:r>
      <w:r>
        <w:rPr>
          <w:szCs w:val="21"/>
          <w:lang w:val="ru-RU"/>
        </w:rPr>
        <w:t xml:space="preserve">; </w:t>
      </w:r>
      <w:r>
        <w:rPr>
          <w:lang w:val="ru-RU"/>
        </w:rPr>
        <w:t xml:space="preserve">заключительные замечания в отношении Судана </w:t>
      </w:r>
      <w:r w:rsidRPr="00C704AB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SDN</w:t>
      </w:r>
      <w:r w:rsidRPr="00C704AB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C704AB">
        <w:rPr>
          <w:szCs w:val="21"/>
          <w:lang w:val="ru-RU"/>
        </w:rPr>
        <w:t>/3).</w:t>
      </w:r>
    </w:p>
  </w:footnote>
  <w:footnote w:id="47">
    <w:p w:rsidR="006B12F3" w:rsidRPr="00D1597B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7E2E01">
        <w:rPr>
          <w:szCs w:val="21"/>
          <w:lang w:val="ru-RU"/>
        </w:rPr>
        <w:t>1353/2005</w:t>
      </w:r>
      <w:r>
        <w:rPr>
          <w:szCs w:val="21"/>
          <w:lang w:val="ru-RU"/>
        </w:rPr>
        <w:t xml:space="preserve">, </w:t>
      </w:r>
      <w:r>
        <w:rPr>
          <w:i/>
          <w:szCs w:val="21"/>
          <w:lang w:val="ru-RU"/>
        </w:rPr>
        <w:t>Нджару против Камеруна</w:t>
      </w:r>
      <w:r w:rsidRPr="007E2E01">
        <w:rPr>
          <w:szCs w:val="21"/>
          <w:lang w:val="ru-RU"/>
        </w:rPr>
        <w:t>;</w:t>
      </w:r>
      <w:r>
        <w:rPr>
          <w:szCs w:val="21"/>
          <w:lang w:val="ru-RU"/>
        </w:rPr>
        <w:t xml:space="preserve"> </w:t>
      </w:r>
      <w:r>
        <w:rPr>
          <w:lang w:val="ru-RU"/>
        </w:rPr>
        <w:t xml:space="preserve">заключительные замечания в отношении Никарагуа </w:t>
      </w:r>
      <w:r w:rsidRPr="007E2E01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NIC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7E2E01">
        <w:rPr>
          <w:szCs w:val="21"/>
          <w:lang w:val="ru-RU"/>
        </w:rPr>
        <w:t>/3);</w:t>
      </w:r>
      <w:r>
        <w:rPr>
          <w:szCs w:val="21"/>
          <w:lang w:val="ru-RU"/>
        </w:rPr>
        <w:t xml:space="preserve"> </w:t>
      </w:r>
      <w:r>
        <w:rPr>
          <w:lang w:val="ru-RU"/>
        </w:rPr>
        <w:t xml:space="preserve">заключительные замечания в отношении Туниса </w:t>
      </w:r>
      <w:r w:rsidRPr="007E2E01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TUN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7E2E01">
        <w:rPr>
          <w:szCs w:val="21"/>
          <w:lang w:val="ru-RU"/>
        </w:rPr>
        <w:t>/5);</w:t>
      </w:r>
      <w:r>
        <w:rPr>
          <w:szCs w:val="21"/>
          <w:lang w:val="ru-RU"/>
        </w:rPr>
        <w:t xml:space="preserve"> </w:t>
      </w:r>
      <w:r>
        <w:rPr>
          <w:lang w:val="ru-RU"/>
        </w:rPr>
        <w:t xml:space="preserve">заключительные замечания в отношении Сирийской Арабской Республики </w:t>
      </w:r>
      <w:r w:rsidRPr="007E2E01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7E2E01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7E2E01">
        <w:rPr>
          <w:szCs w:val="21"/>
          <w:lang w:val="ru-RU"/>
        </w:rPr>
        <w:t>/84/</w:t>
      </w:r>
      <w:r w:rsidRPr="009051A8">
        <w:rPr>
          <w:szCs w:val="21"/>
        </w:rPr>
        <w:t>SYR</w:t>
      </w:r>
      <w:r w:rsidRPr="007E2E01">
        <w:rPr>
          <w:szCs w:val="21"/>
          <w:lang w:val="ru-RU"/>
        </w:rPr>
        <w:t>);</w:t>
      </w:r>
      <w:r w:rsidRPr="00D1597B">
        <w:rPr>
          <w:lang w:val="ru-RU"/>
        </w:rPr>
        <w:t xml:space="preserve"> </w:t>
      </w:r>
      <w:r>
        <w:rPr>
          <w:lang w:val="ru-RU"/>
        </w:rPr>
        <w:t xml:space="preserve">заключительные замечания в отношении Колумбии </w:t>
      </w:r>
      <w:r w:rsidRPr="00D1597B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D1597B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D1597B">
        <w:rPr>
          <w:szCs w:val="21"/>
          <w:lang w:val="ru-RU"/>
        </w:rPr>
        <w:t>/80/</w:t>
      </w:r>
      <w:r w:rsidRPr="009051A8">
        <w:rPr>
          <w:szCs w:val="21"/>
        </w:rPr>
        <w:t>COL</w:t>
      </w:r>
      <w:r w:rsidRPr="00D1597B">
        <w:rPr>
          <w:szCs w:val="21"/>
          <w:lang w:val="ru-RU"/>
        </w:rPr>
        <w:t>).</w:t>
      </w:r>
    </w:p>
  </w:footnote>
  <w:footnote w:id="48">
    <w:p w:rsidR="006B12F3" w:rsidRPr="00E008F7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Там же и заключительные замечания в отношении Грузии </w:t>
      </w:r>
      <w:r w:rsidRPr="00E008F7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E008F7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E008F7">
        <w:rPr>
          <w:szCs w:val="21"/>
          <w:lang w:val="ru-RU"/>
        </w:rPr>
        <w:t>/</w:t>
      </w:r>
      <w:r w:rsidRPr="009051A8">
        <w:rPr>
          <w:szCs w:val="21"/>
        </w:rPr>
        <w:t>GEO</w:t>
      </w:r>
      <w:r w:rsidRPr="00E008F7">
        <w:rPr>
          <w:szCs w:val="21"/>
          <w:lang w:val="ru-RU"/>
        </w:rPr>
        <w:t>/</w:t>
      </w:r>
      <w:r w:rsidRPr="009051A8">
        <w:rPr>
          <w:szCs w:val="21"/>
        </w:rPr>
        <w:t>CO</w:t>
      </w:r>
      <w:r w:rsidRPr="00E008F7">
        <w:rPr>
          <w:szCs w:val="21"/>
          <w:lang w:val="ru-RU"/>
        </w:rPr>
        <w:t>/3).</w:t>
      </w:r>
      <w:r>
        <w:rPr>
          <w:szCs w:val="21"/>
          <w:lang w:val="ru-RU"/>
        </w:rPr>
        <w:t xml:space="preserve"> </w:t>
      </w:r>
    </w:p>
  </w:footnote>
  <w:footnote w:id="49">
    <w:p w:rsidR="006B12F3" w:rsidRPr="00E17D96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Заключительные замечания в отношении Гайаны </w:t>
      </w:r>
      <w:r w:rsidRPr="00E17D96">
        <w:rPr>
          <w:szCs w:val="21"/>
          <w:lang w:val="ru-RU"/>
        </w:rPr>
        <w:t>(</w:t>
      </w:r>
      <w:r w:rsidRPr="009051A8">
        <w:rPr>
          <w:szCs w:val="21"/>
        </w:rPr>
        <w:t>CCPR</w:t>
      </w:r>
      <w:r w:rsidRPr="00E17D96">
        <w:rPr>
          <w:szCs w:val="21"/>
          <w:lang w:val="ru-RU"/>
        </w:rPr>
        <w:t>/</w:t>
      </w:r>
      <w:r w:rsidRPr="009051A8">
        <w:rPr>
          <w:szCs w:val="21"/>
        </w:rPr>
        <w:t>C</w:t>
      </w:r>
      <w:r w:rsidRPr="00E17D96">
        <w:rPr>
          <w:szCs w:val="21"/>
          <w:lang w:val="ru-RU"/>
        </w:rPr>
        <w:t>/79/</w:t>
      </w:r>
      <w:r w:rsidRPr="009051A8">
        <w:rPr>
          <w:szCs w:val="21"/>
        </w:rPr>
        <w:t>Add</w:t>
      </w:r>
      <w:r w:rsidRPr="00E17D96">
        <w:rPr>
          <w:szCs w:val="21"/>
          <w:lang w:val="ru-RU"/>
        </w:rPr>
        <w:t>.121).</w:t>
      </w:r>
    </w:p>
  </w:footnote>
  <w:footnote w:id="50">
    <w:p w:rsidR="006B12F3" w:rsidRPr="00D64022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сообщение № </w:t>
      </w:r>
      <w:r w:rsidRPr="00D64022">
        <w:rPr>
          <w:szCs w:val="21"/>
          <w:lang w:val="ru-RU"/>
        </w:rPr>
        <w:t>633/95</w:t>
      </w:r>
      <w:r>
        <w:rPr>
          <w:szCs w:val="21"/>
          <w:lang w:val="ru-RU"/>
        </w:rPr>
        <w:t xml:space="preserve">, </w:t>
      </w:r>
      <w:r>
        <w:rPr>
          <w:i/>
          <w:szCs w:val="21"/>
          <w:lang w:val="ru-RU"/>
        </w:rPr>
        <w:t>Готье против Канады</w:t>
      </w:r>
      <w:r>
        <w:rPr>
          <w:szCs w:val="21"/>
          <w:lang w:val="ru-RU"/>
        </w:rPr>
        <w:t>.</w:t>
      </w:r>
    </w:p>
  </w:footnote>
  <w:footnote w:id="51">
    <w:p w:rsidR="006B12F3" w:rsidRPr="00D64022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D64022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D64022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D64022">
        <w:rPr>
          <w:szCs w:val="21"/>
          <w:lang w:val="ru-RU"/>
        </w:rPr>
        <w:t xml:space="preserve">1373/2005, </w:t>
      </w:r>
      <w:r>
        <w:rPr>
          <w:i/>
          <w:szCs w:val="21"/>
          <w:lang w:val="ru-RU"/>
        </w:rPr>
        <w:t>Диссанаяке против Шри-Ланки</w:t>
      </w:r>
      <w:r w:rsidRPr="00D64022">
        <w:rPr>
          <w:szCs w:val="21"/>
          <w:lang w:val="ru-RU"/>
        </w:rPr>
        <w:t xml:space="preserve">, </w:t>
      </w:r>
      <w:r>
        <w:rPr>
          <w:szCs w:val="21"/>
          <w:lang w:val="ru-RU"/>
        </w:rPr>
        <w:t>Соображения приняты</w:t>
      </w:r>
      <w:r w:rsidRPr="00D64022">
        <w:rPr>
          <w:szCs w:val="21"/>
          <w:lang w:val="ru-RU"/>
        </w:rPr>
        <w:t xml:space="preserve"> </w:t>
      </w:r>
      <w:r>
        <w:rPr>
          <w:lang w:val="ru-RU"/>
        </w:rPr>
        <w:t>22 июля</w:t>
      </w:r>
      <w:r w:rsidRPr="00D64022">
        <w:rPr>
          <w:lang w:val="ru-RU"/>
        </w:rPr>
        <w:t xml:space="preserve"> 2008</w:t>
      </w:r>
      <w:r w:rsidRPr="00D64022">
        <w:rPr>
          <w:szCs w:val="21"/>
          <w:lang w:val="ru-RU"/>
        </w:rPr>
        <w:t>.</w:t>
      </w:r>
    </w:p>
  </w:footnote>
  <w:footnote w:id="52">
    <w:p w:rsidR="006B12F3" w:rsidRPr="00694D7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замечание общего порядка № 32. </w:t>
      </w:r>
    </w:p>
  </w:footnote>
  <w:footnote w:id="53">
    <w:p w:rsidR="006B12F3" w:rsidRPr="001A0BE6" w:rsidRDefault="006B12F3" w:rsidP="008F3A81">
      <w:pPr>
        <w:pStyle w:val="FootnoteText"/>
        <w:rPr>
          <w:i/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D64022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D64022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1A0BE6">
        <w:rPr>
          <w:lang w:val="ru-RU"/>
        </w:rPr>
        <w:t>578/1994</w:t>
      </w:r>
      <w:r>
        <w:rPr>
          <w:lang w:val="ru-RU"/>
        </w:rPr>
        <w:t xml:space="preserve">, </w:t>
      </w:r>
      <w:r w:rsidRPr="001A0BE6">
        <w:rPr>
          <w:i/>
          <w:lang w:val="ru-RU"/>
        </w:rPr>
        <w:t>де Грот</w:t>
      </w:r>
      <w:r>
        <w:rPr>
          <w:i/>
          <w:lang w:val="ru-RU"/>
        </w:rPr>
        <w:t xml:space="preserve"> против Нидерландов, </w:t>
      </w:r>
      <w:r>
        <w:rPr>
          <w:lang w:val="ru-RU"/>
        </w:rPr>
        <w:t>Соображения приняты 14 июля 1995 года.</w:t>
      </w:r>
    </w:p>
  </w:footnote>
  <w:footnote w:id="54">
    <w:p w:rsidR="006B12F3" w:rsidRPr="0005582A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См. замечание общего порядка № </w:t>
      </w:r>
      <w:r w:rsidRPr="00A97E78">
        <w:rPr>
          <w:lang w:val="ru-RU"/>
        </w:rPr>
        <w:t>27</w:t>
      </w:r>
      <w:r>
        <w:rPr>
          <w:lang w:val="ru-RU"/>
        </w:rPr>
        <w:t>.</w:t>
      </w:r>
    </w:p>
  </w:footnote>
  <w:footnote w:id="55">
    <w:p w:rsidR="006B12F3" w:rsidRPr="00CF243F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D64022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D64022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CF243F">
        <w:rPr>
          <w:szCs w:val="21"/>
          <w:lang w:val="ru-RU"/>
        </w:rPr>
        <w:t>488/1992</w:t>
      </w:r>
      <w:r>
        <w:rPr>
          <w:szCs w:val="21"/>
          <w:lang w:val="ru-RU"/>
        </w:rPr>
        <w:t>,</w:t>
      </w:r>
      <w:r>
        <w:rPr>
          <w:i/>
          <w:szCs w:val="21"/>
          <w:lang w:val="ru-RU"/>
        </w:rPr>
        <w:t xml:space="preserve"> Тунен против Австралии</w:t>
      </w:r>
      <w:r>
        <w:rPr>
          <w:szCs w:val="21"/>
          <w:lang w:val="ru-RU"/>
        </w:rPr>
        <w:t xml:space="preserve">, </w:t>
      </w:r>
      <w:r>
        <w:rPr>
          <w:lang w:val="ru-RU"/>
        </w:rPr>
        <w:t xml:space="preserve">Соображения приняты </w:t>
      </w:r>
      <w:r w:rsidRPr="00CF243F">
        <w:rPr>
          <w:lang w:val="ru-RU"/>
        </w:rPr>
        <w:t xml:space="preserve">30 </w:t>
      </w:r>
      <w:r>
        <w:rPr>
          <w:lang w:val="ru-RU"/>
        </w:rPr>
        <w:t>марта</w:t>
      </w:r>
      <w:r w:rsidRPr="00CF243F">
        <w:rPr>
          <w:lang w:val="ru-RU"/>
        </w:rPr>
        <w:t xml:space="preserve"> 1994</w:t>
      </w:r>
      <w:r w:rsidRPr="009B4F0F">
        <w:rPr>
          <w:lang w:val="ru-RU"/>
        </w:rPr>
        <w:t xml:space="preserve"> </w:t>
      </w:r>
      <w:r>
        <w:rPr>
          <w:lang w:val="ru-RU"/>
        </w:rPr>
        <w:t> года.</w:t>
      </w:r>
    </w:p>
  </w:footnote>
  <w:footnote w:id="56">
    <w:p w:rsidR="006B12F3" w:rsidRPr="0010281B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 xml:space="preserve">Замечание общего порядка № </w:t>
      </w:r>
      <w:r w:rsidRPr="00B653EA">
        <w:rPr>
          <w:lang w:val="ru-RU"/>
        </w:rPr>
        <w:t>20</w:t>
      </w:r>
      <w:r>
        <w:rPr>
          <w:lang w:val="ru-RU"/>
        </w:rPr>
        <w:t xml:space="preserve">. </w:t>
      </w:r>
      <w:r w:rsidRPr="00E34417">
        <w:rPr>
          <w:i/>
          <w:lang w:val="ru-RU"/>
        </w:rPr>
        <w:t>Официальные отчеты Ге</w:t>
      </w:r>
      <w:r w:rsidRPr="00CA3C2A">
        <w:rPr>
          <w:i/>
          <w:lang w:val="ru-RU"/>
        </w:rPr>
        <w:t xml:space="preserve">неральной Ассамблеи, </w:t>
      </w:r>
      <w:r>
        <w:rPr>
          <w:i/>
          <w:lang w:val="ru-RU"/>
        </w:rPr>
        <w:t xml:space="preserve">сорок седьмая </w:t>
      </w:r>
      <w:r w:rsidRPr="00CA3C2A">
        <w:rPr>
          <w:i/>
          <w:lang w:val="ru-RU"/>
        </w:rPr>
        <w:t>сессия, Дополнение №</w:t>
      </w:r>
      <w:r>
        <w:rPr>
          <w:i/>
          <w:lang w:val="ru-RU"/>
        </w:rPr>
        <w:t xml:space="preserve"> </w:t>
      </w:r>
      <w:r w:rsidRPr="00CA3C2A">
        <w:rPr>
          <w:i/>
          <w:lang w:val="ru-RU"/>
        </w:rPr>
        <w:t xml:space="preserve">40 </w:t>
      </w:r>
      <w:r w:rsidRPr="0010281B">
        <w:rPr>
          <w:lang w:val="ru-RU"/>
        </w:rPr>
        <w:t>(</w:t>
      </w:r>
      <w:r w:rsidRPr="0010281B">
        <w:rPr>
          <w:lang w:val="en-US"/>
        </w:rPr>
        <w:t>A</w:t>
      </w:r>
      <w:r w:rsidRPr="0010281B">
        <w:rPr>
          <w:lang w:val="ru-RU"/>
        </w:rPr>
        <w:t>/47/40), приложение </w:t>
      </w:r>
      <w:r w:rsidRPr="0010281B">
        <w:rPr>
          <w:lang w:val="en-US"/>
        </w:rPr>
        <w:t>VI</w:t>
      </w:r>
      <w:r w:rsidRPr="0010281B">
        <w:rPr>
          <w:lang w:val="ru-RU"/>
        </w:rPr>
        <w:t>, раздел А.</w:t>
      </w:r>
    </w:p>
  </w:footnote>
  <w:footnote w:id="57">
    <w:p w:rsidR="006B12F3" w:rsidRPr="009B4F0F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9B4F0F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9B4F0F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9B4F0F">
        <w:rPr>
          <w:lang w:val="ru-RU"/>
        </w:rPr>
        <w:t xml:space="preserve">1553/2007, </w:t>
      </w:r>
      <w:r>
        <w:rPr>
          <w:i/>
          <w:lang w:val="ru-RU"/>
        </w:rPr>
        <w:t>Корнеенко и др. против Республики Беларусь</w:t>
      </w:r>
      <w:r w:rsidRPr="009B4F0F">
        <w:rPr>
          <w:lang w:val="ru-RU"/>
        </w:rPr>
        <w:t xml:space="preserve">, </w:t>
      </w:r>
      <w:r>
        <w:rPr>
          <w:lang w:val="ru-RU"/>
        </w:rPr>
        <w:t xml:space="preserve">Соображения приняты </w:t>
      </w:r>
      <w:r w:rsidRPr="009B4F0F">
        <w:rPr>
          <w:lang w:val="ru-RU"/>
        </w:rPr>
        <w:t xml:space="preserve">31 </w:t>
      </w:r>
      <w:r>
        <w:rPr>
          <w:lang w:val="ru-RU"/>
        </w:rPr>
        <w:t xml:space="preserve">октября </w:t>
      </w:r>
      <w:r w:rsidRPr="009B4F0F">
        <w:rPr>
          <w:lang w:val="ru-RU"/>
        </w:rPr>
        <w:t>2006</w:t>
      </w:r>
      <w:r>
        <w:rPr>
          <w:lang w:val="ru-RU"/>
        </w:rPr>
        <w:t> года</w:t>
      </w:r>
      <w:r w:rsidRPr="009B4F0F">
        <w:rPr>
          <w:lang w:val="ru-RU"/>
        </w:rPr>
        <w:t>.</w:t>
      </w:r>
    </w:p>
  </w:footnote>
  <w:footnote w:id="58">
    <w:p w:rsidR="006B12F3" w:rsidRPr="00355A2F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</w:t>
      </w:r>
      <w:r w:rsidRPr="009B4F0F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9B4F0F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355A2F">
        <w:rPr>
          <w:lang w:val="ru-RU"/>
        </w:rPr>
        <w:t>132/1982</w:t>
      </w:r>
      <w:r>
        <w:rPr>
          <w:lang w:val="ru-RU"/>
        </w:rPr>
        <w:t xml:space="preserve">, </w:t>
      </w:r>
      <w:r>
        <w:rPr>
          <w:i/>
          <w:lang w:val="ru-RU"/>
        </w:rPr>
        <w:t>Джа</w:t>
      </w:r>
      <w:r w:rsidRPr="00355A2F">
        <w:rPr>
          <w:i/>
          <w:lang w:val="ru-RU"/>
        </w:rPr>
        <w:t>она против Мадагаскара</w:t>
      </w:r>
      <w:r>
        <w:rPr>
          <w:lang w:val="ru-RU"/>
        </w:rPr>
        <w:t xml:space="preserve">, Соображения приняты 1 апреля 1985 года. </w:t>
      </w:r>
    </w:p>
  </w:footnote>
  <w:footnote w:id="59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 w:rsidRPr="008C7F68">
        <w:rPr>
          <w:lang w:val="ru-RU"/>
        </w:rPr>
        <w:t xml:space="preserve"> </w:t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927/2000, </w:t>
      </w:r>
      <w:r w:rsidRPr="00F86303">
        <w:rPr>
          <w:i/>
          <w:lang w:val="ru-RU"/>
        </w:rPr>
        <w:t>Светик против Республики Беларусь</w:t>
      </w:r>
      <w:r w:rsidRPr="008C7F68">
        <w:rPr>
          <w:lang w:val="ru-RU"/>
        </w:rPr>
        <w:t xml:space="preserve">, </w:t>
      </w:r>
      <w:r>
        <w:rPr>
          <w:lang w:val="ru-RU"/>
        </w:rPr>
        <w:t>С</w:t>
      </w:r>
      <w:r w:rsidRPr="008C7F68">
        <w:rPr>
          <w:lang w:val="ru-RU"/>
        </w:rPr>
        <w:t>оображения приняты 8 июля 2004 года.</w:t>
      </w:r>
    </w:p>
  </w:footnote>
  <w:footnote w:id="60">
    <w:p w:rsidR="006B12F3" w:rsidRPr="008F3A81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 w:rsidRPr="008F3A81">
        <w:rPr>
          <w:lang w:val="ru-RU"/>
        </w:rPr>
        <w:t xml:space="preserve"> </w:t>
      </w:r>
      <w:r>
        <w:rPr>
          <w:lang w:val="ru-RU"/>
        </w:rPr>
        <w:tab/>
      </w:r>
      <w:r w:rsidRPr="008F3A81">
        <w:rPr>
          <w:lang w:val="ru-RU"/>
        </w:rPr>
        <w:t>Там же.</w:t>
      </w:r>
    </w:p>
  </w:footnote>
  <w:footnote w:id="61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  <w:lang w:val="ru-RU"/>
        </w:rPr>
        <w:footnoteRef/>
      </w:r>
      <w:r w:rsidRPr="008C7F68">
        <w:rPr>
          <w:lang w:val="ru-RU"/>
        </w:rPr>
        <w:t xml:space="preserve"> </w:t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736/97, </w:t>
      </w:r>
      <w:r w:rsidRPr="00F86303">
        <w:rPr>
          <w:i/>
          <w:lang w:val="ru-RU"/>
        </w:rPr>
        <w:t>Росс против Канады</w:t>
      </w:r>
      <w:r w:rsidRPr="008C7F68">
        <w:rPr>
          <w:lang w:val="ru-RU"/>
        </w:rPr>
        <w:t xml:space="preserve">, </w:t>
      </w:r>
      <w:r>
        <w:rPr>
          <w:lang w:val="ru-RU"/>
        </w:rPr>
        <w:t>С</w:t>
      </w:r>
      <w:r w:rsidRPr="008C7F68">
        <w:rPr>
          <w:lang w:val="ru-RU"/>
        </w:rPr>
        <w:t>оображения приняты 18 октября 2000 года.</w:t>
      </w:r>
    </w:p>
  </w:footnote>
  <w:footnote w:id="62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550/93, </w:t>
      </w:r>
      <w:r w:rsidRPr="00F86303">
        <w:rPr>
          <w:i/>
          <w:lang w:val="ru-RU"/>
        </w:rPr>
        <w:t>Фориссон против Франции</w:t>
      </w:r>
      <w:r w:rsidRPr="008C7F68">
        <w:rPr>
          <w:lang w:val="ru-RU"/>
        </w:rPr>
        <w:t>; заключительные замечания в отношении Австрии (</w:t>
      </w:r>
      <w:r w:rsidRPr="009051A8">
        <w:t>CCPR</w:t>
      </w:r>
      <w:r w:rsidRPr="008C7F68">
        <w:rPr>
          <w:lang w:val="ru-RU"/>
        </w:rPr>
        <w:t>/</w:t>
      </w:r>
      <w:r w:rsidRPr="009051A8">
        <w:t>C</w:t>
      </w:r>
      <w:r w:rsidRPr="008C7F68">
        <w:rPr>
          <w:lang w:val="ru-RU"/>
        </w:rPr>
        <w:t>/</w:t>
      </w:r>
      <w:r w:rsidRPr="009051A8">
        <w:t>AUT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/4).</w:t>
      </w:r>
    </w:p>
  </w:footnote>
  <w:footnote w:id="63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ab/>
      </w:r>
      <w:r w:rsidRPr="008C7F68">
        <w:rPr>
          <w:lang w:val="ru-RU"/>
        </w:rPr>
        <w:t>Заключительные замечания в отношении Словакии (</w:t>
      </w:r>
      <w:r w:rsidRPr="009051A8">
        <w:t>CCPR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/78/</w:t>
      </w:r>
      <w:r w:rsidRPr="008C7F68">
        <w:t>SVK</w:t>
      </w:r>
      <w:r>
        <w:rPr>
          <w:lang w:val="ru-RU"/>
        </w:rPr>
        <w:t>);</w:t>
      </w:r>
      <w:r w:rsidRPr="008C7F68">
        <w:rPr>
          <w:lang w:val="ru-RU"/>
        </w:rPr>
        <w:t xml:space="preserve"> заключительные замечания в отношении Израиля (</w:t>
      </w:r>
      <w:r w:rsidRPr="009051A8">
        <w:t>CCPR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/78/</w:t>
      </w:r>
      <w:r w:rsidRPr="008C7F68">
        <w:t>ISR</w:t>
      </w:r>
      <w:r w:rsidRPr="008C7F68">
        <w:rPr>
          <w:lang w:val="ru-RU"/>
        </w:rPr>
        <w:t>).</w:t>
      </w:r>
    </w:p>
  </w:footnote>
  <w:footnote w:id="64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ab/>
      </w:r>
      <w:r w:rsidRPr="008C7F68">
        <w:rPr>
          <w:lang w:val="ru-RU"/>
        </w:rPr>
        <w:t>Заключительные замечания в отношении Гонконга (</w:t>
      </w:r>
      <w:r w:rsidRPr="009051A8">
        <w:t>CCPR</w:t>
      </w:r>
      <w:r w:rsidRPr="008C7F68">
        <w:rPr>
          <w:lang w:val="ru-RU"/>
        </w:rPr>
        <w:t>/</w:t>
      </w:r>
      <w:r>
        <w:t>C</w:t>
      </w:r>
      <w:r w:rsidRPr="008C7F68">
        <w:rPr>
          <w:lang w:val="ru-RU"/>
        </w:rPr>
        <w:t>/</w:t>
      </w:r>
      <w:r>
        <w:t>HKG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/2).</w:t>
      </w:r>
    </w:p>
  </w:footnote>
  <w:footnote w:id="65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 w:rsidRPr="008C7F68">
        <w:rPr>
          <w:lang w:val="ru-RU"/>
        </w:rPr>
        <w:t xml:space="preserve"> </w:t>
      </w:r>
      <w:r>
        <w:rPr>
          <w:lang w:val="ru-RU"/>
        </w:rPr>
        <w:tab/>
      </w:r>
      <w:r w:rsidRPr="008C7F68">
        <w:rPr>
          <w:lang w:val="ru-RU"/>
        </w:rPr>
        <w:t>Заключительные замечания в отношении Российской Федерации (</w:t>
      </w:r>
      <w:r w:rsidRPr="009051A8">
        <w:t>CCPR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/79/</w:t>
      </w:r>
      <w:r w:rsidRPr="008C7F68">
        <w:t>RUS</w:t>
      </w:r>
      <w:r w:rsidRPr="008C7F68">
        <w:rPr>
          <w:lang w:val="ru-RU"/>
        </w:rPr>
        <w:t>).</w:t>
      </w:r>
    </w:p>
  </w:footnote>
  <w:footnote w:id="66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ab/>
      </w:r>
      <w:r w:rsidRPr="008C7F68">
        <w:rPr>
          <w:lang w:val="ru-RU"/>
        </w:rPr>
        <w:t>Заключительные замечания в отношении Узбекистана (</w:t>
      </w:r>
      <w:r w:rsidRPr="009051A8">
        <w:t>CCPR</w:t>
      </w:r>
      <w:r w:rsidRPr="008C7F68">
        <w:rPr>
          <w:lang w:val="ru-RU"/>
        </w:rPr>
        <w:t>/</w:t>
      </w:r>
      <w:r w:rsidRPr="009051A8">
        <w:t>CO</w:t>
      </w:r>
      <w:r w:rsidRPr="008C7F68">
        <w:rPr>
          <w:lang w:val="ru-RU"/>
        </w:rPr>
        <w:t>/71/</w:t>
      </w:r>
      <w:r w:rsidRPr="008C7F68">
        <w:t>UZB</w:t>
      </w:r>
      <w:r w:rsidRPr="008C7F68">
        <w:rPr>
          <w:lang w:val="ru-RU"/>
        </w:rPr>
        <w:t>).</w:t>
      </w:r>
    </w:p>
  </w:footnote>
  <w:footnote w:id="67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518/1992, </w:t>
      </w:r>
      <w:r w:rsidRPr="00F86303">
        <w:rPr>
          <w:i/>
          <w:lang w:val="ru-RU"/>
        </w:rPr>
        <w:t>Сон против Республики Корея</w:t>
      </w:r>
      <w:r>
        <w:rPr>
          <w:lang w:val="ru-RU"/>
        </w:rPr>
        <w:t>, С</w:t>
      </w:r>
      <w:r w:rsidRPr="008C7F68">
        <w:rPr>
          <w:lang w:val="ru-RU"/>
        </w:rPr>
        <w:t>оображения приняты 18</w:t>
      </w:r>
      <w:r>
        <w:rPr>
          <w:lang w:val="ru-RU"/>
        </w:rPr>
        <w:t> </w:t>
      </w:r>
      <w:r w:rsidRPr="008C7F68">
        <w:rPr>
          <w:lang w:val="ru-RU"/>
        </w:rPr>
        <w:t>марта 1994</w:t>
      </w:r>
      <w:r w:rsidRPr="008C7F68">
        <w:t> </w:t>
      </w:r>
      <w:r w:rsidRPr="008C7F68">
        <w:rPr>
          <w:lang w:val="ru-RU"/>
        </w:rPr>
        <w:t>года.</w:t>
      </w:r>
    </w:p>
  </w:footnote>
  <w:footnote w:id="68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1157/2003, </w:t>
      </w:r>
      <w:r w:rsidRPr="00813439">
        <w:rPr>
          <w:i/>
          <w:lang w:val="ru-RU"/>
        </w:rPr>
        <w:t>Коулман против Австралии</w:t>
      </w:r>
      <w:r w:rsidRPr="008C7F68">
        <w:rPr>
          <w:lang w:val="ru-RU"/>
        </w:rPr>
        <w:t>.</w:t>
      </w:r>
    </w:p>
  </w:footnote>
  <w:footnote w:id="69">
    <w:p w:rsidR="006B12F3" w:rsidRPr="008C7F68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 w:rsidRPr="00F86303">
        <w:rPr>
          <w:vertAlign w:val="superscript"/>
        </w:rPr>
        <w:footnoteRef/>
      </w:r>
      <w:r w:rsidRPr="008C7F68">
        <w:rPr>
          <w:lang w:val="ru-RU"/>
        </w:rPr>
        <w:t xml:space="preserve"> </w:t>
      </w:r>
      <w:r>
        <w:rPr>
          <w:lang w:val="ru-RU"/>
        </w:rPr>
        <w:tab/>
      </w:r>
      <w:r w:rsidRPr="008C7F68">
        <w:rPr>
          <w:lang w:val="ru-RU"/>
        </w:rPr>
        <w:t>См. сообщение №</w:t>
      </w:r>
      <w:r>
        <w:rPr>
          <w:lang w:val="ru-RU"/>
        </w:rPr>
        <w:t xml:space="preserve"> </w:t>
      </w:r>
      <w:r w:rsidRPr="008C7F68">
        <w:rPr>
          <w:lang w:val="ru-RU"/>
        </w:rPr>
        <w:t xml:space="preserve">1373/2005, </w:t>
      </w:r>
      <w:r w:rsidRPr="00813439">
        <w:rPr>
          <w:i/>
          <w:lang w:val="ru-RU"/>
        </w:rPr>
        <w:t>Диссанаяке против Шри-Ланки</w:t>
      </w:r>
      <w:r w:rsidRPr="008C7F68">
        <w:rPr>
          <w:lang w:val="ru-RU"/>
        </w:rPr>
        <w:t>.</w:t>
      </w:r>
    </w:p>
  </w:footnote>
  <w:footnote w:id="70">
    <w:p w:rsidR="006B12F3" w:rsidRPr="00B67653" w:rsidRDefault="006B12F3" w:rsidP="008F3A81">
      <w:pPr>
        <w:pStyle w:val="FootnoteText"/>
        <w:rPr>
          <w:lang w:val="ru-RU"/>
        </w:rPr>
      </w:pPr>
      <w:r>
        <w:tab/>
      </w:r>
      <w:r>
        <w:rPr>
          <w:rStyle w:val="FootnoteReference"/>
        </w:rPr>
        <w:footnoteRef/>
      </w:r>
      <w:r w:rsidRPr="00B67653">
        <w:rPr>
          <w:lang w:val="ru-RU"/>
        </w:rPr>
        <w:tab/>
        <w:t>См. сообщение №</w:t>
      </w:r>
      <w:r>
        <w:rPr>
          <w:lang w:val="ru-RU"/>
        </w:rPr>
        <w:t xml:space="preserve"> </w:t>
      </w:r>
      <w:r w:rsidRPr="00B67653">
        <w:rPr>
          <w:lang w:val="ru-RU"/>
        </w:rPr>
        <w:t xml:space="preserve">359, 385/89, </w:t>
      </w:r>
      <w:r w:rsidRPr="00B67653">
        <w:rPr>
          <w:i/>
          <w:lang w:val="ru-RU"/>
        </w:rPr>
        <w:t>Баллантайн, Дэвидсон и Макинтайр против Канады.</w:t>
      </w:r>
    </w:p>
  </w:footnote>
  <w:footnote w:id="71">
    <w:p w:rsidR="006B12F3" w:rsidRPr="00B67653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B67653">
        <w:rPr>
          <w:lang w:val="ru-RU"/>
        </w:rPr>
        <w:tab/>
      </w:r>
      <w:r>
        <w:rPr>
          <w:lang w:val="ru-RU"/>
        </w:rPr>
        <w:t xml:space="preserve">См. сообщение № </w:t>
      </w:r>
      <w:r w:rsidRPr="00F135BC">
        <w:rPr>
          <w:lang w:val="ru-RU"/>
        </w:rPr>
        <w:t>736/97</w:t>
      </w:r>
      <w:r>
        <w:rPr>
          <w:lang w:val="ru-RU"/>
        </w:rPr>
        <w:t xml:space="preserve">, </w:t>
      </w:r>
      <w:r>
        <w:rPr>
          <w:i/>
          <w:lang w:val="ru-RU"/>
        </w:rPr>
        <w:t>Росс против Канады</w:t>
      </w:r>
      <w:r>
        <w:rPr>
          <w:lang w:val="ru-RU"/>
        </w:rPr>
        <w:t>, Соображения приняты 17 июля 2006 года.</w:t>
      </w:r>
    </w:p>
  </w:footnote>
  <w:footnote w:id="72">
    <w:p w:rsidR="006B12F3" w:rsidRPr="00BD57AA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BD57AA">
        <w:rPr>
          <w:lang w:val="ru-RU"/>
        </w:rPr>
        <w:tab/>
      </w:r>
      <w:r>
        <w:rPr>
          <w:lang w:val="ru-RU"/>
        </w:rPr>
        <w:t>Замечание</w:t>
      </w:r>
      <w:r w:rsidRPr="00D65C9D">
        <w:rPr>
          <w:lang w:val="ru-RU"/>
        </w:rPr>
        <w:t xml:space="preserve"> </w:t>
      </w:r>
      <w:r>
        <w:rPr>
          <w:lang w:val="ru-RU"/>
        </w:rPr>
        <w:t>общего</w:t>
      </w:r>
      <w:r w:rsidRPr="00D65C9D">
        <w:rPr>
          <w:lang w:val="ru-RU"/>
        </w:rPr>
        <w:t xml:space="preserve"> </w:t>
      </w:r>
      <w:r>
        <w:rPr>
          <w:lang w:val="ru-RU"/>
        </w:rPr>
        <w:t>порядка</w:t>
      </w:r>
      <w:r w:rsidRPr="00D65C9D">
        <w:rPr>
          <w:lang w:val="ru-RU"/>
        </w:rPr>
        <w:t xml:space="preserve"> № 27, </w:t>
      </w:r>
      <w:r>
        <w:rPr>
          <w:lang w:val="ru-RU"/>
        </w:rPr>
        <w:t xml:space="preserve">пункт </w:t>
      </w:r>
      <w:r w:rsidRPr="00D65C9D">
        <w:rPr>
          <w:lang w:val="ru-RU"/>
        </w:rPr>
        <w:t xml:space="preserve">14. </w:t>
      </w:r>
      <w:r>
        <w:rPr>
          <w:lang w:val="ru-RU"/>
        </w:rPr>
        <w:t>См</w:t>
      </w:r>
      <w:r w:rsidRPr="00854A23">
        <w:rPr>
          <w:lang w:val="ru-RU"/>
        </w:rPr>
        <w:t xml:space="preserve">. </w:t>
      </w:r>
      <w:r>
        <w:rPr>
          <w:lang w:val="ru-RU"/>
        </w:rPr>
        <w:t>также сообщения № 1</w:t>
      </w:r>
      <w:r w:rsidRPr="00854A23">
        <w:rPr>
          <w:lang w:val="ru-RU"/>
        </w:rPr>
        <w:t>128/2002</w:t>
      </w:r>
      <w:r>
        <w:rPr>
          <w:lang w:val="ru-RU"/>
        </w:rPr>
        <w:t xml:space="preserve">, </w:t>
      </w:r>
      <w:r w:rsidRPr="00854A23">
        <w:rPr>
          <w:i/>
          <w:lang w:val="ru-RU"/>
        </w:rPr>
        <w:t>Маркес против Анголы</w:t>
      </w:r>
      <w:r>
        <w:rPr>
          <w:i/>
          <w:lang w:val="ru-RU"/>
        </w:rPr>
        <w:t>,</w:t>
      </w:r>
      <w:r w:rsidRPr="00854A23">
        <w:rPr>
          <w:lang w:val="ru-RU"/>
        </w:rPr>
        <w:t xml:space="preserve"> </w:t>
      </w:r>
      <w:r>
        <w:rPr>
          <w:lang w:val="ru-RU"/>
        </w:rPr>
        <w:t xml:space="preserve">№ </w:t>
      </w:r>
      <w:r w:rsidRPr="00854A23">
        <w:rPr>
          <w:lang w:val="ru-RU"/>
        </w:rPr>
        <w:t>1157/2003</w:t>
      </w:r>
      <w:r>
        <w:rPr>
          <w:lang w:val="ru-RU"/>
        </w:rPr>
        <w:t xml:space="preserve">, </w:t>
      </w:r>
      <w:r>
        <w:rPr>
          <w:i/>
          <w:lang w:val="ru-RU"/>
        </w:rPr>
        <w:t>Коулман против Австралии.</w:t>
      </w:r>
    </w:p>
  </w:footnote>
  <w:footnote w:id="73">
    <w:p w:rsidR="006B12F3" w:rsidRPr="009B5816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9B581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854A23">
        <w:rPr>
          <w:lang w:val="ru-RU"/>
        </w:rPr>
        <w:t xml:space="preserve">. </w:t>
      </w:r>
      <w:r>
        <w:rPr>
          <w:lang w:val="ru-RU"/>
        </w:rPr>
        <w:t xml:space="preserve">сообщение № </w:t>
      </w:r>
      <w:r w:rsidRPr="009B5816">
        <w:rPr>
          <w:lang w:val="ru-RU"/>
        </w:rPr>
        <w:t>1180/2003</w:t>
      </w:r>
      <w:r>
        <w:rPr>
          <w:lang w:val="ru-RU"/>
        </w:rPr>
        <w:t xml:space="preserve">, </w:t>
      </w:r>
      <w:r w:rsidRPr="009B5816">
        <w:rPr>
          <w:i/>
          <w:lang w:val="ru-RU"/>
        </w:rPr>
        <w:t>Бодрожич</w:t>
      </w:r>
      <w:r>
        <w:rPr>
          <w:lang w:val="ru-RU"/>
        </w:rPr>
        <w:t xml:space="preserve"> </w:t>
      </w:r>
      <w:r>
        <w:rPr>
          <w:i/>
          <w:lang w:val="ru-RU"/>
        </w:rPr>
        <w:t>против Сербии и Черногории</w:t>
      </w:r>
      <w:r>
        <w:rPr>
          <w:lang w:val="ru-RU"/>
        </w:rPr>
        <w:t xml:space="preserve">, Соображения приняты 31 октября 2005 года. </w:t>
      </w:r>
    </w:p>
  </w:footnote>
  <w:footnote w:id="74">
    <w:p w:rsidR="006B12F3" w:rsidRPr="001F26EB" w:rsidRDefault="006B12F3" w:rsidP="008F3A81">
      <w:pPr>
        <w:pStyle w:val="FootnoteText"/>
        <w:rPr>
          <w:i/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1F26EB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1F26EB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1F26EB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1F26EB">
        <w:rPr>
          <w:lang w:val="ru-RU"/>
        </w:rPr>
        <w:t>926/2000</w:t>
      </w:r>
      <w:r>
        <w:rPr>
          <w:lang w:val="ru-RU"/>
        </w:rPr>
        <w:t xml:space="preserve">, </w:t>
      </w:r>
      <w:r>
        <w:rPr>
          <w:i/>
          <w:lang w:val="ru-RU"/>
        </w:rPr>
        <w:t>Шин против Республики Корея.</w:t>
      </w:r>
    </w:p>
  </w:footnote>
  <w:footnote w:id="75">
    <w:p w:rsidR="006B12F3" w:rsidRPr="008C70F2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B0491F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1F26EB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1F26EB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B0491F">
        <w:rPr>
          <w:lang w:val="ru-RU"/>
        </w:rPr>
        <w:t>518/1992</w:t>
      </w:r>
      <w:r>
        <w:rPr>
          <w:lang w:val="ru-RU"/>
        </w:rPr>
        <w:t xml:space="preserve">, </w:t>
      </w:r>
      <w:r w:rsidRPr="00B0491F">
        <w:rPr>
          <w:i/>
          <w:lang w:val="ru-RU"/>
        </w:rPr>
        <w:t>Сон против Республики Корея</w:t>
      </w:r>
      <w:r>
        <w:rPr>
          <w:lang w:val="ru-RU"/>
        </w:rPr>
        <w:t>.</w:t>
      </w:r>
    </w:p>
  </w:footnote>
  <w:footnote w:id="76">
    <w:p w:rsidR="006B12F3" w:rsidRPr="000D652B" w:rsidRDefault="006B12F3" w:rsidP="008F3A81">
      <w:pPr>
        <w:pStyle w:val="FootnoteText"/>
        <w:rPr>
          <w:lang w:val="ru-RU"/>
        </w:rPr>
      </w:pPr>
      <w:r w:rsidRPr="00B67653">
        <w:rPr>
          <w:lang w:val="ru-RU"/>
        </w:rPr>
        <w:tab/>
      </w:r>
      <w:r>
        <w:rPr>
          <w:rStyle w:val="FootnoteReference"/>
        </w:rPr>
        <w:footnoteRef/>
      </w:r>
      <w:r w:rsidRPr="000D652B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1F26EB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1F26EB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0D652B">
        <w:rPr>
          <w:lang w:val="ru-RU"/>
        </w:rPr>
        <w:t xml:space="preserve">511/1992, </w:t>
      </w:r>
      <w:r>
        <w:rPr>
          <w:i/>
          <w:lang w:val="ru-RU"/>
        </w:rPr>
        <w:t>Илмари Лянсман</w:t>
      </w:r>
      <w:r w:rsidRPr="000D652B">
        <w:rPr>
          <w:i/>
          <w:lang w:val="ru-RU"/>
        </w:rPr>
        <w:t xml:space="preserve"> </w:t>
      </w:r>
      <w:r>
        <w:rPr>
          <w:i/>
          <w:lang w:val="ru-RU"/>
        </w:rPr>
        <w:t>и др. против Финляндии</w:t>
      </w:r>
      <w:r w:rsidRPr="000D652B">
        <w:rPr>
          <w:lang w:val="ru-RU"/>
        </w:rPr>
        <w:t xml:space="preserve">, </w:t>
      </w:r>
      <w:r>
        <w:rPr>
          <w:lang w:val="ru-RU"/>
        </w:rPr>
        <w:t xml:space="preserve">Соображения приняты </w:t>
      </w:r>
      <w:r w:rsidRPr="000D652B">
        <w:rPr>
          <w:lang w:val="ru-RU"/>
        </w:rPr>
        <w:t xml:space="preserve">14 </w:t>
      </w:r>
      <w:r>
        <w:rPr>
          <w:lang w:val="ru-RU"/>
        </w:rPr>
        <w:t xml:space="preserve">октября </w:t>
      </w:r>
      <w:r w:rsidRPr="000D652B">
        <w:rPr>
          <w:lang w:val="ru-RU"/>
        </w:rPr>
        <w:t>1993</w:t>
      </w:r>
      <w:r>
        <w:rPr>
          <w:lang w:val="ru-RU"/>
        </w:rPr>
        <w:t> года</w:t>
      </w:r>
      <w:r w:rsidRPr="000D652B">
        <w:rPr>
          <w:lang w:val="ru-RU"/>
        </w:rPr>
        <w:t>.</w:t>
      </w:r>
    </w:p>
  </w:footnote>
  <w:footnote w:id="77">
    <w:p w:rsidR="006B12F3" w:rsidRPr="0069782E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69782E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69782E">
        <w:rPr>
          <w:lang w:val="ru-RU"/>
        </w:rPr>
        <w:t xml:space="preserve">. </w:t>
      </w:r>
      <w:r>
        <w:rPr>
          <w:lang w:val="ru-RU"/>
        </w:rPr>
        <w:t>сообщения</w:t>
      </w:r>
      <w:r w:rsidRPr="0069782E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69782E">
        <w:rPr>
          <w:lang w:val="ru-RU"/>
        </w:rPr>
        <w:t xml:space="preserve">518/92, </w:t>
      </w:r>
      <w:r>
        <w:rPr>
          <w:i/>
          <w:lang w:val="ru-RU"/>
        </w:rPr>
        <w:t>Сон против Республики Корея</w:t>
      </w:r>
      <w:r w:rsidRPr="0069782E">
        <w:rPr>
          <w:lang w:val="ru-RU"/>
        </w:rPr>
        <w:t>;</w:t>
      </w:r>
      <w:r>
        <w:rPr>
          <w:lang w:val="ru-RU"/>
        </w:rPr>
        <w:t xml:space="preserve"> №</w:t>
      </w:r>
      <w:r w:rsidRPr="0069782E">
        <w:rPr>
          <w:lang w:val="ru-RU"/>
        </w:rPr>
        <w:t xml:space="preserve"> 926/2000, </w:t>
      </w:r>
      <w:r>
        <w:rPr>
          <w:i/>
          <w:lang w:val="ru-RU"/>
        </w:rPr>
        <w:t>Шин против Республики Корея.</w:t>
      </w:r>
    </w:p>
  </w:footnote>
  <w:footnote w:id="78">
    <w:p w:rsidR="006B12F3" w:rsidRPr="00633F07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633F07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 Японии</w:t>
      </w:r>
      <w:r w:rsidRPr="00633F07">
        <w:rPr>
          <w:lang w:val="ru-RU"/>
        </w:rPr>
        <w:t xml:space="preserve"> (</w:t>
      </w:r>
      <w:r w:rsidRPr="009051A8">
        <w:t>CCPR</w:t>
      </w:r>
      <w:r w:rsidRPr="00633F07">
        <w:rPr>
          <w:lang w:val="ru-RU"/>
        </w:rPr>
        <w:t>/</w:t>
      </w:r>
      <w:r w:rsidRPr="009051A8">
        <w:t>C</w:t>
      </w:r>
      <w:r w:rsidRPr="00633F07">
        <w:rPr>
          <w:lang w:val="ru-RU"/>
        </w:rPr>
        <w:t>/</w:t>
      </w:r>
      <w:r w:rsidRPr="009051A8">
        <w:t>JPN</w:t>
      </w:r>
      <w:r w:rsidRPr="00633F07">
        <w:rPr>
          <w:lang w:val="ru-RU"/>
        </w:rPr>
        <w:t>/</w:t>
      </w:r>
      <w:r w:rsidRPr="009051A8">
        <w:t>CO</w:t>
      </w:r>
      <w:r w:rsidRPr="00633F07">
        <w:rPr>
          <w:lang w:val="ru-RU"/>
        </w:rPr>
        <w:t>/5)</w:t>
      </w:r>
      <w:r>
        <w:rPr>
          <w:lang w:val="ru-RU"/>
        </w:rPr>
        <w:t>.</w:t>
      </w:r>
    </w:p>
  </w:footnote>
  <w:footnote w:id="79">
    <w:p w:rsidR="006B12F3" w:rsidRPr="00633F07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633F07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Там же.</w:t>
      </w:r>
    </w:p>
  </w:footnote>
  <w:footnote w:id="80">
    <w:p w:rsidR="006B12F3" w:rsidRPr="00633F07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633F07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</w:t>
      </w:r>
      <w:r w:rsidRPr="00633F07">
        <w:rPr>
          <w:lang w:val="ru-RU"/>
        </w:rPr>
        <w:t xml:space="preserve"> </w:t>
      </w:r>
      <w:r>
        <w:rPr>
          <w:lang w:val="ru-RU"/>
        </w:rPr>
        <w:t xml:space="preserve">Туниса </w:t>
      </w:r>
      <w:r w:rsidRPr="00633F07">
        <w:rPr>
          <w:lang w:val="ru-RU"/>
        </w:rPr>
        <w:t>(</w:t>
      </w:r>
      <w:r w:rsidRPr="009051A8">
        <w:t>CCPR</w:t>
      </w:r>
      <w:r w:rsidRPr="00633F07">
        <w:rPr>
          <w:lang w:val="ru-RU"/>
        </w:rPr>
        <w:t>/</w:t>
      </w:r>
      <w:r w:rsidRPr="009051A8">
        <w:t>C</w:t>
      </w:r>
      <w:r w:rsidRPr="00633F07">
        <w:rPr>
          <w:lang w:val="ru-RU"/>
        </w:rPr>
        <w:t>/</w:t>
      </w:r>
      <w:r w:rsidRPr="009051A8">
        <w:t>TUN</w:t>
      </w:r>
      <w:r w:rsidRPr="00633F07">
        <w:rPr>
          <w:lang w:val="ru-RU"/>
        </w:rPr>
        <w:t>/</w:t>
      </w:r>
      <w:r w:rsidRPr="009051A8">
        <w:t>CO</w:t>
      </w:r>
      <w:r w:rsidRPr="00633F07">
        <w:rPr>
          <w:lang w:val="ru-RU"/>
        </w:rPr>
        <w:t>/5).</w:t>
      </w:r>
    </w:p>
  </w:footnote>
  <w:footnote w:id="81">
    <w:p w:rsidR="006B12F3" w:rsidRPr="00633F07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633F07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</w:t>
      </w:r>
      <w:r w:rsidRPr="00633F07">
        <w:rPr>
          <w:lang w:val="ru-RU"/>
        </w:rPr>
        <w:t xml:space="preserve"> </w:t>
      </w:r>
      <w:r>
        <w:rPr>
          <w:lang w:val="ru-RU"/>
        </w:rPr>
        <w:t>Того</w:t>
      </w:r>
      <w:r w:rsidRPr="00633F07">
        <w:rPr>
          <w:lang w:val="ru-RU"/>
        </w:rPr>
        <w:t xml:space="preserve"> (</w:t>
      </w:r>
      <w:r w:rsidRPr="009051A8">
        <w:t>CCPR</w:t>
      </w:r>
      <w:r w:rsidRPr="00633F07">
        <w:rPr>
          <w:lang w:val="ru-RU"/>
        </w:rPr>
        <w:t>/</w:t>
      </w:r>
      <w:r w:rsidRPr="009051A8">
        <w:t>CO</w:t>
      </w:r>
      <w:r w:rsidRPr="00633F07">
        <w:rPr>
          <w:lang w:val="ru-RU"/>
        </w:rPr>
        <w:t>/76/</w:t>
      </w:r>
      <w:r w:rsidRPr="009051A8">
        <w:t>TGO</w:t>
      </w:r>
      <w:r w:rsidRPr="00633F07">
        <w:rPr>
          <w:lang w:val="ru-RU"/>
        </w:rPr>
        <w:t xml:space="preserve">); </w:t>
      </w:r>
      <w:r>
        <w:rPr>
          <w:lang w:val="ru-RU"/>
        </w:rPr>
        <w:t>заключительные замечания в отношении</w:t>
      </w:r>
      <w:r w:rsidRPr="00633F07">
        <w:rPr>
          <w:lang w:val="ru-RU"/>
        </w:rPr>
        <w:t xml:space="preserve"> </w:t>
      </w:r>
      <w:r>
        <w:rPr>
          <w:lang w:val="ru-RU"/>
        </w:rPr>
        <w:t>Республики Молдова</w:t>
      </w:r>
      <w:r w:rsidRPr="00633F07">
        <w:rPr>
          <w:lang w:val="ru-RU"/>
        </w:rPr>
        <w:t xml:space="preserve"> (</w:t>
      </w:r>
      <w:r w:rsidRPr="009051A8">
        <w:t>CCPR</w:t>
      </w:r>
      <w:r w:rsidRPr="00633F07">
        <w:rPr>
          <w:lang w:val="ru-RU"/>
        </w:rPr>
        <w:t>/</w:t>
      </w:r>
      <w:r w:rsidRPr="009051A8">
        <w:t>CO</w:t>
      </w:r>
      <w:r w:rsidRPr="00633F07">
        <w:rPr>
          <w:lang w:val="ru-RU"/>
        </w:rPr>
        <w:t>/75/</w:t>
      </w:r>
      <w:r w:rsidRPr="009051A8">
        <w:t>MDA</w:t>
      </w:r>
      <w:r w:rsidRPr="00633F07">
        <w:rPr>
          <w:lang w:val="ru-RU"/>
        </w:rPr>
        <w:t>)</w:t>
      </w:r>
      <w:r>
        <w:rPr>
          <w:lang w:val="ru-RU"/>
        </w:rPr>
        <w:t>.</w:t>
      </w:r>
    </w:p>
  </w:footnote>
  <w:footnote w:id="82">
    <w:p w:rsidR="006B12F3" w:rsidRPr="00196415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196415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196415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196415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196415">
        <w:rPr>
          <w:lang w:val="ru-RU"/>
        </w:rPr>
        <w:t xml:space="preserve">968/2001, </w:t>
      </w:r>
      <w:r>
        <w:rPr>
          <w:i/>
          <w:lang w:val="ru-RU"/>
        </w:rPr>
        <w:t>Ким против Республики Корея</w:t>
      </w:r>
      <w:r w:rsidRPr="00196415">
        <w:rPr>
          <w:lang w:val="ru-RU"/>
        </w:rPr>
        <w:t xml:space="preserve">, </w:t>
      </w:r>
      <w:r>
        <w:rPr>
          <w:lang w:val="ru-RU"/>
        </w:rPr>
        <w:t xml:space="preserve">Соображения приняты 14 марта </w:t>
      </w:r>
      <w:r w:rsidRPr="00196415">
        <w:rPr>
          <w:lang w:val="ru-RU"/>
        </w:rPr>
        <w:t>1996</w:t>
      </w:r>
      <w:r>
        <w:rPr>
          <w:lang w:val="ru-RU"/>
        </w:rPr>
        <w:t> года.</w:t>
      </w:r>
    </w:p>
  </w:footnote>
  <w:footnote w:id="83">
    <w:p w:rsidR="006B12F3" w:rsidRPr="00436B03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436B03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854A23">
        <w:rPr>
          <w:lang w:val="ru-RU"/>
        </w:rPr>
        <w:t xml:space="preserve">. </w:t>
      </w:r>
      <w:r>
        <w:rPr>
          <w:lang w:val="ru-RU"/>
        </w:rPr>
        <w:t xml:space="preserve">сообщение № </w:t>
      </w:r>
      <w:r w:rsidRPr="009B5816">
        <w:rPr>
          <w:lang w:val="ru-RU"/>
        </w:rPr>
        <w:t>1180/2003</w:t>
      </w:r>
      <w:r>
        <w:rPr>
          <w:lang w:val="ru-RU"/>
        </w:rPr>
        <w:t xml:space="preserve">, </w:t>
      </w:r>
      <w:r w:rsidRPr="009B5816">
        <w:rPr>
          <w:i/>
          <w:lang w:val="ru-RU"/>
        </w:rPr>
        <w:t>Бодрожич</w:t>
      </w:r>
      <w:r>
        <w:rPr>
          <w:lang w:val="ru-RU"/>
        </w:rPr>
        <w:t xml:space="preserve"> </w:t>
      </w:r>
      <w:r>
        <w:rPr>
          <w:i/>
          <w:lang w:val="ru-RU"/>
        </w:rPr>
        <w:t>против Сербии и Черногории</w:t>
      </w:r>
      <w:r>
        <w:rPr>
          <w:lang w:val="ru-RU"/>
        </w:rPr>
        <w:t>, Соображения приняты 31 октября 2005 года.</w:t>
      </w:r>
    </w:p>
  </w:footnote>
  <w:footnote w:id="84">
    <w:p w:rsidR="006B12F3" w:rsidRPr="00680712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D65C9D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 xml:space="preserve">Там же. </w:t>
      </w:r>
    </w:p>
  </w:footnote>
  <w:footnote w:id="85">
    <w:p w:rsidR="006B12F3" w:rsidRPr="00824463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824463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69782E">
        <w:rPr>
          <w:lang w:val="ru-RU"/>
        </w:rPr>
        <w:t xml:space="preserve">. </w:t>
      </w:r>
      <w:r>
        <w:rPr>
          <w:lang w:val="ru-RU"/>
        </w:rPr>
        <w:t>сообщение</w:t>
      </w:r>
      <w:r w:rsidRPr="0069782E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824463">
        <w:rPr>
          <w:lang w:val="ru-RU"/>
        </w:rPr>
        <w:t>1128/2002</w:t>
      </w:r>
      <w:r>
        <w:rPr>
          <w:lang w:val="ru-RU"/>
        </w:rPr>
        <w:t xml:space="preserve">, </w:t>
      </w:r>
      <w:r>
        <w:rPr>
          <w:i/>
          <w:lang w:val="ru-RU"/>
        </w:rPr>
        <w:t>Маркес против Анголы</w:t>
      </w:r>
      <w:r>
        <w:rPr>
          <w:lang w:val="ru-RU"/>
        </w:rPr>
        <w:t>.</w:t>
      </w:r>
    </w:p>
  </w:footnote>
  <w:footnote w:id="86">
    <w:p w:rsidR="006B12F3" w:rsidRPr="00C63D3B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C63D3B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C63D3B">
        <w:rPr>
          <w:lang w:val="ru-RU"/>
        </w:rPr>
        <w:t xml:space="preserve">. </w:t>
      </w:r>
      <w:r>
        <w:rPr>
          <w:lang w:val="ru-RU"/>
        </w:rPr>
        <w:t>сообщения</w:t>
      </w:r>
      <w:r w:rsidRPr="00C63D3B">
        <w:rPr>
          <w:lang w:val="ru-RU"/>
        </w:rPr>
        <w:t xml:space="preserve"> №</w:t>
      </w:r>
      <w:r>
        <w:rPr>
          <w:lang w:val="ru-RU"/>
        </w:rPr>
        <w:t xml:space="preserve"> </w:t>
      </w:r>
      <w:r w:rsidRPr="00C63D3B">
        <w:rPr>
          <w:lang w:val="ru-RU"/>
        </w:rPr>
        <w:t xml:space="preserve">422-424/1990, </w:t>
      </w:r>
      <w:r>
        <w:rPr>
          <w:i/>
          <w:lang w:val="ru-RU"/>
        </w:rPr>
        <w:t>Адимайо и др. против Того</w:t>
      </w:r>
      <w:r w:rsidRPr="00C63D3B">
        <w:rPr>
          <w:lang w:val="ru-RU"/>
        </w:rPr>
        <w:t xml:space="preserve">, </w:t>
      </w:r>
      <w:r>
        <w:rPr>
          <w:lang w:val="ru-RU"/>
        </w:rPr>
        <w:t xml:space="preserve">Соображения приняты 30 июня </w:t>
      </w:r>
      <w:r w:rsidRPr="00C63D3B">
        <w:rPr>
          <w:lang w:val="ru-RU"/>
        </w:rPr>
        <w:t>1994</w:t>
      </w:r>
      <w:r>
        <w:rPr>
          <w:lang w:val="ru-RU"/>
        </w:rPr>
        <w:t> года</w:t>
      </w:r>
      <w:r w:rsidRPr="00C63D3B">
        <w:rPr>
          <w:lang w:val="ru-RU"/>
        </w:rPr>
        <w:t>.</w:t>
      </w:r>
    </w:p>
  </w:footnote>
  <w:footnote w:id="87">
    <w:p w:rsidR="006B12F3" w:rsidRPr="002E3B78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2E3B78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</w:t>
      </w:r>
      <w:r w:rsidRPr="00633F07">
        <w:rPr>
          <w:lang w:val="ru-RU"/>
        </w:rPr>
        <w:t xml:space="preserve"> </w:t>
      </w:r>
      <w:r>
        <w:rPr>
          <w:lang w:val="ru-RU"/>
        </w:rPr>
        <w:t>Доминиканской Республики</w:t>
      </w:r>
      <w:r w:rsidRPr="002E3B78">
        <w:rPr>
          <w:lang w:val="ru-RU"/>
        </w:rPr>
        <w:t xml:space="preserve"> (</w:t>
      </w:r>
      <w:r w:rsidRPr="009051A8">
        <w:t>CCPR</w:t>
      </w:r>
      <w:r w:rsidRPr="002E3B78">
        <w:rPr>
          <w:lang w:val="ru-RU"/>
        </w:rPr>
        <w:t>/</w:t>
      </w:r>
      <w:r w:rsidRPr="009051A8">
        <w:t>CO</w:t>
      </w:r>
      <w:r w:rsidRPr="002E3B78">
        <w:rPr>
          <w:lang w:val="ru-RU"/>
        </w:rPr>
        <w:t>/71/</w:t>
      </w:r>
      <w:r w:rsidRPr="009051A8">
        <w:t>DOM</w:t>
      </w:r>
      <w:r w:rsidRPr="002E3B78">
        <w:rPr>
          <w:lang w:val="ru-RU"/>
        </w:rPr>
        <w:t>).</w:t>
      </w:r>
    </w:p>
  </w:footnote>
  <w:footnote w:id="88">
    <w:p w:rsidR="006B12F3" w:rsidRPr="002E3B78" w:rsidRDefault="006B12F3" w:rsidP="008F3A81">
      <w:pPr>
        <w:pStyle w:val="FootnoteText"/>
        <w:rPr>
          <w:lang w:val="ru-RU"/>
        </w:rPr>
      </w:pPr>
      <w:r w:rsidRPr="0042755B">
        <w:rPr>
          <w:lang w:val="ru-RU"/>
        </w:rPr>
        <w:tab/>
      </w:r>
      <w:r>
        <w:rPr>
          <w:rStyle w:val="FootnoteReference"/>
        </w:rPr>
        <w:footnoteRef/>
      </w:r>
      <w:r w:rsidRPr="002E3B78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</w:t>
      </w:r>
      <w:r w:rsidRPr="00633F07">
        <w:rPr>
          <w:lang w:val="ru-RU"/>
        </w:rPr>
        <w:t xml:space="preserve"> </w:t>
      </w:r>
      <w:r>
        <w:rPr>
          <w:lang w:val="ru-RU"/>
        </w:rPr>
        <w:t>Гондураса</w:t>
      </w:r>
      <w:r w:rsidRPr="002E3B78">
        <w:rPr>
          <w:lang w:val="ru-RU"/>
        </w:rPr>
        <w:t xml:space="preserve"> (</w:t>
      </w:r>
      <w:r w:rsidRPr="009051A8">
        <w:t>CCPR</w:t>
      </w:r>
      <w:r w:rsidRPr="002E3B78">
        <w:rPr>
          <w:lang w:val="ru-RU"/>
        </w:rPr>
        <w:t>/</w:t>
      </w:r>
      <w:r w:rsidRPr="009051A8">
        <w:t>C</w:t>
      </w:r>
      <w:r w:rsidRPr="002E3B78">
        <w:rPr>
          <w:lang w:val="ru-RU"/>
        </w:rPr>
        <w:t>/</w:t>
      </w:r>
      <w:r w:rsidRPr="009051A8">
        <w:t>HND</w:t>
      </w:r>
      <w:r w:rsidRPr="002E3B78">
        <w:rPr>
          <w:lang w:val="ru-RU"/>
        </w:rPr>
        <w:t>/</w:t>
      </w:r>
      <w:r w:rsidRPr="009051A8">
        <w:t>CO</w:t>
      </w:r>
      <w:r w:rsidRPr="002E3B78">
        <w:rPr>
          <w:lang w:val="ru-RU"/>
        </w:rPr>
        <w:t>/1).</w:t>
      </w:r>
    </w:p>
  </w:footnote>
  <w:footnote w:id="89">
    <w:p w:rsidR="006B12F3" w:rsidRPr="002E3B78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2E3B78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См. заключительные замечания в отношении Замбии</w:t>
      </w:r>
      <w:r w:rsidRPr="002E3B78">
        <w:rPr>
          <w:lang w:val="ru-RU"/>
        </w:rPr>
        <w:t xml:space="preserve"> (</w:t>
      </w:r>
      <w:r w:rsidRPr="009051A8">
        <w:t>CCPR</w:t>
      </w:r>
      <w:r w:rsidRPr="002E3B78">
        <w:rPr>
          <w:lang w:val="ru-RU"/>
        </w:rPr>
        <w:t>/</w:t>
      </w:r>
      <w:r w:rsidRPr="009051A8">
        <w:t>ZMB</w:t>
      </w:r>
      <w:r w:rsidRPr="002E3B78">
        <w:rPr>
          <w:lang w:val="ru-RU"/>
        </w:rPr>
        <w:t>/</w:t>
      </w:r>
      <w:r w:rsidRPr="009051A8">
        <w:t>CO</w:t>
      </w:r>
      <w:r w:rsidRPr="002E3B78">
        <w:rPr>
          <w:lang w:val="ru-RU"/>
        </w:rPr>
        <w:t xml:space="preserve">/3), </w:t>
      </w:r>
      <w:r>
        <w:rPr>
          <w:lang w:val="ru-RU"/>
        </w:rPr>
        <w:t>пункт </w:t>
      </w:r>
      <w:r w:rsidRPr="002E3B78">
        <w:rPr>
          <w:lang w:val="ru-RU"/>
        </w:rPr>
        <w:t>25.</w:t>
      </w:r>
    </w:p>
  </w:footnote>
  <w:footnote w:id="90">
    <w:p w:rsidR="006B12F3" w:rsidRPr="002E3B78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2E3B78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2E3B78">
        <w:rPr>
          <w:lang w:val="ru-RU"/>
        </w:rPr>
        <w:t xml:space="preserve">. </w:t>
      </w:r>
      <w:r>
        <w:rPr>
          <w:lang w:val="ru-RU"/>
        </w:rPr>
        <w:t>заключительные замечания в отношении Коста-Рики</w:t>
      </w:r>
      <w:r w:rsidRPr="002E3B78">
        <w:rPr>
          <w:lang w:val="ru-RU"/>
        </w:rPr>
        <w:t xml:space="preserve"> (</w:t>
      </w:r>
      <w:r w:rsidRPr="009051A8">
        <w:t>CCPR</w:t>
      </w:r>
      <w:r w:rsidRPr="002E3B78">
        <w:rPr>
          <w:lang w:val="ru-RU"/>
        </w:rPr>
        <w:t>/</w:t>
      </w:r>
      <w:r w:rsidRPr="009051A8">
        <w:t>C</w:t>
      </w:r>
      <w:r w:rsidRPr="002E3B78">
        <w:rPr>
          <w:lang w:val="ru-RU"/>
        </w:rPr>
        <w:t>/</w:t>
      </w:r>
      <w:r w:rsidRPr="009051A8">
        <w:t>CRI</w:t>
      </w:r>
      <w:r w:rsidRPr="002E3B78">
        <w:rPr>
          <w:lang w:val="ru-RU"/>
        </w:rPr>
        <w:t>/</w:t>
      </w:r>
      <w:r w:rsidRPr="009051A8">
        <w:t>CO</w:t>
      </w:r>
      <w:r w:rsidRPr="002E3B78">
        <w:rPr>
          <w:lang w:val="ru-RU"/>
        </w:rPr>
        <w:t xml:space="preserve">/5), </w:t>
      </w:r>
      <w:r>
        <w:rPr>
          <w:lang w:val="ru-RU"/>
        </w:rPr>
        <w:t>пункт </w:t>
      </w:r>
      <w:r w:rsidRPr="002E3B78">
        <w:rPr>
          <w:lang w:val="ru-RU"/>
        </w:rPr>
        <w:t>11.</w:t>
      </w:r>
    </w:p>
  </w:footnote>
  <w:footnote w:id="91">
    <w:p w:rsidR="006B12F3" w:rsidRPr="00BF52B6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BF52B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Там же, а также см</w:t>
      </w:r>
      <w:r w:rsidRPr="002E3B78">
        <w:rPr>
          <w:lang w:val="ru-RU"/>
        </w:rPr>
        <w:t xml:space="preserve">. </w:t>
      </w:r>
      <w:r>
        <w:rPr>
          <w:lang w:val="ru-RU"/>
        </w:rPr>
        <w:t>заключительные замечания в отношении Туниса</w:t>
      </w:r>
      <w:r w:rsidRPr="00BF52B6">
        <w:rPr>
          <w:lang w:val="ru-RU"/>
        </w:rPr>
        <w:t xml:space="preserve"> (</w:t>
      </w:r>
      <w:r w:rsidRPr="009051A8">
        <w:t>CCPR</w:t>
      </w:r>
      <w:r w:rsidRPr="00BF52B6">
        <w:rPr>
          <w:lang w:val="ru-RU"/>
        </w:rPr>
        <w:t>/</w:t>
      </w:r>
      <w:r w:rsidRPr="009051A8">
        <w:t>C</w:t>
      </w:r>
      <w:r w:rsidRPr="00BF52B6">
        <w:rPr>
          <w:lang w:val="ru-RU"/>
        </w:rPr>
        <w:t>/</w:t>
      </w:r>
      <w:r w:rsidRPr="009051A8">
        <w:t>TUN</w:t>
      </w:r>
      <w:r w:rsidRPr="00BF52B6">
        <w:rPr>
          <w:lang w:val="ru-RU"/>
        </w:rPr>
        <w:t>/</w:t>
      </w:r>
      <w:r w:rsidRPr="009051A8">
        <w:t>CO</w:t>
      </w:r>
      <w:r w:rsidRPr="00BF52B6">
        <w:rPr>
          <w:lang w:val="ru-RU"/>
        </w:rPr>
        <w:t xml:space="preserve">/5), </w:t>
      </w:r>
      <w:r>
        <w:rPr>
          <w:lang w:val="ru-RU"/>
        </w:rPr>
        <w:t>пункт </w:t>
      </w:r>
      <w:r w:rsidRPr="00BF52B6">
        <w:rPr>
          <w:lang w:val="ru-RU"/>
        </w:rPr>
        <w:t>91.</w:t>
      </w:r>
    </w:p>
  </w:footnote>
  <w:footnote w:id="92">
    <w:p w:rsidR="006B12F3" w:rsidRPr="00DE4C47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DE4C47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2E3B78">
        <w:rPr>
          <w:lang w:val="ru-RU"/>
        </w:rPr>
        <w:t xml:space="preserve">. </w:t>
      </w:r>
      <w:r>
        <w:rPr>
          <w:lang w:val="ru-RU"/>
        </w:rPr>
        <w:t xml:space="preserve">заключительные замечания в отношении Вьетнама </w:t>
      </w:r>
      <w:r w:rsidRPr="00DE4C47">
        <w:rPr>
          <w:lang w:val="ru-RU"/>
        </w:rPr>
        <w:t>(</w:t>
      </w:r>
      <w:r w:rsidRPr="009051A8">
        <w:t>CCPR</w:t>
      </w:r>
      <w:r w:rsidRPr="00DE4C47">
        <w:rPr>
          <w:lang w:val="ru-RU"/>
        </w:rPr>
        <w:t>/</w:t>
      </w:r>
      <w:r w:rsidRPr="009051A8">
        <w:t>CO</w:t>
      </w:r>
      <w:r w:rsidRPr="00DE4C47">
        <w:rPr>
          <w:lang w:val="ru-RU"/>
        </w:rPr>
        <w:t>/75/</w:t>
      </w:r>
      <w:r w:rsidRPr="009051A8">
        <w:t>VNM</w:t>
      </w:r>
      <w:r w:rsidRPr="00DE4C47">
        <w:rPr>
          <w:lang w:val="ru-RU"/>
        </w:rPr>
        <w:t xml:space="preserve">), </w:t>
      </w:r>
      <w:r>
        <w:rPr>
          <w:lang w:val="ru-RU"/>
        </w:rPr>
        <w:t>пункт</w:t>
      </w:r>
      <w:r w:rsidRPr="00DE4C47">
        <w:rPr>
          <w:lang w:val="ru-RU"/>
        </w:rPr>
        <w:t xml:space="preserve"> 18,</w:t>
      </w:r>
      <w:r>
        <w:rPr>
          <w:lang w:val="ru-RU"/>
        </w:rPr>
        <w:t xml:space="preserve"> и заключительные замечания в отношении Лесото </w:t>
      </w:r>
      <w:r w:rsidRPr="00DE4C47">
        <w:rPr>
          <w:lang w:val="ru-RU"/>
        </w:rPr>
        <w:t>(</w:t>
      </w:r>
      <w:r w:rsidRPr="009051A8">
        <w:t>CCPR</w:t>
      </w:r>
      <w:r w:rsidRPr="00DE4C47">
        <w:rPr>
          <w:lang w:val="ru-RU"/>
        </w:rPr>
        <w:t>/</w:t>
      </w:r>
      <w:r w:rsidRPr="009051A8">
        <w:t>CO</w:t>
      </w:r>
      <w:r w:rsidRPr="00DE4C47">
        <w:rPr>
          <w:lang w:val="ru-RU"/>
        </w:rPr>
        <w:t>/79/</w:t>
      </w:r>
      <w:r w:rsidRPr="009051A8">
        <w:t>Add</w:t>
      </w:r>
      <w:r w:rsidRPr="00DE4C47">
        <w:rPr>
          <w:lang w:val="ru-RU"/>
        </w:rPr>
        <w:t xml:space="preserve">.106), </w:t>
      </w:r>
      <w:r>
        <w:rPr>
          <w:lang w:val="ru-RU"/>
        </w:rPr>
        <w:t>пункт</w:t>
      </w:r>
      <w:r w:rsidRPr="00DE4C47">
        <w:rPr>
          <w:lang w:val="ru-RU"/>
        </w:rPr>
        <w:t xml:space="preserve"> 23.</w:t>
      </w:r>
    </w:p>
  </w:footnote>
  <w:footnote w:id="93">
    <w:p w:rsidR="006B12F3" w:rsidRPr="00897488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897488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 xml:space="preserve">Заключительные замечания в отношении Гамбии </w:t>
      </w:r>
      <w:r w:rsidRPr="00897488">
        <w:rPr>
          <w:lang w:val="ru-RU"/>
        </w:rPr>
        <w:t>(</w:t>
      </w:r>
      <w:r w:rsidRPr="009051A8">
        <w:t>CCPR</w:t>
      </w:r>
      <w:r w:rsidRPr="00897488">
        <w:rPr>
          <w:lang w:val="ru-RU"/>
        </w:rPr>
        <w:t>/</w:t>
      </w:r>
      <w:r w:rsidRPr="009051A8">
        <w:t>CO</w:t>
      </w:r>
      <w:r w:rsidRPr="00897488">
        <w:rPr>
          <w:lang w:val="ru-RU"/>
        </w:rPr>
        <w:t>/75/</w:t>
      </w:r>
      <w:r w:rsidRPr="009051A8">
        <w:t>GMB</w:t>
      </w:r>
      <w:r w:rsidRPr="00897488">
        <w:rPr>
          <w:lang w:val="ru-RU"/>
        </w:rPr>
        <w:t>).</w:t>
      </w:r>
    </w:p>
  </w:footnote>
  <w:footnote w:id="94">
    <w:p w:rsidR="006B12F3" w:rsidRPr="009A7996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9A799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См</w:t>
      </w:r>
      <w:r w:rsidRPr="009A7996">
        <w:rPr>
          <w:lang w:val="ru-RU"/>
        </w:rPr>
        <w:t xml:space="preserve">. </w:t>
      </w:r>
      <w:r>
        <w:rPr>
          <w:lang w:val="ru-RU"/>
        </w:rPr>
        <w:t>заключительные</w:t>
      </w:r>
      <w:r w:rsidRPr="009A799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A7996">
        <w:rPr>
          <w:lang w:val="ru-RU"/>
        </w:rPr>
        <w:t xml:space="preserve"> </w:t>
      </w:r>
      <w:r>
        <w:rPr>
          <w:lang w:val="ru-RU"/>
        </w:rPr>
        <w:t>в</w:t>
      </w:r>
      <w:r w:rsidRPr="009A7996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A7996">
        <w:rPr>
          <w:lang w:val="ru-RU"/>
        </w:rPr>
        <w:t xml:space="preserve"> </w:t>
      </w:r>
      <w:r>
        <w:rPr>
          <w:lang w:val="ru-RU"/>
        </w:rPr>
        <w:t xml:space="preserve">Ливана </w:t>
      </w:r>
      <w:r w:rsidRPr="009A7996">
        <w:rPr>
          <w:lang w:val="ru-RU"/>
        </w:rPr>
        <w:t>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/79/</w:t>
      </w:r>
      <w:r w:rsidRPr="009051A8">
        <w:t>Add</w:t>
      </w:r>
      <w:r w:rsidRPr="009A7996">
        <w:rPr>
          <w:lang w:val="ru-RU"/>
        </w:rPr>
        <w:t xml:space="preserve">.78), </w:t>
      </w:r>
      <w:r>
        <w:rPr>
          <w:lang w:val="ru-RU"/>
        </w:rPr>
        <w:t>пункт</w:t>
      </w:r>
      <w:r w:rsidRPr="009A7996">
        <w:rPr>
          <w:lang w:val="ru-RU"/>
        </w:rPr>
        <w:t xml:space="preserve"> 25.</w:t>
      </w:r>
    </w:p>
  </w:footnote>
  <w:footnote w:id="95">
    <w:p w:rsidR="006B12F3" w:rsidRPr="009A7996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9A799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 Кувейта</w:t>
      </w:r>
      <w:r w:rsidRPr="009A7996">
        <w:rPr>
          <w:lang w:val="ru-RU"/>
        </w:rPr>
        <w:t xml:space="preserve"> 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/69/</w:t>
      </w:r>
      <w:r w:rsidRPr="009051A8">
        <w:t>KWT</w:t>
      </w:r>
      <w:r w:rsidRPr="009A7996">
        <w:rPr>
          <w:lang w:val="ru-RU"/>
        </w:rPr>
        <w:t xml:space="preserve">); </w:t>
      </w:r>
      <w:r>
        <w:rPr>
          <w:lang w:val="ru-RU"/>
        </w:rPr>
        <w:t>заключительные</w:t>
      </w:r>
      <w:r w:rsidRPr="009A799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A7996">
        <w:rPr>
          <w:lang w:val="ru-RU"/>
        </w:rPr>
        <w:t xml:space="preserve"> </w:t>
      </w:r>
      <w:r>
        <w:rPr>
          <w:lang w:val="ru-RU"/>
        </w:rPr>
        <w:t>в</w:t>
      </w:r>
      <w:r w:rsidRPr="009A7996">
        <w:rPr>
          <w:lang w:val="ru-RU"/>
        </w:rPr>
        <w:t xml:space="preserve"> </w:t>
      </w:r>
      <w:r>
        <w:rPr>
          <w:lang w:val="ru-RU"/>
        </w:rPr>
        <w:t>отношении Украины</w:t>
      </w:r>
      <w:r w:rsidRPr="009A7996">
        <w:rPr>
          <w:lang w:val="ru-RU"/>
        </w:rPr>
        <w:t xml:space="preserve"> 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/73/</w:t>
      </w:r>
      <w:r w:rsidRPr="009051A8">
        <w:t>UKR</w:t>
      </w:r>
      <w:r w:rsidRPr="009A7996">
        <w:rPr>
          <w:lang w:val="ru-RU"/>
        </w:rPr>
        <w:t>).</w:t>
      </w:r>
    </w:p>
  </w:footnote>
  <w:footnote w:id="96">
    <w:p w:rsidR="006B12F3" w:rsidRPr="009A7996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9A799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 замечания в отношении Киргизии</w:t>
      </w:r>
      <w:r w:rsidRPr="009A7996">
        <w:rPr>
          <w:lang w:val="ru-RU"/>
        </w:rPr>
        <w:t xml:space="preserve"> 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/69/</w:t>
      </w:r>
      <w:r w:rsidRPr="009051A8">
        <w:t>KGZ</w:t>
      </w:r>
      <w:r w:rsidRPr="009A7996">
        <w:rPr>
          <w:lang w:val="ru-RU"/>
        </w:rPr>
        <w:t>).</w:t>
      </w:r>
    </w:p>
  </w:footnote>
  <w:footnote w:id="97">
    <w:p w:rsidR="006B12F3" w:rsidRPr="009A7996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9A7996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</w:t>
      </w:r>
      <w:r w:rsidRPr="009A799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A7996">
        <w:rPr>
          <w:lang w:val="ru-RU"/>
        </w:rPr>
        <w:t xml:space="preserve"> </w:t>
      </w:r>
      <w:r>
        <w:rPr>
          <w:lang w:val="ru-RU"/>
        </w:rPr>
        <w:t>в</w:t>
      </w:r>
      <w:r w:rsidRPr="009A7996">
        <w:rPr>
          <w:lang w:val="ru-RU"/>
        </w:rPr>
        <w:t xml:space="preserve"> </w:t>
      </w:r>
      <w:r>
        <w:rPr>
          <w:lang w:val="ru-RU"/>
        </w:rPr>
        <w:t>отношении Украины</w:t>
      </w:r>
      <w:r w:rsidRPr="009A7996">
        <w:rPr>
          <w:lang w:val="ru-RU"/>
        </w:rPr>
        <w:t xml:space="preserve"> 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/73/</w:t>
      </w:r>
      <w:r w:rsidRPr="009051A8">
        <w:t>UKR</w:t>
      </w:r>
      <w:r w:rsidRPr="009A7996">
        <w:rPr>
          <w:lang w:val="ru-RU"/>
        </w:rPr>
        <w:t>)</w:t>
      </w:r>
      <w:r>
        <w:rPr>
          <w:lang w:val="ru-RU"/>
        </w:rPr>
        <w:t>.</w:t>
      </w:r>
    </w:p>
  </w:footnote>
  <w:footnote w:id="98">
    <w:p w:rsidR="006B12F3" w:rsidRPr="00A2734A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A2734A">
        <w:rPr>
          <w:lang w:val="ru-RU"/>
        </w:rPr>
        <w:t xml:space="preserve"> </w:t>
      </w:r>
      <w:r w:rsidRPr="00B67653">
        <w:rPr>
          <w:lang w:val="ru-RU"/>
        </w:rPr>
        <w:tab/>
      </w:r>
      <w:r>
        <w:rPr>
          <w:lang w:val="ru-RU"/>
        </w:rPr>
        <w:t>Заключительные</w:t>
      </w:r>
      <w:r w:rsidRPr="009A799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A7996">
        <w:rPr>
          <w:lang w:val="ru-RU"/>
        </w:rPr>
        <w:t xml:space="preserve"> </w:t>
      </w:r>
      <w:r>
        <w:rPr>
          <w:lang w:val="ru-RU"/>
        </w:rPr>
        <w:t>в</w:t>
      </w:r>
      <w:r w:rsidRPr="009A7996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A7996">
        <w:rPr>
          <w:lang w:val="ru-RU"/>
        </w:rPr>
        <w:t xml:space="preserve"> </w:t>
      </w:r>
      <w:r>
        <w:rPr>
          <w:lang w:val="ru-RU"/>
        </w:rPr>
        <w:t xml:space="preserve">Ливана </w:t>
      </w:r>
      <w:r w:rsidRPr="009A7996">
        <w:rPr>
          <w:lang w:val="ru-RU"/>
        </w:rPr>
        <w:t>(</w:t>
      </w:r>
      <w:r w:rsidRPr="009051A8">
        <w:t>CCPR</w:t>
      </w:r>
      <w:r w:rsidRPr="009A7996">
        <w:rPr>
          <w:lang w:val="ru-RU"/>
        </w:rPr>
        <w:t>/</w:t>
      </w:r>
      <w:r w:rsidRPr="009051A8">
        <w:t>CO</w:t>
      </w:r>
      <w:r w:rsidRPr="009A7996">
        <w:rPr>
          <w:lang w:val="ru-RU"/>
        </w:rPr>
        <w:t>/79/</w:t>
      </w:r>
      <w:r w:rsidRPr="009051A8">
        <w:t>Add</w:t>
      </w:r>
      <w:r w:rsidRPr="009A7996">
        <w:rPr>
          <w:lang w:val="ru-RU"/>
        </w:rPr>
        <w:t>.78)</w:t>
      </w:r>
      <w:r>
        <w:rPr>
          <w:lang w:val="ru-RU"/>
        </w:rPr>
        <w:t>.</w:t>
      </w:r>
    </w:p>
  </w:footnote>
  <w:footnote w:id="99">
    <w:p w:rsidR="006B12F3" w:rsidRPr="00955790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955790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См</w:t>
      </w:r>
      <w:r w:rsidRPr="00955790">
        <w:rPr>
          <w:lang w:val="ru-RU"/>
        </w:rPr>
        <w:t xml:space="preserve">. </w:t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55790">
        <w:rPr>
          <w:lang w:val="ru-RU"/>
        </w:rPr>
        <w:t xml:space="preserve"> </w:t>
      </w:r>
      <w:r>
        <w:rPr>
          <w:lang w:val="ru-RU"/>
        </w:rPr>
        <w:t>Гайаны</w:t>
      </w:r>
      <w:r w:rsidRPr="00955790">
        <w:rPr>
          <w:lang w:val="ru-RU"/>
        </w:rPr>
        <w:t xml:space="preserve"> (</w:t>
      </w:r>
      <w:r w:rsidRPr="009051A8">
        <w:t>CCPR</w:t>
      </w:r>
      <w:r w:rsidRPr="00955790">
        <w:rPr>
          <w:lang w:val="ru-RU"/>
        </w:rPr>
        <w:t>/</w:t>
      </w:r>
      <w:r w:rsidRPr="009051A8">
        <w:t>CO</w:t>
      </w:r>
      <w:r w:rsidRPr="00955790">
        <w:rPr>
          <w:lang w:val="ru-RU"/>
        </w:rPr>
        <w:t>/79/</w:t>
      </w:r>
      <w:r w:rsidRPr="009051A8">
        <w:t>Add</w:t>
      </w:r>
      <w:r w:rsidRPr="00955790">
        <w:rPr>
          <w:lang w:val="ru-RU"/>
        </w:rPr>
        <w:t xml:space="preserve">.121), </w:t>
      </w:r>
      <w:r>
        <w:rPr>
          <w:lang w:val="ru-RU"/>
        </w:rPr>
        <w:t>пункт </w:t>
      </w:r>
      <w:r w:rsidRPr="00955790">
        <w:rPr>
          <w:lang w:val="ru-RU"/>
        </w:rPr>
        <w:t xml:space="preserve">19; </w:t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55790">
        <w:rPr>
          <w:lang w:val="ru-RU"/>
        </w:rPr>
        <w:t xml:space="preserve"> </w:t>
      </w:r>
      <w:r>
        <w:rPr>
          <w:lang w:val="ru-RU"/>
        </w:rPr>
        <w:t xml:space="preserve">Российской Федерации </w:t>
      </w:r>
      <w:r w:rsidRPr="00955790">
        <w:rPr>
          <w:lang w:val="ru-RU"/>
        </w:rPr>
        <w:t>(</w:t>
      </w:r>
      <w:r w:rsidRPr="00087D95">
        <w:t>CCPR</w:t>
      </w:r>
      <w:r w:rsidRPr="00955790">
        <w:rPr>
          <w:lang w:val="ru-RU"/>
        </w:rPr>
        <w:t>/</w:t>
      </w:r>
      <w:r w:rsidRPr="00087D95">
        <w:t>CO</w:t>
      </w:r>
      <w:r w:rsidRPr="00955790">
        <w:rPr>
          <w:lang w:val="ru-RU"/>
        </w:rPr>
        <w:t>/79/</w:t>
      </w:r>
      <w:r w:rsidRPr="00087D95">
        <w:t>RUS</w:t>
      </w:r>
      <w:r w:rsidRPr="00955790">
        <w:rPr>
          <w:lang w:val="ru-RU"/>
        </w:rPr>
        <w:t xml:space="preserve">); </w:t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 xml:space="preserve">отношении Вьетнама </w:t>
      </w:r>
      <w:r w:rsidRPr="00955790">
        <w:rPr>
          <w:lang w:val="ru-RU"/>
        </w:rPr>
        <w:t>(</w:t>
      </w:r>
      <w:r w:rsidRPr="009051A8">
        <w:t>CCPR</w:t>
      </w:r>
      <w:r w:rsidRPr="00955790">
        <w:rPr>
          <w:lang w:val="ru-RU"/>
        </w:rPr>
        <w:t>/</w:t>
      </w:r>
      <w:r w:rsidRPr="009051A8">
        <w:t>CO</w:t>
      </w:r>
      <w:r w:rsidRPr="00955790">
        <w:rPr>
          <w:lang w:val="ru-RU"/>
        </w:rPr>
        <w:t>/75/</w:t>
      </w:r>
      <w:r w:rsidRPr="009051A8">
        <w:t>VNM</w:t>
      </w:r>
      <w:r w:rsidRPr="00955790">
        <w:rPr>
          <w:lang w:val="ru-RU"/>
        </w:rPr>
        <w:t xml:space="preserve">); </w:t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 xml:space="preserve">отношении Италии </w:t>
      </w:r>
      <w:r w:rsidRPr="00955790">
        <w:rPr>
          <w:lang w:val="ru-RU"/>
        </w:rPr>
        <w:t>(</w:t>
      </w:r>
      <w:r w:rsidRPr="009051A8">
        <w:t>CCPR</w:t>
      </w:r>
      <w:r w:rsidRPr="00955790">
        <w:rPr>
          <w:lang w:val="ru-RU"/>
        </w:rPr>
        <w:t>/</w:t>
      </w:r>
      <w:r w:rsidRPr="009051A8">
        <w:t>C</w:t>
      </w:r>
      <w:r w:rsidRPr="00955790">
        <w:rPr>
          <w:lang w:val="ru-RU"/>
        </w:rPr>
        <w:t>/79/</w:t>
      </w:r>
      <w:r w:rsidRPr="009051A8">
        <w:t>Add</w:t>
      </w:r>
      <w:r w:rsidRPr="00955790">
        <w:rPr>
          <w:lang w:val="ru-RU"/>
        </w:rPr>
        <w:t>. 37).</w:t>
      </w:r>
    </w:p>
  </w:footnote>
  <w:footnote w:id="100">
    <w:p w:rsidR="006B12F3" w:rsidRPr="00C9243C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C9243C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См</w:t>
      </w:r>
      <w:r w:rsidRPr="00955790">
        <w:rPr>
          <w:lang w:val="ru-RU"/>
        </w:rPr>
        <w:t xml:space="preserve">. </w:t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C9243C">
        <w:rPr>
          <w:lang w:val="ru-RU"/>
        </w:rPr>
        <w:t xml:space="preserve"> </w:t>
      </w:r>
      <w:r>
        <w:rPr>
          <w:lang w:val="ru-RU"/>
        </w:rPr>
        <w:t>Лесото</w:t>
      </w:r>
      <w:r w:rsidRPr="00C9243C">
        <w:rPr>
          <w:lang w:val="ru-RU"/>
        </w:rPr>
        <w:t xml:space="preserve"> (</w:t>
      </w:r>
      <w:r w:rsidRPr="009051A8">
        <w:t>CCPR</w:t>
      </w:r>
      <w:r w:rsidRPr="00C9243C">
        <w:rPr>
          <w:lang w:val="ru-RU"/>
        </w:rPr>
        <w:t>/</w:t>
      </w:r>
      <w:r w:rsidRPr="009051A8">
        <w:t>CO</w:t>
      </w:r>
      <w:r w:rsidRPr="00C9243C">
        <w:rPr>
          <w:lang w:val="ru-RU"/>
        </w:rPr>
        <w:t>/79/</w:t>
      </w:r>
      <w:r w:rsidRPr="009051A8">
        <w:t>Add</w:t>
      </w:r>
      <w:r w:rsidRPr="00C9243C">
        <w:rPr>
          <w:lang w:val="ru-RU"/>
        </w:rPr>
        <w:t xml:space="preserve">.106), </w:t>
      </w:r>
      <w:r>
        <w:rPr>
          <w:lang w:val="ru-RU"/>
        </w:rPr>
        <w:t>пункт</w:t>
      </w:r>
      <w:r w:rsidRPr="00C9243C">
        <w:rPr>
          <w:lang w:val="ru-RU"/>
        </w:rPr>
        <w:t xml:space="preserve"> 22.</w:t>
      </w:r>
    </w:p>
  </w:footnote>
  <w:footnote w:id="101">
    <w:p w:rsidR="006B12F3" w:rsidRPr="00C9243C" w:rsidRDefault="006B12F3" w:rsidP="008F3A81">
      <w:pPr>
        <w:pStyle w:val="FootnoteText"/>
        <w:rPr>
          <w:lang w:val="ru-RU"/>
        </w:rPr>
      </w:pPr>
      <w:r w:rsidRPr="00BD57AA">
        <w:rPr>
          <w:lang w:val="ru-RU"/>
        </w:rPr>
        <w:tab/>
      </w:r>
      <w:r>
        <w:rPr>
          <w:rStyle w:val="FootnoteReference"/>
        </w:rPr>
        <w:footnoteRef/>
      </w:r>
      <w:r w:rsidRPr="00C9243C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55790">
        <w:rPr>
          <w:lang w:val="ru-RU"/>
        </w:rPr>
        <w:t xml:space="preserve"> </w:t>
      </w:r>
      <w:r>
        <w:rPr>
          <w:lang w:val="ru-RU"/>
        </w:rPr>
        <w:t>Украины</w:t>
      </w:r>
      <w:r w:rsidRPr="00C9243C">
        <w:rPr>
          <w:lang w:val="ru-RU"/>
        </w:rPr>
        <w:t xml:space="preserve"> (</w:t>
      </w:r>
      <w:r w:rsidRPr="009051A8">
        <w:t>CCPR</w:t>
      </w:r>
      <w:r w:rsidRPr="00C9243C">
        <w:rPr>
          <w:lang w:val="ru-RU"/>
        </w:rPr>
        <w:t>/</w:t>
      </w:r>
      <w:r w:rsidRPr="009051A8">
        <w:t>CO</w:t>
      </w:r>
      <w:r w:rsidRPr="00C9243C">
        <w:rPr>
          <w:lang w:val="ru-RU"/>
        </w:rPr>
        <w:t>/73/</w:t>
      </w:r>
      <w:r w:rsidRPr="009051A8">
        <w:t>UKR</w:t>
      </w:r>
      <w:r w:rsidRPr="00C9243C">
        <w:rPr>
          <w:lang w:val="ru-RU"/>
        </w:rPr>
        <w:t>).</w:t>
      </w:r>
    </w:p>
  </w:footnote>
  <w:footnote w:id="102">
    <w:p w:rsidR="006B12F3" w:rsidRPr="00C9243C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C9243C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>отношении</w:t>
      </w:r>
      <w:r w:rsidRPr="00C9243C">
        <w:rPr>
          <w:lang w:val="ru-RU"/>
        </w:rPr>
        <w:t xml:space="preserve"> </w:t>
      </w:r>
      <w:r>
        <w:rPr>
          <w:lang w:val="ru-RU"/>
        </w:rPr>
        <w:t>Шри</w:t>
      </w:r>
      <w:r w:rsidRPr="00C9243C">
        <w:rPr>
          <w:lang w:val="ru-RU"/>
        </w:rPr>
        <w:t>-</w:t>
      </w:r>
      <w:r>
        <w:rPr>
          <w:lang w:val="ru-RU"/>
        </w:rPr>
        <w:t>Ланки</w:t>
      </w:r>
      <w:r w:rsidRPr="00C9243C">
        <w:rPr>
          <w:lang w:val="ru-RU"/>
        </w:rPr>
        <w:t xml:space="preserve"> (</w:t>
      </w:r>
      <w:r w:rsidRPr="00087D95">
        <w:t>CCPR</w:t>
      </w:r>
      <w:r w:rsidRPr="00C9243C">
        <w:rPr>
          <w:lang w:val="ru-RU"/>
        </w:rPr>
        <w:t>/</w:t>
      </w:r>
      <w:r w:rsidRPr="00087D95">
        <w:t>CO</w:t>
      </w:r>
      <w:r w:rsidRPr="00C9243C">
        <w:rPr>
          <w:lang w:val="ru-RU"/>
        </w:rPr>
        <w:t>/79/</w:t>
      </w:r>
      <w:r w:rsidRPr="00087D95">
        <w:t>LKA</w:t>
      </w:r>
      <w:r w:rsidRPr="00C9243C">
        <w:rPr>
          <w:lang w:val="ru-RU"/>
        </w:rPr>
        <w:t xml:space="preserve">); </w:t>
      </w:r>
      <w:r>
        <w:rPr>
          <w:lang w:val="ru-RU"/>
        </w:rPr>
        <w:t>а также см. 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55790">
        <w:rPr>
          <w:lang w:val="ru-RU"/>
        </w:rPr>
        <w:t xml:space="preserve"> </w:t>
      </w:r>
      <w:r>
        <w:rPr>
          <w:lang w:val="ru-RU"/>
        </w:rPr>
        <w:t xml:space="preserve">Того </w:t>
      </w:r>
      <w:r w:rsidRPr="00C9243C">
        <w:rPr>
          <w:lang w:val="ru-RU"/>
        </w:rPr>
        <w:t>(</w:t>
      </w:r>
      <w:r w:rsidRPr="009051A8">
        <w:t>CCPR</w:t>
      </w:r>
      <w:r w:rsidRPr="00C9243C">
        <w:rPr>
          <w:lang w:val="ru-RU"/>
        </w:rPr>
        <w:t>/</w:t>
      </w:r>
      <w:r w:rsidRPr="009051A8">
        <w:t>CO</w:t>
      </w:r>
      <w:r w:rsidRPr="00C9243C">
        <w:rPr>
          <w:lang w:val="ru-RU"/>
        </w:rPr>
        <w:t>/76/</w:t>
      </w:r>
      <w:r w:rsidRPr="009051A8">
        <w:t>TGO</w:t>
      </w:r>
      <w:r w:rsidRPr="00C9243C">
        <w:rPr>
          <w:lang w:val="ru-RU"/>
        </w:rPr>
        <w:t xml:space="preserve">), </w:t>
      </w:r>
      <w:r>
        <w:rPr>
          <w:lang w:val="ru-RU"/>
        </w:rPr>
        <w:t>пункт</w:t>
      </w:r>
      <w:r w:rsidRPr="00C9243C">
        <w:rPr>
          <w:lang w:val="ru-RU"/>
        </w:rPr>
        <w:t xml:space="preserve"> 17.</w:t>
      </w:r>
    </w:p>
  </w:footnote>
  <w:footnote w:id="103">
    <w:p w:rsidR="006B12F3" w:rsidRPr="00C9243C" w:rsidRDefault="006B12F3" w:rsidP="008F3A81">
      <w:pPr>
        <w:pStyle w:val="FootnoteText"/>
        <w:rPr>
          <w:lang w:val="ru-RU"/>
        </w:rPr>
      </w:pPr>
      <w:r w:rsidRPr="007D5139">
        <w:rPr>
          <w:lang w:val="ru-RU"/>
        </w:rPr>
        <w:tab/>
      </w:r>
      <w:r>
        <w:rPr>
          <w:rStyle w:val="FootnoteReference"/>
        </w:rPr>
        <w:footnoteRef/>
      </w:r>
      <w:r w:rsidRPr="00C9243C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955790">
        <w:rPr>
          <w:lang w:val="ru-RU"/>
        </w:rPr>
        <w:t xml:space="preserve"> </w:t>
      </w:r>
      <w:r>
        <w:rPr>
          <w:lang w:val="ru-RU"/>
        </w:rPr>
        <w:t>замечания</w:t>
      </w:r>
      <w:r w:rsidRPr="00955790">
        <w:rPr>
          <w:lang w:val="ru-RU"/>
        </w:rPr>
        <w:t xml:space="preserve"> </w:t>
      </w:r>
      <w:r>
        <w:rPr>
          <w:lang w:val="ru-RU"/>
        </w:rPr>
        <w:t>в</w:t>
      </w:r>
      <w:r w:rsidRPr="00955790">
        <w:rPr>
          <w:lang w:val="ru-RU"/>
        </w:rPr>
        <w:t xml:space="preserve"> </w:t>
      </w:r>
      <w:r>
        <w:rPr>
          <w:lang w:val="ru-RU"/>
        </w:rPr>
        <w:t>отношении</w:t>
      </w:r>
      <w:r w:rsidRPr="00955790">
        <w:rPr>
          <w:lang w:val="ru-RU"/>
        </w:rPr>
        <w:t xml:space="preserve"> </w:t>
      </w:r>
      <w:r>
        <w:rPr>
          <w:lang w:val="ru-RU"/>
        </w:rPr>
        <w:t xml:space="preserve">Перу </w:t>
      </w:r>
      <w:r w:rsidRPr="00C9243C">
        <w:rPr>
          <w:lang w:val="ru-RU"/>
        </w:rPr>
        <w:t>(</w:t>
      </w:r>
      <w:r w:rsidRPr="009051A8">
        <w:t>CCPR</w:t>
      </w:r>
      <w:r w:rsidRPr="00C9243C">
        <w:rPr>
          <w:lang w:val="ru-RU"/>
        </w:rPr>
        <w:t>/</w:t>
      </w:r>
      <w:r w:rsidRPr="009051A8">
        <w:t>CO</w:t>
      </w:r>
      <w:r w:rsidRPr="00C9243C">
        <w:rPr>
          <w:lang w:val="ru-RU"/>
        </w:rPr>
        <w:t>/70/</w:t>
      </w:r>
      <w:r w:rsidRPr="009051A8">
        <w:t>PER</w:t>
      </w:r>
      <w:r w:rsidRPr="00C9243C">
        <w:rPr>
          <w:lang w:val="ru-RU"/>
        </w:rPr>
        <w:t>).</w:t>
      </w:r>
    </w:p>
  </w:footnote>
  <w:footnote w:id="104">
    <w:p w:rsidR="006B12F3" w:rsidRPr="005E0DDE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5E0DDE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 xml:space="preserve">отношении Сирийской Арабской Республики </w:t>
      </w:r>
      <w:r w:rsidRPr="005E0DDE">
        <w:rPr>
          <w:lang w:val="ru-RU"/>
        </w:rPr>
        <w:t>(</w:t>
      </w:r>
      <w:r w:rsidRPr="009051A8">
        <w:t>CCPR</w:t>
      </w:r>
      <w:r w:rsidRPr="005E0DDE">
        <w:rPr>
          <w:lang w:val="ru-RU"/>
        </w:rPr>
        <w:t>/</w:t>
      </w:r>
      <w:r w:rsidRPr="009051A8">
        <w:t>CO</w:t>
      </w:r>
      <w:r w:rsidRPr="005E0DDE">
        <w:rPr>
          <w:lang w:val="ru-RU"/>
        </w:rPr>
        <w:t>/84/</w:t>
      </w:r>
      <w:r w:rsidRPr="009051A8">
        <w:t>SYR</w:t>
      </w:r>
      <w:r w:rsidRPr="005E0DDE">
        <w:rPr>
          <w:lang w:val="ru-RU"/>
        </w:rPr>
        <w:t>).</w:t>
      </w:r>
    </w:p>
  </w:footnote>
  <w:footnote w:id="105">
    <w:p w:rsidR="006B12F3" w:rsidRPr="00D52471" w:rsidRDefault="006B12F3" w:rsidP="008F3A81">
      <w:pPr>
        <w:pStyle w:val="FootnoteText"/>
        <w:rPr>
          <w:lang w:val="ru-RU"/>
        </w:rPr>
      </w:pPr>
      <w:r w:rsidRPr="006C48DC">
        <w:rPr>
          <w:lang w:val="ru-RU"/>
        </w:rPr>
        <w:tab/>
      </w:r>
      <w:r>
        <w:rPr>
          <w:rStyle w:val="FootnoteReference"/>
        </w:rPr>
        <w:footnoteRef/>
      </w:r>
      <w:r w:rsidRPr="00D52471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>отношении Узбекистана</w:t>
      </w:r>
      <w:r w:rsidRPr="00D52471">
        <w:rPr>
          <w:lang w:val="ru-RU"/>
        </w:rPr>
        <w:t xml:space="preserve"> (</w:t>
      </w:r>
      <w:r w:rsidRPr="009051A8">
        <w:t>CCPR</w:t>
      </w:r>
      <w:r w:rsidRPr="00D52471">
        <w:rPr>
          <w:lang w:val="ru-RU"/>
        </w:rPr>
        <w:t>/</w:t>
      </w:r>
      <w:r w:rsidRPr="009051A8">
        <w:t>CO</w:t>
      </w:r>
      <w:r w:rsidRPr="00D52471">
        <w:rPr>
          <w:lang w:val="ru-RU"/>
        </w:rPr>
        <w:t>/83/</w:t>
      </w:r>
      <w:r w:rsidRPr="009051A8">
        <w:t>UZB</w:t>
      </w:r>
      <w:r w:rsidRPr="00D52471">
        <w:rPr>
          <w:lang w:val="ru-RU"/>
        </w:rPr>
        <w:t xml:space="preserve">); </w:t>
      </w:r>
      <w:r>
        <w:rPr>
          <w:lang w:val="ru-RU"/>
        </w:rPr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>отношении</w:t>
      </w:r>
      <w:r w:rsidRPr="00D52471">
        <w:rPr>
          <w:lang w:val="ru-RU"/>
        </w:rPr>
        <w:t xml:space="preserve"> </w:t>
      </w:r>
      <w:r>
        <w:rPr>
          <w:lang w:val="ru-RU"/>
        </w:rPr>
        <w:t>Марокко</w:t>
      </w:r>
      <w:r w:rsidRPr="00D52471">
        <w:rPr>
          <w:lang w:val="ru-RU"/>
        </w:rPr>
        <w:t xml:space="preserve"> (</w:t>
      </w:r>
      <w:r w:rsidRPr="009051A8">
        <w:t>CCPR</w:t>
      </w:r>
      <w:r w:rsidRPr="00D52471">
        <w:rPr>
          <w:lang w:val="ru-RU"/>
        </w:rPr>
        <w:t>/</w:t>
      </w:r>
      <w:r w:rsidRPr="009051A8">
        <w:t>CO</w:t>
      </w:r>
      <w:r w:rsidRPr="00D52471">
        <w:rPr>
          <w:lang w:val="ru-RU"/>
        </w:rPr>
        <w:t>/82/</w:t>
      </w:r>
      <w:r w:rsidRPr="009051A8">
        <w:t>MAR</w:t>
      </w:r>
      <w:r w:rsidRPr="00D52471">
        <w:rPr>
          <w:lang w:val="ru-RU"/>
        </w:rPr>
        <w:t>).</w:t>
      </w:r>
    </w:p>
  </w:footnote>
  <w:footnote w:id="106">
    <w:p w:rsidR="006B12F3" w:rsidRPr="00E62353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E62353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E62353">
        <w:rPr>
          <w:lang w:val="ru-RU"/>
        </w:rPr>
        <w:t xml:space="preserve"> </w:t>
      </w:r>
      <w:r>
        <w:rPr>
          <w:lang w:val="ru-RU"/>
        </w:rPr>
        <w:t>замечания</w:t>
      </w:r>
      <w:r w:rsidRPr="00E62353">
        <w:rPr>
          <w:lang w:val="ru-RU"/>
        </w:rPr>
        <w:t xml:space="preserve"> </w:t>
      </w:r>
      <w:r>
        <w:rPr>
          <w:lang w:val="ru-RU"/>
        </w:rPr>
        <w:t>в</w:t>
      </w:r>
      <w:r w:rsidRPr="00E62353">
        <w:rPr>
          <w:lang w:val="ru-RU"/>
        </w:rPr>
        <w:t xml:space="preserve"> </w:t>
      </w:r>
      <w:r>
        <w:rPr>
          <w:lang w:val="ru-RU"/>
        </w:rPr>
        <w:t>отношении</w:t>
      </w:r>
      <w:r w:rsidRPr="00E62353">
        <w:rPr>
          <w:lang w:val="ru-RU"/>
        </w:rPr>
        <w:t xml:space="preserve"> </w:t>
      </w:r>
      <w:r>
        <w:rPr>
          <w:lang w:val="ru-RU"/>
        </w:rPr>
        <w:t xml:space="preserve">Корейской Народно-Демократической Республики </w:t>
      </w:r>
      <w:r w:rsidRPr="00E62353">
        <w:rPr>
          <w:lang w:val="ru-RU"/>
        </w:rPr>
        <w:t>(</w:t>
      </w:r>
      <w:r w:rsidRPr="009051A8">
        <w:t>CCPR</w:t>
      </w:r>
      <w:r w:rsidRPr="00E62353">
        <w:rPr>
          <w:lang w:val="ru-RU"/>
        </w:rPr>
        <w:t>/</w:t>
      </w:r>
      <w:r w:rsidRPr="009051A8">
        <w:t>CO</w:t>
      </w:r>
      <w:r w:rsidRPr="00E62353">
        <w:rPr>
          <w:lang w:val="ru-RU"/>
        </w:rPr>
        <w:t>/72/</w:t>
      </w:r>
      <w:r w:rsidRPr="009051A8">
        <w:t>PRK</w:t>
      </w:r>
      <w:r w:rsidRPr="00E62353">
        <w:rPr>
          <w:lang w:val="ru-RU"/>
        </w:rPr>
        <w:t>).</w:t>
      </w:r>
    </w:p>
  </w:footnote>
  <w:footnote w:id="107">
    <w:p w:rsidR="006B12F3" w:rsidRPr="00575044" w:rsidRDefault="006B12F3" w:rsidP="008F3A81">
      <w:pPr>
        <w:pStyle w:val="FootnoteText"/>
        <w:rPr>
          <w:lang w:val="ru-RU"/>
        </w:rPr>
      </w:pPr>
      <w:r w:rsidRPr="008F3A81">
        <w:rPr>
          <w:lang w:val="ru-RU"/>
        </w:rPr>
        <w:tab/>
      </w:r>
      <w:r>
        <w:rPr>
          <w:rStyle w:val="FootnoteReference"/>
        </w:rPr>
        <w:footnoteRef/>
      </w:r>
      <w:r w:rsidRPr="00575044">
        <w:rPr>
          <w:lang w:val="ru-RU"/>
        </w:rPr>
        <w:t xml:space="preserve"> </w:t>
      </w:r>
      <w:r w:rsidRPr="00BA1005">
        <w:rPr>
          <w:lang w:val="ru-RU"/>
        </w:rPr>
        <w:tab/>
      </w:r>
      <w:r>
        <w:rPr>
          <w:lang w:val="ru-RU"/>
        </w:rPr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>отношении</w:t>
      </w:r>
      <w:r w:rsidRPr="00575044">
        <w:rPr>
          <w:lang w:val="ru-RU"/>
        </w:rPr>
        <w:t xml:space="preserve"> </w:t>
      </w:r>
      <w:r>
        <w:rPr>
          <w:lang w:val="ru-RU"/>
        </w:rPr>
        <w:t>Кувейта</w:t>
      </w:r>
      <w:r w:rsidRPr="00575044">
        <w:rPr>
          <w:lang w:val="ru-RU"/>
        </w:rPr>
        <w:t xml:space="preserve"> (</w:t>
      </w:r>
      <w:r w:rsidRPr="009051A8">
        <w:t>CCPR</w:t>
      </w:r>
      <w:r w:rsidRPr="00575044">
        <w:rPr>
          <w:lang w:val="ru-RU"/>
        </w:rPr>
        <w:t>/</w:t>
      </w:r>
      <w:r w:rsidRPr="009051A8">
        <w:t>CO</w:t>
      </w:r>
      <w:r w:rsidRPr="00575044">
        <w:rPr>
          <w:lang w:val="ru-RU"/>
        </w:rPr>
        <w:t>/69/</w:t>
      </w:r>
      <w:r w:rsidRPr="009051A8">
        <w:t>KWT</w:t>
      </w:r>
      <w:r w:rsidRPr="00575044">
        <w:rPr>
          <w:lang w:val="ru-RU"/>
        </w:rPr>
        <w:t>).</w:t>
      </w:r>
    </w:p>
  </w:footnote>
  <w:footnote w:id="108">
    <w:p w:rsidR="006B12F3" w:rsidRPr="00337962" w:rsidRDefault="006B12F3" w:rsidP="008F3A81">
      <w:pPr>
        <w:pStyle w:val="FootnoteText"/>
        <w:rPr>
          <w:lang w:val="ru-RU"/>
        </w:rPr>
      </w:pPr>
      <w:r>
        <w:tab/>
      </w:r>
      <w:r>
        <w:rPr>
          <w:rStyle w:val="FootnoteReference"/>
        </w:rPr>
        <w:footnoteRef/>
      </w:r>
      <w:r w:rsidRPr="00337962">
        <w:rPr>
          <w:lang w:val="ru-RU"/>
        </w:rPr>
        <w:tab/>
        <w:t>Заключительные замечания в отношении Соединенного Королевства Великобритании и Северной Ирландии (CCPR/C/GBR/CO/6).</w:t>
      </w:r>
    </w:p>
  </w:footnote>
  <w:footnote w:id="109">
    <w:p w:rsidR="006B12F3" w:rsidRPr="004F5436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Заключительные</w:t>
      </w:r>
      <w:r w:rsidRPr="00C9243C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9243C">
        <w:rPr>
          <w:lang w:val="ru-RU"/>
        </w:rPr>
        <w:t xml:space="preserve"> </w:t>
      </w:r>
      <w:r>
        <w:rPr>
          <w:lang w:val="ru-RU"/>
        </w:rPr>
        <w:t>в</w:t>
      </w:r>
      <w:r w:rsidRPr="00C9243C">
        <w:rPr>
          <w:lang w:val="ru-RU"/>
        </w:rPr>
        <w:t xml:space="preserve"> </w:t>
      </w:r>
      <w:r>
        <w:rPr>
          <w:lang w:val="ru-RU"/>
        </w:rPr>
        <w:t xml:space="preserve">отношении Российской Федерации </w:t>
      </w:r>
      <w:r w:rsidRPr="004F5436">
        <w:rPr>
          <w:lang w:val="ru-RU"/>
        </w:rPr>
        <w:t>(</w:t>
      </w:r>
      <w:r w:rsidRPr="009051A8">
        <w:t>CCPR</w:t>
      </w:r>
      <w:r w:rsidRPr="004F5436">
        <w:rPr>
          <w:lang w:val="ru-RU"/>
        </w:rPr>
        <w:t>/</w:t>
      </w:r>
      <w:r w:rsidRPr="009051A8">
        <w:t>CO</w:t>
      </w:r>
      <w:r w:rsidRPr="004F5436">
        <w:rPr>
          <w:lang w:val="ru-RU"/>
        </w:rPr>
        <w:t>/79/</w:t>
      </w:r>
      <w:r w:rsidRPr="009051A8">
        <w:t>RUS</w:t>
      </w:r>
      <w:r w:rsidRPr="004F5436">
        <w:rPr>
          <w:lang w:val="ru-RU"/>
        </w:rPr>
        <w:t>).</w:t>
      </w:r>
    </w:p>
  </w:footnote>
  <w:footnote w:id="110">
    <w:p w:rsidR="006B12F3" w:rsidRPr="00CA499D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Заключительные</w:t>
      </w:r>
      <w:r w:rsidRPr="004F543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4F5436">
        <w:rPr>
          <w:lang w:val="ru-RU"/>
        </w:rPr>
        <w:t xml:space="preserve"> </w:t>
      </w:r>
      <w:r>
        <w:rPr>
          <w:lang w:val="ru-RU"/>
        </w:rPr>
        <w:t>в</w:t>
      </w:r>
      <w:r w:rsidRPr="004F5436">
        <w:rPr>
          <w:lang w:val="ru-RU"/>
        </w:rPr>
        <w:t xml:space="preserve"> </w:t>
      </w:r>
      <w:r>
        <w:rPr>
          <w:lang w:val="ru-RU"/>
        </w:rPr>
        <w:t>отношении</w:t>
      </w:r>
      <w:r w:rsidRPr="004F5436">
        <w:rPr>
          <w:lang w:val="ru-RU"/>
        </w:rPr>
        <w:t xml:space="preserve"> </w:t>
      </w:r>
      <w:r>
        <w:rPr>
          <w:lang w:val="ru-RU"/>
        </w:rPr>
        <w:t>Соединенного Королевства Великобритании и Северной Ирландии</w:t>
      </w:r>
      <w:r w:rsidRPr="004F5436">
        <w:rPr>
          <w:lang w:val="ru-RU"/>
        </w:rPr>
        <w:t xml:space="preserve"> (</w:t>
      </w:r>
      <w:r w:rsidRPr="009051A8">
        <w:t>CCPR</w:t>
      </w:r>
      <w:r w:rsidRPr="004F5436">
        <w:rPr>
          <w:lang w:val="ru-RU"/>
        </w:rPr>
        <w:t>/</w:t>
      </w:r>
      <w:r w:rsidRPr="009051A8">
        <w:t>C</w:t>
      </w:r>
      <w:r w:rsidRPr="004F5436">
        <w:rPr>
          <w:lang w:val="ru-RU"/>
        </w:rPr>
        <w:t>/</w:t>
      </w:r>
      <w:r w:rsidRPr="009051A8">
        <w:t>GBR</w:t>
      </w:r>
      <w:r w:rsidRPr="004F5436">
        <w:rPr>
          <w:lang w:val="ru-RU"/>
        </w:rPr>
        <w:t>/</w:t>
      </w:r>
      <w:r w:rsidRPr="009051A8">
        <w:t>CO</w:t>
      </w:r>
      <w:r w:rsidRPr="004F5436">
        <w:rPr>
          <w:lang w:val="ru-RU"/>
        </w:rPr>
        <w:t>/6).</w:t>
      </w:r>
    </w:p>
  </w:footnote>
  <w:footnote w:id="111">
    <w:p w:rsidR="006B12F3" w:rsidRPr="00337962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Там</w:t>
      </w:r>
      <w:r w:rsidRPr="00337962">
        <w:rPr>
          <w:lang w:val="ru-RU"/>
        </w:rPr>
        <w:t xml:space="preserve"> </w:t>
      </w:r>
      <w:r>
        <w:rPr>
          <w:lang w:val="ru-RU"/>
        </w:rPr>
        <w:t>же</w:t>
      </w:r>
      <w:r w:rsidRPr="00337962">
        <w:rPr>
          <w:lang w:val="ru-RU"/>
        </w:rPr>
        <w:t>.</w:t>
      </w:r>
    </w:p>
  </w:footnote>
  <w:footnote w:id="112">
    <w:p w:rsidR="006B12F3" w:rsidRPr="00337962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Там</w:t>
      </w:r>
      <w:r w:rsidRPr="00337962">
        <w:rPr>
          <w:lang w:val="ru-RU"/>
        </w:rPr>
        <w:t xml:space="preserve"> </w:t>
      </w:r>
      <w:r>
        <w:rPr>
          <w:lang w:val="ru-RU"/>
        </w:rPr>
        <w:t>же</w:t>
      </w:r>
      <w:r w:rsidRPr="00337962">
        <w:rPr>
          <w:lang w:val="ru-RU"/>
        </w:rPr>
        <w:t>.</w:t>
      </w:r>
    </w:p>
  </w:footnote>
  <w:footnote w:id="113">
    <w:p w:rsidR="006B12F3" w:rsidRPr="00D30FBA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Заключительные</w:t>
      </w:r>
      <w:r w:rsidRPr="00CA499D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A499D">
        <w:rPr>
          <w:lang w:val="ru-RU"/>
        </w:rPr>
        <w:t xml:space="preserve"> </w:t>
      </w:r>
      <w:r>
        <w:rPr>
          <w:lang w:val="ru-RU"/>
        </w:rPr>
        <w:t>в</w:t>
      </w:r>
      <w:r w:rsidRPr="00CA499D">
        <w:rPr>
          <w:lang w:val="ru-RU"/>
        </w:rPr>
        <w:t xml:space="preserve"> </w:t>
      </w:r>
      <w:r>
        <w:rPr>
          <w:lang w:val="ru-RU"/>
        </w:rPr>
        <w:t>отношении</w:t>
      </w:r>
      <w:r w:rsidRPr="00CA499D">
        <w:rPr>
          <w:lang w:val="ru-RU"/>
        </w:rPr>
        <w:t xml:space="preserve"> </w:t>
      </w:r>
      <w:r>
        <w:rPr>
          <w:lang w:val="ru-RU"/>
        </w:rPr>
        <w:t>Италии</w:t>
      </w:r>
      <w:r w:rsidRPr="00CA499D">
        <w:rPr>
          <w:lang w:val="ru-RU"/>
        </w:rPr>
        <w:t xml:space="preserve"> (</w:t>
      </w:r>
      <w:r w:rsidRPr="009051A8">
        <w:t>CCPR</w:t>
      </w:r>
      <w:r w:rsidRPr="00CA499D">
        <w:rPr>
          <w:lang w:val="ru-RU"/>
        </w:rPr>
        <w:t>/</w:t>
      </w:r>
      <w:r w:rsidRPr="009051A8">
        <w:t>C</w:t>
      </w:r>
      <w:r w:rsidRPr="00CA499D">
        <w:rPr>
          <w:lang w:val="ru-RU"/>
        </w:rPr>
        <w:t>/</w:t>
      </w:r>
      <w:r w:rsidRPr="009051A8">
        <w:t>ITA</w:t>
      </w:r>
      <w:r w:rsidRPr="00CA499D">
        <w:rPr>
          <w:lang w:val="ru-RU"/>
        </w:rPr>
        <w:t>/</w:t>
      </w:r>
      <w:r w:rsidRPr="009051A8">
        <w:t>CO</w:t>
      </w:r>
      <w:r w:rsidRPr="00CA499D">
        <w:rPr>
          <w:lang w:val="ru-RU"/>
        </w:rPr>
        <w:t xml:space="preserve">/5); </w:t>
      </w:r>
      <w:r>
        <w:rPr>
          <w:lang w:val="ru-RU"/>
        </w:rPr>
        <w:t>заключительные</w:t>
      </w:r>
      <w:r w:rsidRPr="004F5436">
        <w:rPr>
          <w:lang w:val="ru-RU"/>
        </w:rPr>
        <w:t xml:space="preserve"> </w:t>
      </w:r>
      <w:r>
        <w:rPr>
          <w:lang w:val="ru-RU"/>
        </w:rPr>
        <w:t>замечания</w:t>
      </w:r>
      <w:r w:rsidRPr="004F5436">
        <w:rPr>
          <w:lang w:val="ru-RU"/>
        </w:rPr>
        <w:t xml:space="preserve"> </w:t>
      </w:r>
      <w:r>
        <w:rPr>
          <w:lang w:val="ru-RU"/>
        </w:rPr>
        <w:t>в</w:t>
      </w:r>
      <w:r w:rsidRPr="004F5436">
        <w:rPr>
          <w:lang w:val="ru-RU"/>
        </w:rPr>
        <w:t xml:space="preserve"> </w:t>
      </w:r>
      <w:r>
        <w:rPr>
          <w:lang w:val="ru-RU"/>
        </w:rPr>
        <w:t>отношении</w:t>
      </w:r>
      <w:r w:rsidRPr="00CA499D">
        <w:rPr>
          <w:lang w:val="ru-RU"/>
        </w:rPr>
        <w:t xml:space="preserve"> </w:t>
      </w:r>
      <w:r>
        <w:rPr>
          <w:lang w:val="ru-RU"/>
        </w:rPr>
        <w:t xml:space="preserve">бывшей югославской Республики Македония </w:t>
      </w:r>
      <w:r w:rsidRPr="00CA499D">
        <w:rPr>
          <w:lang w:val="ru-RU"/>
        </w:rPr>
        <w:t>(</w:t>
      </w:r>
      <w:r w:rsidRPr="009051A8">
        <w:t>CCPR</w:t>
      </w:r>
      <w:r w:rsidRPr="00CA499D">
        <w:rPr>
          <w:lang w:val="ru-RU"/>
        </w:rPr>
        <w:t>/</w:t>
      </w:r>
      <w:r w:rsidRPr="009051A8">
        <w:t>C</w:t>
      </w:r>
      <w:r w:rsidRPr="00CA499D">
        <w:rPr>
          <w:lang w:val="ru-RU"/>
        </w:rPr>
        <w:t>/</w:t>
      </w:r>
      <w:r w:rsidRPr="009051A8">
        <w:t>MKD</w:t>
      </w:r>
      <w:r w:rsidRPr="00CA499D">
        <w:rPr>
          <w:lang w:val="ru-RU"/>
        </w:rPr>
        <w:t>/</w:t>
      </w:r>
      <w:r w:rsidRPr="009051A8">
        <w:t>CO</w:t>
      </w:r>
      <w:r w:rsidRPr="00CA499D">
        <w:rPr>
          <w:lang w:val="ru-RU"/>
        </w:rPr>
        <w:t>/2).</w:t>
      </w:r>
    </w:p>
  </w:footnote>
  <w:footnote w:id="114">
    <w:p w:rsidR="006B12F3" w:rsidRPr="005F28CC" w:rsidRDefault="006B12F3" w:rsidP="008F3A81">
      <w:pPr>
        <w:pStyle w:val="FootnoteText"/>
        <w:rPr>
          <w:szCs w:val="18"/>
          <w:lang w:val="ru-RU"/>
        </w:rPr>
      </w:pPr>
      <w:r>
        <w:rPr>
          <w:szCs w:val="18"/>
          <w:lang w:val="ru-RU"/>
        </w:rPr>
        <w:tab/>
      </w:r>
      <w:r w:rsidRPr="005F28CC">
        <w:rPr>
          <w:rStyle w:val="FootnoteReference"/>
          <w:szCs w:val="18"/>
        </w:rPr>
        <w:footnoteRef/>
      </w:r>
      <w:r>
        <w:rPr>
          <w:szCs w:val="18"/>
          <w:lang w:val="ru-RU"/>
        </w:rPr>
        <w:tab/>
      </w:r>
      <w:r w:rsidRPr="005F28CC">
        <w:rPr>
          <w:szCs w:val="18"/>
          <w:lang w:val="ru-RU"/>
        </w:rPr>
        <w:t xml:space="preserve">См. сообщение № 909/2000, </w:t>
      </w:r>
      <w:r w:rsidRPr="005F28CC">
        <w:rPr>
          <w:i/>
          <w:iCs/>
          <w:szCs w:val="18"/>
          <w:lang w:val="ru-RU"/>
        </w:rPr>
        <w:t>Канканамге против Шри-Ланки,</w:t>
      </w:r>
      <w:r w:rsidRPr="005F28CC">
        <w:rPr>
          <w:iCs/>
          <w:szCs w:val="18"/>
          <w:lang w:val="ru-RU"/>
        </w:rPr>
        <w:t xml:space="preserve"> </w:t>
      </w:r>
      <w:r>
        <w:rPr>
          <w:iCs/>
          <w:szCs w:val="18"/>
          <w:lang w:val="ru-RU"/>
        </w:rPr>
        <w:t>Соображения приняты 27 июля 2004 года.</w:t>
      </w:r>
    </w:p>
  </w:footnote>
  <w:footnote w:id="115">
    <w:p w:rsidR="006B12F3" w:rsidRPr="00D30FBA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Заключительные</w:t>
      </w:r>
      <w:r w:rsidRPr="00CA499D">
        <w:rPr>
          <w:lang w:val="ru-RU"/>
        </w:rPr>
        <w:t xml:space="preserve"> </w:t>
      </w:r>
      <w:r>
        <w:rPr>
          <w:lang w:val="ru-RU"/>
        </w:rPr>
        <w:t>замечания</w:t>
      </w:r>
      <w:r w:rsidRPr="00CA499D">
        <w:rPr>
          <w:lang w:val="ru-RU"/>
        </w:rPr>
        <w:t xml:space="preserve"> </w:t>
      </w:r>
      <w:r>
        <w:rPr>
          <w:lang w:val="ru-RU"/>
        </w:rPr>
        <w:t>в</w:t>
      </w:r>
      <w:r w:rsidRPr="00CA499D">
        <w:rPr>
          <w:lang w:val="ru-RU"/>
        </w:rPr>
        <w:t xml:space="preserve"> </w:t>
      </w:r>
      <w:r>
        <w:rPr>
          <w:lang w:val="ru-RU"/>
        </w:rPr>
        <w:t>отношении Соединенного Королевства Великобритании и Северной Ирландии − Владения Короны (Джерси, Гернси и остров Мэн)</w:t>
      </w:r>
      <w:r w:rsidRPr="00D30FBA">
        <w:rPr>
          <w:lang w:val="ru-RU"/>
        </w:rPr>
        <w:t xml:space="preserve"> (</w:t>
      </w:r>
      <w:r w:rsidRPr="009051A8">
        <w:t>CCPR</w:t>
      </w:r>
      <w:r w:rsidRPr="00D30FBA">
        <w:rPr>
          <w:lang w:val="ru-RU"/>
        </w:rPr>
        <w:t>/</w:t>
      </w:r>
      <w:r w:rsidRPr="009051A8">
        <w:t>C</w:t>
      </w:r>
      <w:r w:rsidRPr="00D30FBA">
        <w:rPr>
          <w:lang w:val="ru-RU"/>
        </w:rPr>
        <w:t>/79/</w:t>
      </w:r>
      <w:r w:rsidRPr="009051A8">
        <w:t>Add</w:t>
      </w:r>
      <w:r w:rsidRPr="00D30FBA">
        <w:rPr>
          <w:lang w:val="ru-RU"/>
        </w:rPr>
        <w:t>.119)</w:t>
      </w:r>
      <w:r>
        <w:rPr>
          <w:lang w:val="ru-RU"/>
        </w:rPr>
        <w:t xml:space="preserve">. См. также заключительные замечания в отношении Кувейта </w:t>
      </w:r>
      <w:r w:rsidRPr="00D30FBA">
        <w:rPr>
          <w:lang w:val="ru-RU"/>
        </w:rPr>
        <w:t>(</w:t>
      </w:r>
      <w:r w:rsidRPr="009051A8">
        <w:t>CCPR</w:t>
      </w:r>
      <w:r w:rsidRPr="00D30FBA">
        <w:rPr>
          <w:lang w:val="ru-RU"/>
        </w:rPr>
        <w:t>/</w:t>
      </w:r>
      <w:r w:rsidRPr="009051A8">
        <w:t>CO</w:t>
      </w:r>
      <w:r w:rsidRPr="00D30FBA">
        <w:rPr>
          <w:lang w:val="ru-RU"/>
        </w:rPr>
        <w:t>/69/</w:t>
      </w:r>
      <w:r w:rsidRPr="009051A8">
        <w:t>KWT</w:t>
      </w:r>
      <w:r w:rsidRPr="00D30FBA">
        <w:rPr>
          <w:lang w:val="ru-RU"/>
        </w:rPr>
        <w:t>)</w:t>
      </w:r>
      <w:r>
        <w:rPr>
          <w:lang w:val="ru-RU"/>
        </w:rPr>
        <w:t xml:space="preserve">. </w:t>
      </w:r>
    </w:p>
  </w:footnote>
  <w:footnote w:id="116">
    <w:p w:rsidR="006B12F3" w:rsidRPr="002F62CE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Так</w:t>
      </w:r>
      <w:r w:rsidRPr="002F62CE">
        <w:rPr>
          <w:lang w:val="ru-RU"/>
        </w:rPr>
        <w:t xml:space="preserve"> </w:t>
      </w:r>
      <w:r>
        <w:rPr>
          <w:lang w:val="ru-RU"/>
        </w:rPr>
        <w:t>называемые</w:t>
      </w:r>
      <w:r w:rsidRPr="002F62CE">
        <w:rPr>
          <w:lang w:val="ru-RU"/>
        </w:rPr>
        <w:t xml:space="preserve"> </w:t>
      </w:r>
      <w:r>
        <w:rPr>
          <w:lang w:val="ru-RU"/>
        </w:rPr>
        <w:t>"законы о сохранении памяти", см. сообщение №</w:t>
      </w:r>
      <w:r w:rsidRPr="002F62CE">
        <w:rPr>
          <w:lang w:val="ru-RU"/>
        </w:rPr>
        <w:t xml:space="preserve"> 550/93, </w:t>
      </w:r>
      <w:r>
        <w:rPr>
          <w:i/>
          <w:lang w:val="ru-RU"/>
        </w:rPr>
        <w:t>Фориссон против Франции</w:t>
      </w:r>
      <w:r w:rsidRPr="002F62CE">
        <w:rPr>
          <w:lang w:val="ru-RU"/>
        </w:rPr>
        <w:t xml:space="preserve">. </w:t>
      </w:r>
      <w:r>
        <w:rPr>
          <w:lang w:val="ru-RU"/>
        </w:rPr>
        <w:t xml:space="preserve">См. также заключительные замечания в отношении Венгрии </w:t>
      </w:r>
      <w:r w:rsidRPr="002F62CE">
        <w:rPr>
          <w:lang w:val="ru-RU"/>
        </w:rPr>
        <w:t>(</w:t>
      </w:r>
      <w:r w:rsidRPr="009051A8">
        <w:t>CCPR</w:t>
      </w:r>
      <w:r w:rsidRPr="002F62CE">
        <w:rPr>
          <w:lang w:val="ru-RU"/>
        </w:rPr>
        <w:t>/</w:t>
      </w:r>
      <w:r w:rsidRPr="009051A8">
        <w:t>C</w:t>
      </w:r>
      <w:r w:rsidRPr="002F62CE">
        <w:rPr>
          <w:lang w:val="ru-RU"/>
        </w:rPr>
        <w:t>/</w:t>
      </w:r>
      <w:r w:rsidRPr="009051A8">
        <w:t>HUN</w:t>
      </w:r>
      <w:r w:rsidRPr="002F62CE">
        <w:rPr>
          <w:lang w:val="ru-RU"/>
        </w:rPr>
        <w:t>/</w:t>
      </w:r>
      <w:r w:rsidRPr="009051A8">
        <w:t>CO</w:t>
      </w:r>
      <w:r w:rsidRPr="002F62CE">
        <w:rPr>
          <w:lang w:val="ru-RU"/>
        </w:rPr>
        <w:t>/5)</w:t>
      </w:r>
      <w:r>
        <w:rPr>
          <w:lang w:val="ru-RU"/>
        </w:rPr>
        <w:t xml:space="preserve">, пункт </w:t>
      </w:r>
      <w:r w:rsidRPr="002F62CE">
        <w:rPr>
          <w:lang w:val="ru-RU"/>
        </w:rPr>
        <w:t>19.</w:t>
      </w:r>
    </w:p>
  </w:footnote>
  <w:footnote w:id="117">
    <w:p w:rsidR="006B12F3" w:rsidRPr="007F0B03" w:rsidRDefault="006B12F3" w:rsidP="008F3A81">
      <w:pPr>
        <w:pStyle w:val="FootnoteText"/>
        <w:rPr>
          <w:lang w:val="ru-RU"/>
        </w:rPr>
      </w:pPr>
      <w:r>
        <w:rPr>
          <w:lang w:val="ru-RU"/>
        </w:rPr>
        <w:tab/>
      </w:r>
      <w:r>
        <w:rPr>
          <w:rStyle w:val="FootnoteReference"/>
        </w:rPr>
        <w:footnoteRef/>
      </w:r>
      <w:r>
        <w:rPr>
          <w:lang w:val="ru-RU"/>
        </w:rPr>
        <w:tab/>
        <w:t>См. сообщение № 736</w:t>
      </w:r>
      <w:r w:rsidRPr="007F0B03">
        <w:rPr>
          <w:lang w:val="ru-RU"/>
        </w:rPr>
        <w:t>/1997</w:t>
      </w:r>
      <w:r>
        <w:rPr>
          <w:lang w:val="ru-RU"/>
        </w:rPr>
        <w:t xml:space="preserve">, </w:t>
      </w:r>
      <w:r w:rsidRPr="007F0B03">
        <w:rPr>
          <w:i/>
          <w:lang w:val="ru-RU"/>
        </w:rPr>
        <w:t>Росс против Канады</w:t>
      </w:r>
      <w:r>
        <w:rPr>
          <w:lang w:val="ru-RU"/>
        </w:rPr>
        <w:t xml:space="preserve">, Соображения приняты 18 октября 2000 года.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F3" w:rsidRPr="005F0588" w:rsidRDefault="006B12F3">
    <w:pPr>
      <w:pStyle w:val="Header"/>
      <w:rPr>
        <w:lang w:val="en-US"/>
      </w:rPr>
    </w:pPr>
    <w:r>
      <w:rPr>
        <w:lang w:val="en-US"/>
      </w:rPr>
      <w:t>CCPR/C/GC/34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F3" w:rsidRPr="005F0588" w:rsidRDefault="006B12F3">
    <w:pPr>
      <w:pStyle w:val="Header"/>
      <w:rPr>
        <w:lang w:val="en-US"/>
      </w:rPr>
    </w:pPr>
    <w:r>
      <w:rPr>
        <w:lang w:val="en-US"/>
      </w:rPr>
      <w:tab/>
      <w:t>CCPR/C/GC/34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A2F2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3668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EE73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ACCA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2A49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F62B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5EAD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82C5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0CBD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6A47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61C2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676EF3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78310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1"/>
  </w:num>
  <w:num w:numId="19">
    <w:abstractNumId w:val="11"/>
  </w:num>
  <w:num w:numId="20">
    <w:abstractNumId w:val="14"/>
  </w:num>
  <w:num w:numId="21">
    <w:abstractNumId w:val="11"/>
  </w:num>
  <w:num w:numId="22">
    <w:abstractNumId w:val="13"/>
  </w:num>
  <w:num w:numId="2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dit="forms" w:enforcement="0"/>
  <w:defaultTabStop w:val="567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E94"/>
    <w:rsid w:val="00000CE5"/>
    <w:rsid w:val="000033D8"/>
    <w:rsid w:val="00005C1C"/>
    <w:rsid w:val="00016553"/>
    <w:rsid w:val="000233B3"/>
    <w:rsid w:val="00023E9E"/>
    <w:rsid w:val="00026B0C"/>
    <w:rsid w:val="0003638E"/>
    <w:rsid w:val="00036FF2"/>
    <w:rsid w:val="0004010A"/>
    <w:rsid w:val="00043D88"/>
    <w:rsid w:val="00046E4D"/>
    <w:rsid w:val="0006401A"/>
    <w:rsid w:val="00072C27"/>
    <w:rsid w:val="00086182"/>
    <w:rsid w:val="00090891"/>
    <w:rsid w:val="00092E62"/>
    <w:rsid w:val="00097975"/>
    <w:rsid w:val="000A3DDF"/>
    <w:rsid w:val="000A60A0"/>
    <w:rsid w:val="000B5459"/>
    <w:rsid w:val="000C3688"/>
    <w:rsid w:val="000D6863"/>
    <w:rsid w:val="000F410F"/>
    <w:rsid w:val="0010281B"/>
    <w:rsid w:val="00117AEE"/>
    <w:rsid w:val="001463F7"/>
    <w:rsid w:val="0015769C"/>
    <w:rsid w:val="001755A4"/>
    <w:rsid w:val="00180752"/>
    <w:rsid w:val="00185076"/>
    <w:rsid w:val="0018543C"/>
    <w:rsid w:val="00190231"/>
    <w:rsid w:val="00192ABD"/>
    <w:rsid w:val="001A3DB6"/>
    <w:rsid w:val="001A75D5"/>
    <w:rsid w:val="001A7D40"/>
    <w:rsid w:val="001D07F7"/>
    <w:rsid w:val="001D7B8F"/>
    <w:rsid w:val="001E48EE"/>
    <w:rsid w:val="001F2D04"/>
    <w:rsid w:val="0020059C"/>
    <w:rsid w:val="002019BD"/>
    <w:rsid w:val="00232D42"/>
    <w:rsid w:val="00237334"/>
    <w:rsid w:val="002444F4"/>
    <w:rsid w:val="002629A0"/>
    <w:rsid w:val="00271934"/>
    <w:rsid w:val="0028492B"/>
    <w:rsid w:val="00291C8F"/>
    <w:rsid w:val="002C5036"/>
    <w:rsid w:val="002C6A71"/>
    <w:rsid w:val="002C6D5F"/>
    <w:rsid w:val="002D15EA"/>
    <w:rsid w:val="002D6C07"/>
    <w:rsid w:val="002E0CE6"/>
    <w:rsid w:val="002E1163"/>
    <w:rsid w:val="002E43F3"/>
    <w:rsid w:val="003215F5"/>
    <w:rsid w:val="00332891"/>
    <w:rsid w:val="00341C9D"/>
    <w:rsid w:val="00356BB2"/>
    <w:rsid w:val="00360477"/>
    <w:rsid w:val="00367FC9"/>
    <w:rsid w:val="003711A1"/>
    <w:rsid w:val="00372123"/>
    <w:rsid w:val="00374C13"/>
    <w:rsid w:val="00374C39"/>
    <w:rsid w:val="00386581"/>
    <w:rsid w:val="00387100"/>
    <w:rsid w:val="003951D3"/>
    <w:rsid w:val="003978C6"/>
    <w:rsid w:val="003B40A9"/>
    <w:rsid w:val="003C016E"/>
    <w:rsid w:val="003D5EBD"/>
    <w:rsid w:val="003F330D"/>
    <w:rsid w:val="00401CE0"/>
    <w:rsid w:val="00403234"/>
    <w:rsid w:val="00407AC3"/>
    <w:rsid w:val="00414586"/>
    <w:rsid w:val="00415059"/>
    <w:rsid w:val="00424FDD"/>
    <w:rsid w:val="0043033D"/>
    <w:rsid w:val="00435FE4"/>
    <w:rsid w:val="00457634"/>
    <w:rsid w:val="00474F42"/>
    <w:rsid w:val="0048244D"/>
    <w:rsid w:val="004A0DE8"/>
    <w:rsid w:val="004A3271"/>
    <w:rsid w:val="004A4CB7"/>
    <w:rsid w:val="004A57B5"/>
    <w:rsid w:val="004B0BEE"/>
    <w:rsid w:val="004B19DA"/>
    <w:rsid w:val="004C2A53"/>
    <w:rsid w:val="004C3B35"/>
    <w:rsid w:val="004C43EC"/>
    <w:rsid w:val="004E6729"/>
    <w:rsid w:val="004F0E47"/>
    <w:rsid w:val="0051339C"/>
    <w:rsid w:val="0051412F"/>
    <w:rsid w:val="00522B6F"/>
    <w:rsid w:val="0052430E"/>
    <w:rsid w:val="005276AD"/>
    <w:rsid w:val="00540A9A"/>
    <w:rsid w:val="00543522"/>
    <w:rsid w:val="00545680"/>
    <w:rsid w:val="0056618E"/>
    <w:rsid w:val="00576F59"/>
    <w:rsid w:val="00577A34"/>
    <w:rsid w:val="00580AAD"/>
    <w:rsid w:val="00593A04"/>
    <w:rsid w:val="005A6D5A"/>
    <w:rsid w:val="005B1B28"/>
    <w:rsid w:val="005B7D51"/>
    <w:rsid w:val="005B7F35"/>
    <w:rsid w:val="005C2081"/>
    <w:rsid w:val="005C678A"/>
    <w:rsid w:val="005D346D"/>
    <w:rsid w:val="005E74AB"/>
    <w:rsid w:val="00606A3E"/>
    <w:rsid w:val="006115AA"/>
    <w:rsid w:val="006120AE"/>
    <w:rsid w:val="00635E86"/>
    <w:rsid w:val="00636A37"/>
    <w:rsid w:val="006501A5"/>
    <w:rsid w:val="006567B2"/>
    <w:rsid w:val="00662ADE"/>
    <w:rsid w:val="00664106"/>
    <w:rsid w:val="006756F1"/>
    <w:rsid w:val="00677773"/>
    <w:rsid w:val="006805FC"/>
    <w:rsid w:val="006909AD"/>
    <w:rsid w:val="006926C7"/>
    <w:rsid w:val="00694C37"/>
    <w:rsid w:val="006A1BEB"/>
    <w:rsid w:val="006A401C"/>
    <w:rsid w:val="006A7C6E"/>
    <w:rsid w:val="006B12F3"/>
    <w:rsid w:val="006B23D9"/>
    <w:rsid w:val="006C1814"/>
    <w:rsid w:val="006C2F45"/>
    <w:rsid w:val="006C361A"/>
    <w:rsid w:val="006C5657"/>
    <w:rsid w:val="006D5E4E"/>
    <w:rsid w:val="006E6860"/>
    <w:rsid w:val="006E7183"/>
    <w:rsid w:val="006F5FBF"/>
    <w:rsid w:val="0070327E"/>
    <w:rsid w:val="00707B5F"/>
    <w:rsid w:val="00735602"/>
    <w:rsid w:val="0075279B"/>
    <w:rsid w:val="00753748"/>
    <w:rsid w:val="00762446"/>
    <w:rsid w:val="00781ACB"/>
    <w:rsid w:val="007A79EB"/>
    <w:rsid w:val="007B0D22"/>
    <w:rsid w:val="007B44C9"/>
    <w:rsid w:val="007D4CA0"/>
    <w:rsid w:val="007D7A23"/>
    <w:rsid w:val="007E38C3"/>
    <w:rsid w:val="007E549E"/>
    <w:rsid w:val="007E71C9"/>
    <w:rsid w:val="007F7553"/>
    <w:rsid w:val="0080755E"/>
    <w:rsid w:val="008120D4"/>
    <w:rsid w:val="008139A5"/>
    <w:rsid w:val="0081682E"/>
    <w:rsid w:val="00817F73"/>
    <w:rsid w:val="0082228E"/>
    <w:rsid w:val="00822453"/>
    <w:rsid w:val="00827B3D"/>
    <w:rsid w:val="00830402"/>
    <w:rsid w:val="008305D7"/>
    <w:rsid w:val="00834887"/>
    <w:rsid w:val="00842FED"/>
    <w:rsid w:val="008455CF"/>
    <w:rsid w:val="0084613B"/>
    <w:rsid w:val="00847689"/>
    <w:rsid w:val="00861C52"/>
    <w:rsid w:val="008727A1"/>
    <w:rsid w:val="00886B0F"/>
    <w:rsid w:val="00887A27"/>
    <w:rsid w:val="00891C08"/>
    <w:rsid w:val="008A3879"/>
    <w:rsid w:val="008A5FA8"/>
    <w:rsid w:val="008A7575"/>
    <w:rsid w:val="008B3201"/>
    <w:rsid w:val="008B5F47"/>
    <w:rsid w:val="008B7FC9"/>
    <w:rsid w:val="008C7B87"/>
    <w:rsid w:val="008D6A08"/>
    <w:rsid w:val="008D6A7A"/>
    <w:rsid w:val="008E3E87"/>
    <w:rsid w:val="008E7F13"/>
    <w:rsid w:val="008F3185"/>
    <w:rsid w:val="008F3A81"/>
    <w:rsid w:val="00915B0A"/>
    <w:rsid w:val="00926904"/>
    <w:rsid w:val="009372F0"/>
    <w:rsid w:val="00942382"/>
    <w:rsid w:val="00955022"/>
    <w:rsid w:val="00957B4D"/>
    <w:rsid w:val="00964EEA"/>
    <w:rsid w:val="00980C86"/>
    <w:rsid w:val="009B1D9B"/>
    <w:rsid w:val="009B4074"/>
    <w:rsid w:val="009C30BB"/>
    <w:rsid w:val="009C60BE"/>
    <w:rsid w:val="009E6279"/>
    <w:rsid w:val="009F00A6"/>
    <w:rsid w:val="009F56A7"/>
    <w:rsid w:val="009F5B05"/>
    <w:rsid w:val="00A026CA"/>
    <w:rsid w:val="00A07232"/>
    <w:rsid w:val="00A14800"/>
    <w:rsid w:val="00A156DE"/>
    <w:rsid w:val="00A157ED"/>
    <w:rsid w:val="00A2446A"/>
    <w:rsid w:val="00A257E9"/>
    <w:rsid w:val="00A4025D"/>
    <w:rsid w:val="00A43EE9"/>
    <w:rsid w:val="00A64208"/>
    <w:rsid w:val="00A800D1"/>
    <w:rsid w:val="00A92699"/>
    <w:rsid w:val="00AA6D34"/>
    <w:rsid w:val="00AB5BF0"/>
    <w:rsid w:val="00AC1C95"/>
    <w:rsid w:val="00AC2CCB"/>
    <w:rsid w:val="00AC443A"/>
    <w:rsid w:val="00AE4C1D"/>
    <w:rsid w:val="00AE60E2"/>
    <w:rsid w:val="00B0169F"/>
    <w:rsid w:val="00B05F21"/>
    <w:rsid w:val="00B14EA9"/>
    <w:rsid w:val="00B15F6C"/>
    <w:rsid w:val="00B27A22"/>
    <w:rsid w:val="00B30A3C"/>
    <w:rsid w:val="00B74F97"/>
    <w:rsid w:val="00B81305"/>
    <w:rsid w:val="00B86E94"/>
    <w:rsid w:val="00BB17DC"/>
    <w:rsid w:val="00BB1AF9"/>
    <w:rsid w:val="00BB4C4A"/>
    <w:rsid w:val="00BC7F12"/>
    <w:rsid w:val="00BD3CAE"/>
    <w:rsid w:val="00BD5F3C"/>
    <w:rsid w:val="00C07C0F"/>
    <w:rsid w:val="00C145C4"/>
    <w:rsid w:val="00C20D2F"/>
    <w:rsid w:val="00C2131B"/>
    <w:rsid w:val="00C30781"/>
    <w:rsid w:val="00C37AF8"/>
    <w:rsid w:val="00C37C79"/>
    <w:rsid w:val="00C41A0B"/>
    <w:rsid w:val="00C41BBC"/>
    <w:rsid w:val="00C51419"/>
    <w:rsid w:val="00C54056"/>
    <w:rsid w:val="00C543FE"/>
    <w:rsid w:val="00C663A3"/>
    <w:rsid w:val="00C70BD3"/>
    <w:rsid w:val="00C75CB2"/>
    <w:rsid w:val="00C90723"/>
    <w:rsid w:val="00C90D5C"/>
    <w:rsid w:val="00CA609E"/>
    <w:rsid w:val="00CA6F06"/>
    <w:rsid w:val="00CA7DA4"/>
    <w:rsid w:val="00CB31FB"/>
    <w:rsid w:val="00CE3D6F"/>
    <w:rsid w:val="00CE6B4A"/>
    <w:rsid w:val="00CE79A5"/>
    <w:rsid w:val="00CF0042"/>
    <w:rsid w:val="00CF01CE"/>
    <w:rsid w:val="00CF262F"/>
    <w:rsid w:val="00D025D5"/>
    <w:rsid w:val="00D26B13"/>
    <w:rsid w:val="00D26CC1"/>
    <w:rsid w:val="00D30662"/>
    <w:rsid w:val="00D32A0B"/>
    <w:rsid w:val="00D6045D"/>
    <w:rsid w:val="00D6236B"/>
    <w:rsid w:val="00D76358"/>
    <w:rsid w:val="00D809D1"/>
    <w:rsid w:val="00D81556"/>
    <w:rsid w:val="00D84ECF"/>
    <w:rsid w:val="00DA2851"/>
    <w:rsid w:val="00DA2B7C"/>
    <w:rsid w:val="00DA5686"/>
    <w:rsid w:val="00DB2FC0"/>
    <w:rsid w:val="00DF18FA"/>
    <w:rsid w:val="00DF49CA"/>
    <w:rsid w:val="00DF775B"/>
    <w:rsid w:val="00E007F3"/>
    <w:rsid w:val="00E00DEA"/>
    <w:rsid w:val="00E06EF0"/>
    <w:rsid w:val="00E11679"/>
    <w:rsid w:val="00E307D1"/>
    <w:rsid w:val="00E36FB8"/>
    <w:rsid w:val="00E46A04"/>
    <w:rsid w:val="00E46D20"/>
    <w:rsid w:val="00E717F3"/>
    <w:rsid w:val="00E72C5E"/>
    <w:rsid w:val="00E73451"/>
    <w:rsid w:val="00E7489F"/>
    <w:rsid w:val="00E74925"/>
    <w:rsid w:val="00E75147"/>
    <w:rsid w:val="00E8167D"/>
    <w:rsid w:val="00E907E9"/>
    <w:rsid w:val="00E96BE7"/>
    <w:rsid w:val="00EA2CD0"/>
    <w:rsid w:val="00EC0044"/>
    <w:rsid w:val="00EC6B9F"/>
    <w:rsid w:val="00ED063A"/>
    <w:rsid w:val="00EE516D"/>
    <w:rsid w:val="00EF4D1B"/>
    <w:rsid w:val="00EF7295"/>
    <w:rsid w:val="00F069D1"/>
    <w:rsid w:val="00F1503D"/>
    <w:rsid w:val="00F22712"/>
    <w:rsid w:val="00F257EC"/>
    <w:rsid w:val="00F275F5"/>
    <w:rsid w:val="00F33188"/>
    <w:rsid w:val="00F35BDE"/>
    <w:rsid w:val="00F52A0E"/>
    <w:rsid w:val="00F5316F"/>
    <w:rsid w:val="00F71F63"/>
    <w:rsid w:val="00F87506"/>
    <w:rsid w:val="00F92C41"/>
    <w:rsid w:val="00FA5522"/>
    <w:rsid w:val="00FA6E4A"/>
    <w:rsid w:val="00FB13F5"/>
    <w:rsid w:val="00FB2B35"/>
    <w:rsid w:val="00FC4AE1"/>
    <w:rsid w:val="00FD07CD"/>
    <w:rsid w:val="00FD78A3"/>
    <w:rsid w:val="00FE58A4"/>
    <w:rsid w:val="00FF6C8A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773"/>
    <w:pPr>
      <w:spacing w:line="240" w:lineRule="atLeast"/>
    </w:pPr>
    <w:rPr>
      <w:spacing w:val="4"/>
      <w:w w:val="103"/>
      <w:kern w:val="14"/>
      <w:lang w:val="ru-RU" w:eastAsia="en-US"/>
    </w:rPr>
  </w:style>
  <w:style w:type="paragraph" w:styleId="Heading1">
    <w:name w:val="heading 1"/>
    <w:aliases w:val="Table_GR"/>
    <w:basedOn w:val="Normal"/>
    <w:next w:val="Normal"/>
    <w:qFormat/>
    <w:rsid w:val="007E71C9"/>
    <w:pPr>
      <w:keepNext/>
      <w:tabs>
        <w:tab w:val="left" w:pos="567"/>
      </w:tabs>
      <w:spacing w:line="240" w:lineRule="auto"/>
      <w:jc w:val="both"/>
      <w:outlineLvl w:val="0"/>
    </w:pPr>
    <w:rPr>
      <w:rFonts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qFormat/>
    <w:rsid w:val="007E71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71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71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71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71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E71C9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71C9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71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7E71C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rsid w:val="007E71C9"/>
  </w:style>
  <w:style w:type="paragraph" w:customStyle="1" w:styleId="SLGR">
    <w:name w:val="__S_L_GR"/>
    <w:basedOn w:val="Normal"/>
    <w:next w:val="Normal"/>
    <w:rsid w:val="00E73451"/>
    <w:pPr>
      <w:keepNext/>
      <w:keepLines/>
      <w:suppressAutoHyphens/>
      <w:spacing w:before="240" w:after="240" w:line="580" w:lineRule="exact"/>
      <w:ind w:left="1134" w:right="1134"/>
    </w:pPr>
    <w:rPr>
      <w:b/>
      <w:sz w:val="56"/>
      <w:lang w:eastAsia="ru-RU"/>
    </w:rPr>
  </w:style>
  <w:style w:type="paragraph" w:customStyle="1" w:styleId="SMGR">
    <w:name w:val="__S_M_GR"/>
    <w:basedOn w:val="Normal"/>
    <w:next w:val="Normal"/>
    <w:rsid w:val="00E7345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SSGR">
    <w:name w:val="__S_S_GR"/>
    <w:basedOn w:val="Normal"/>
    <w:next w:val="Normal"/>
    <w:rsid w:val="00E73451"/>
    <w:pPr>
      <w:keepNext/>
      <w:keepLines/>
      <w:suppressAutoHyphens/>
      <w:spacing w:before="240" w:after="240" w:line="300" w:lineRule="exact"/>
      <w:ind w:left="1134" w:right="1134"/>
    </w:pPr>
    <w:rPr>
      <w:b/>
      <w:sz w:val="28"/>
      <w:lang w:eastAsia="ru-RU"/>
    </w:rPr>
  </w:style>
  <w:style w:type="paragraph" w:customStyle="1" w:styleId="XLargeGR">
    <w:name w:val="__XLarge_GR"/>
    <w:basedOn w:val="Normal"/>
    <w:next w:val="Normal"/>
    <w:rsid w:val="00BB4C4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Bullet1GR">
    <w:name w:val="_Bullet 1_GR"/>
    <w:basedOn w:val="Normal"/>
    <w:rsid w:val="00BB4C4A"/>
    <w:pPr>
      <w:numPr>
        <w:numId w:val="20"/>
      </w:numPr>
      <w:spacing w:after="120"/>
      <w:ind w:right="1134"/>
      <w:jc w:val="both"/>
    </w:pPr>
    <w:rPr>
      <w:lang w:eastAsia="ru-RU"/>
    </w:rPr>
  </w:style>
  <w:style w:type="paragraph" w:customStyle="1" w:styleId="Bullet2GR">
    <w:name w:val="_Bullet 2_GR"/>
    <w:basedOn w:val="Normal"/>
    <w:rsid w:val="00BB4C4A"/>
    <w:pPr>
      <w:numPr>
        <w:numId w:val="21"/>
      </w:numPr>
      <w:spacing w:after="120"/>
      <w:ind w:right="1134"/>
      <w:jc w:val="both"/>
    </w:pPr>
    <w:rPr>
      <w:lang w:eastAsia="ru-RU"/>
    </w:rPr>
  </w:style>
  <w:style w:type="numbering" w:styleId="111111">
    <w:name w:val="Outline List 2"/>
    <w:basedOn w:val="NoList"/>
    <w:semiHidden/>
    <w:rsid w:val="007E71C9"/>
    <w:pPr>
      <w:numPr>
        <w:numId w:val="4"/>
      </w:numPr>
    </w:pPr>
  </w:style>
  <w:style w:type="numbering" w:styleId="1ai">
    <w:name w:val="Outline List 1"/>
    <w:basedOn w:val="NoList"/>
    <w:semiHidden/>
    <w:rsid w:val="007E71C9"/>
    <w:pPr>
      <w:numPr>
        <w:numId w:val="5"/>
      </w:numPr>
    </w:pPr>
  </w:style>
  <w:style w:type="paragraph" w:styleId="HTMLAddress">
    <w:name w:val="HTML Address"/>
    <w:basedOn w:val="Normal"/>
    <w:semiHidden/>
    <w:rsid w:val="007E71C9"/>
    <w:rPr>
      <w:i/>
      <w:iCs/>
    </w:rPr>
  </w:style>
  <w:style w:type="paragraph" w:styleId="EnvelopeAddress">
    <w:name w:val="envelope address"/>
    <w:basedOn w:val="Normal"/>
    <w:semiHidden/>
    <w:rsid w:val="007E71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Date">
    <w:name w:val="Date"/>
    <w:basedOn w:val="Normal"/>
    <w:next w:val="Normal"/>
    <w:semiHidden/>
    <w:rsid w:val="007E71C9"/>
  </w:style>
  <w:style w:type="paragraph" w:styleId="ListBullet5">
    <w:name w:val="List Bullet 5"/>
    <w:basedOn w:val="Normal"/>
    <w:semiHidden/>
    <w:rsid w:val="007E71C9"/>
    <w:pPr>
      <w:numPr>
        <w:numId w:val="10"/>
      </w:numPr>
    </w:pPr>
  </w:style>
  <w:style w:type="table" w:styleId="TableGrid">
    <w:name w:val="Table Grid"/>
    <w:basedOn w:val="TableNormal"/>
    <w:semiHidden/>
    <w:rsid w:val="0084613B"/>
    <w:pPr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aliases w:val="6_GR"/>
    <w:basedOn w:val="Normal"/>
    <w:next w:val="Normal"/>
    <w:rsid w:val="00C145C4"/>
    <w:pPr>
      <w:pBdr>
        <w:bottom w:val="single" w:sz="4" w:space="4" w:color="auto"/>
      </w:pBdr>
      <w:tabs>
        <w:tab w:val="right" w:pos="9639"/>
      </w:tabs>
      <w:suppressAutoHyphens/>
      <w:spacing w:line="240" w:lineRule="auto"/>
    </w:pPr>
    <w:rPr>
      <w:b/>
      <w:spacing w:val="0"/>
      <w:w w:val="100"/>
      <w:kern w:val="0"/>
      <w:sz w:val="18"/>
      <w:lang w:val="en-GB" w:eastAsia="ru-RU"/>
    </w:rPr>
  </w:style>
  <w:style w:type="character" w:styleId="EndnoteReference">
    <w:name w:val="endnote reference"/>
    <w:aliases w:val="1_GR"/>
    <w:basedOn w:val="FootnoteReference"/>
    <w:rsid w:val="008120D4"/>
    <w:rPr>
      <w:rFonts w:ascii="Times New Roman" w:hAnsi="Times New Roman"/>
      <w:dstrike w:val="0"/>
      <w:sz w:val="18"/>
      <w:vertAlign w:val="superscript"/>
    </w:rPr>
  </w:style>
  <w:style w:type="paragraph" w:styleId="Footer">
    <w:name w:val="footer"/>
    <w:aliases w:val="3_GR"/>
    <w:basedOn w:val="Normal"/>
    <w:rsid w:val="00E8167D"/>
    <w:pPr>
      <w:tabs>
        <w:tab w:val="right" w:pos="9639"/>
      </w:tabs>
      <w:suppressAutoHyphens/>
      <w:spacing w:line="240" w:lineRule="auto"/>
    </w:pPr>
    <w:rPr>
      <w:spacing w:val="0"/>
      <w:w w:val="100"/>
      <w:kern w:val="0"/>
      <w:sz w:val="16"/>
      <w:lang w:val="en-GB" w:eastAsia="ru-RU"/>
    </w:rPr>
  </w:style>
  <w:style w:type="character" w:styleId="PageNumber">
    <w:name w:val="page number"/>
    <w:aliases w:val="7_GR"/>
    <w:rsid w:val="00E72C5E"/>
    <w:rPr>
      <w:rFonts w:ascii="Times New Roman" w:hAnsi="Times New Roman"/>
      <w:b/>
      <w:sz w:val="18"/>
    </w:rPr>
  </w:style>
  <w:style w:type="paragraph" w:styleId="EndnoteText">
    <w:name w:val="endnote text"/>
    <w:aliases w:val="2_GR"/>
    <w:basedOn w:val="FootnoteText"/>
    <w:rsid w:val="00D84ECF"/>
  </w:style>
  <w:style w:type="paragraph" w:styleId="FootnoteText">
    <w:name w:val="footnote text"/>
    <w:aliases w:val="5_GR,5_G"/>
    <w:basedOn w:val="Normal"/>
    <w:link w:val="FootnoteTextChar"/>
    <w:rsid w:val="00D84ECF"/>
    <w:pPr>
      <w:tabs>
        <w:tab w:val="right" w:pos="1021"/>
      </w:tabs>
      <w:suppressAutoHyphens/>
      <w:spacing w:line="220" w:lineRule="exact"/>
      <w:ind w:left="1134" w:right="1134" w:hanging="1134"/>
    </w:pPr>
    <w:rPr>
      <w:spacing w:val="5"/>
      <w:w w:val="104"/>
      <w:sz w:val="18"/>
      <w:lang w:val="en-GB" w:eastAsia="ru-RU"/>
    </w:rPr>
  </w:style>
  <w:style w:type="paragraph" w:customStyle="1" w:styleId="ParaNoGR">
    <w:name w:val="_ParaNo._GR"/>
    <w:basedOn w:val="Normal"/>
    <w:next w:val="Normal"/>
    <w:rsid w:val="00E72C5E"/>
    <w:pPr>
      <w:numPr>
        <w:numId w:val="23"/>
      </w:numPr>
      <w:tabs>
        <w:tab w:val="left" w:pos="567"/>
      </w:tabs>
      <w:spacing w:after="120"/>
      <w:ind w:right="1134"/>
      <w:jc w:val="both"/>
      <w:outlineLvl w:val="0"/>
    </w:pPr>
    <w:rPr>
      <w:lang w:eastAsia="ru-RU"/>
    </w:rPr>
  </w:style>
  <w:style w:type="character" w:styleId="FootnoteReference">
    <w:name w:val="footnote reference"/>
    <w:aliases w:val="4_GR,4_G"/>
    <w:rsid w:val="00BB17DC"/>
    <w:rPr>
      <w:rFonts w:ascii="Times New Roman" w:hAnsi="Times New Roman"/>
      <w:dstrike w:val="0"/>
      <w:sz w:val="18"/>
      <w:vertAlign w:val="superscript"/>
    </w:rPr>
  </w:style>
  <w:style w:type="character" w:styleId="HTMLAcronym">
    <w:name w:val="HTML Acronym"/>
    <w:basedOn w:val="DefaultParagraphFont"/>
    <w:semiHidden/>
    <w:rsid w:val="007E71C9"/>
  </w:style>
  <w:style w:type="table" w:styleId="TableWeb1">
    <w:name w:val="Table Web 1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noteTextChar">
    <w:name w:val="Footnote Text Char"/>
    <w:aliases w:val="5_GR Char,5_G Char"/>
    <w:link w:val="FootnoteText"/>
    <w:semiHidden/>
    <w:rsid w:val="008F3A81"/>
    <w:rPr>
      <w:spacing w:val="5"/>
      <w:w w:val="104"/>
      <w:kern w:val="14"/>
      <w:sz w:val="18"/>
      <w:lang w:val="en-GB" w:eastAsia="ru-RU" w:bidi="ar-SA"/>
    </w:rPr>
  </w:style>
  <w:style w:type="character" w:styleId="Emphasis">
    <w:name w:val="Emphasis"/>
    <w:qFormat/>
    <w:rsid w:val="007E71C9"/>
    <w:rPr>
      <w:i/>
      <w:iCs/>
    </w:rPr>
  </w:style>
  <w:style w:type="paragraph" w:styleId="NoteHeading">
    <w:name w:val="Note Heading"/>
    <w:basedOn w:val="Normal"/>
    <w:next w:val="Normal"/>
    <w:semiHidden/>
    <w:rsid w:val="007E71C9"/>
  </w:style>
  <w:style w:type="table" w:styleId="TableElegant">
    <w:name w:val="Table Elegant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7E71C9"/>
    <w:rPr>
      <w:rFonts w:ascii="Courier New" w:hAnsi="Courier New" w:cs="Courier New"/>
      <w:sz w:val="20"/>
      <w:szCs w:val="20"/>
    </w:rPr>
  </w:style>
  <w:style w:type="table" w:styleId="TableClassic1">
    <w:name w:val="Table Classic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E71C9"/>
    <w:pPr>
      <w:spacing w:after="120" w:line="20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semiHidden/>
    <w:rsid w:val="007E71C9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E71C9"/>
  </w:style>
  <w:style w:type="paragraph" w:styleId="BodyTextFirstIndent">
    <w:name w:val="Body Text First Indent"/>
    <w:basedOn w:val="BodyText"/>
    <w:semiHidden/>
    <w:rsid w:val="007E71C9"/>
    <w:pPr>
      <w:ind w:firstLine="210"/>
    </w:pPr>
  </w:style>
  <w:style w:type="paragraph" w:styleId="BodyTextIndent">
    <w:name w:val="Body Text Indent"/>
    <w:basedOn w:val="Normal"/>
    <w:semiHidden/>
    <w:rsid w:val="007E71C9"/>
    <w:pPr>
      <w:ind w:left="283"/>
    </w:pPr>
  </w:style>
  <w:style w:type="paragraph" w:styleId="BodyTextFirstIndent2">
    <w:name w:val="Body Text First Indent 2"/>
    <w:basedOn w:val="BodyTextIndent"/>
    <w:semiHidden/>
    <w:rsid w:val="007E71C9"/>
    <w:pPr>
      <w:ind w:firstLine="210"/>
    </w:pPr>
  </w:style>
  <w:style w:type="paragraph" w:styleId="ListBullet">
    <w:name w:val="List Bullet"/>
    <w:basedOn w:val="Normal"/>
    <w:semiHidden/>
    <w:rsid w:val="007E71C9"/>
    <w:pPr>
      <w:numPr>
        <w:numId w:val="6"/>
      </w:numPr>
    </w:pPr>
  </w:style>
  <w:style w:type="paragraph" w:styleId="ListBullet2">
    <w:name w:val="List Bullet 2"/>
    <w:basedOn w:val="Normal"/>
    <w:semiHidden/>
    <w:rsid w:val="007E71C9"/>
    <w:pPr>
      <w:numPr>
        <w:numId w:val="7"/>
      </w:numPr>
    </w:pPr>
  </w:style>
  <w:style w:type="paragraph" w:styleId="ListBullet3">
    <w:name w:val="List Bullet 3"/>
    <w:basedOn w:val="Normal"/>
    <w:semiHidden/>
    <w:rsid w:val="007E71C9"/>
    <w:pPr>
      <w:numPr>
        <w:numId w:val="8"/>
      </w:numPr>
    </w:pPr>
  </w:style>
  <w:style w:type="paragraph" w:styleId="ListBullet4">
    <w:name w:val="List Bullet 4"/>
    <w:basedOn w:val="Normal"/>
    <w:semiHidden/>
    <w:rsid w:val="007E71C9"/>
    <w:pPr>
      <w:numPr>
        <w:numId w:val="9"/>
      </w:numPr>
    </w:pPr>
  </w:style>
  <w:style w:type="paragraph" w:styleId="Title">
    <w:name w:val="Title"/>
    <w:basedOn w:val="Normal"/>
    <w:qFormat/>
    <w:rsid w:val="007E71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7E71C9"/>
  </w:style>
  <w:style w:type="paragraph" w:styleId="ListNumber">
    <w:name w:val="List Number"/>
    <w:basedOn w:val="Normal"/>
    <w:semiHidden/>
    <w:rsid w:val="007E71C9"/>
    <w:pPr>
      <w:numPr>
        <w:numId w:val="11"/>
      </w:numPr>
    </w:pPr>
  </w:style>
  <w:style w:type="paragraph" w:styleId="ListNumber2">
    <w:name w:val="List Number 2"/>
    <w:basedOn w:val="Normal"/>
    <w:semiHidden/>
    <w:rsid w:val="007E71C9"/>
    <w:pPr>
      <w:numPr>
        <w:numId w:val="12"/>
      </w:numPr>
    </w:pPr>
  </w:style>
  <w:style w:type="paragraph" w:styleId="ListNumber3">
    <w:name w:val="List Number 3"/>
    <w:basedOn w:val="Normal"/>
    <w:semiHidden/>
    <w:rsid w:val="007E71C9"/>
    <w:pPr>
      <w:numPr>
        <w:numId w:val="13"/>
      </w:numPr>
    </w:pPr>
  </w:style>
  <w:style w:type="paragraph" w:styleId="ListNumber4">
    <w:name w:val="List Number 4"/>
    <w:basedOn w:val="Normal"/>
    <w:semiHidden/>
    <w:rsid w:val="007E71C9"/>
    <w:pPr>
      <w:numPr>
        <w:numId w:val="14"/>
      </w:numPr>
    </w:pPr>
  </w:style>
  <w:style w:type="paragraph" w:styleId="ListNumber5">
    <w:name w:val="List Number 5"/>
    <w:basedOn w:val="Normal"/>
    <w:semiHidden/>
    <w:rsid w:val="007E71C9"/>
    <w:pPr>
      <w:numPr>
        <w:numId w:val="15"/>
      </w:numPr>
    </w:pPr>
  </w:style>
  <w:style w:type="character" w:styleId="HTMLSample">
    <w:name w:val="HTML Sample"/>
    <w:semiHidden/>
    <w:rsid w:val="007E71C9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7E71C9"/>
    <w:rPr>
      <w:rFonts w:ascii="Arial" w:hAnsi="Arial" w:cs="Arial"/>
    </w:rPr>
  </w:style>
  <w:style w:type="table" w:styleId="Table3Deffects1">
    <w:name w:val="Table 3D effects 1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E71C9"/>
    <w:pPr>
      <w:spacing w:after="120" w:line="20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semiHidden/>
    <w:rsid w:val="007E71C9"/>
    <w:rPr>
      <w:sz w:val="24"/>
    </w:rPr>
  </w:style>
  <w:style w:type="paragraph" w:styleId="NormalIndent">
    <w:name w:val="Normal Indent"/>
    <w:basedOn w:val="Normal"/>
    <w:semiHidden/>
    <w:rsid w:val="007E71C9"/>
    <w:pPr>
      <w:ind w:left="567"/>
    </w:pPr>
  </w:style>
  <w:style w:type="character" w:styleId="HTMLDefinition">
    <w:name w:val="HTML Definition"/>
    <w:semiHidden/>
    <w:rsid w:val="007E71C9"/>
    <w:rPr>
      <w:i/>
      <w:iCs/>
    </w:rPr>
  </w:style>
  <w:style w:type="paragraph" w:styleId="BodyText2">
    <w:name w:val="Body Text 2"/>
    <w:basedOn w:val="Normal"/>
    <w:semiHidden/>
    <w:rsid w:val="007E71C9"/>
    <w:pPr>
      <w:spacing w:line="480" w:lineRule="auto"/>
    </w:pPr>
  </w:style>
  <w:style w:type="paragraph" w:styleId="BodyText3">
    <w:name w:val="Body Text 3"/>
    <w:basedOn w:val="Normal"/>
    <w:semiHidden/>
    <w:rsid w:val="007E71C9"/>
    <w:rPr>
      <w:sz w:val="16"/>
      <w:szCs w:val="16"/>
    </w:rPr>
  </w:style>
  <w:style w:type="paragraph" w:styleId="BodyTextIndent2">
    <w:name w:val="Body Text Indent 2"/>
    <w:basedOn w:val="Normal"/>
    <w:semiHidden/>
    <w:rsid w:val="007E71C9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7E71C9"/>
    <w:pPr>
      <w:ind w:left="283"/>
    </w:pPr>
    <w:rPr>
      <w:sz w:val="16"/>
      <w:szCs w:val="16"/>
    </w:rPr>
  </w:style>
  <w:style w:type="character" w:styleId="HTMLVariable">
    <w:name w:val="HTML Variable"/>
    <w:semiHidden/>
    <w:rsid w:val="007E71C9"/>
    <w:rPr>
      <w:i/>
      <w:iCs/>
    </w:rPr>
  </w:style>
  <w:style w:type="character" w:styleId="HTMLTypewriter">
    <w:name w:val="HTML Typewriter"/>
    <w:semiHidden/>
    <w:rsid w:val="007E71C9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7E71C9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Signature">
    <w:name w:val="Signature"/>
    <w:basedOn w:val="Normal"/>
    <w:semiHidden/>
    <w:rsid w:val="007E71C9"/>
    <w:pPr>
      <w:ind w:left="4252"/>
    </w:pPr>
  </w:style>
  <w:style w:type="paragraph" w:styleId="Salutation">
    <w:name w:val="Salutation"/>
    <w:basedOn w:val="Normal"/>
    <w:next w:val="Normal"/>
    <w:semiHidden/>
    <w:rsid w:val="007E71C9"/>
  </w:style>
  <w:style w:type="paragraph" w:styleId="ListContinue">
    <w:name w:val="List Continue"/>
    <w:basedOn w:val="Normal"/>
    <w:semiHidden/>
    <w:rsid w:val="007E71C9"/>
    <w:pPr>
      <w:ind w:left="283"/>
    </w:pPr>
  </w:style>
  <w:style w:type="paragraph" w:styleId="ListContinue2">
    <w:name w:val="List Continue 2"/>
    <w:basedOn w:val="Normal"/>
    <w:semiHidden/>
    <w:rsid w:val="007E71C9"/>
    <w:pPr>
      <w:ind w:left="566"/>
    </w:pPr>
  </w:style>
  <w:style w:type="paragraph" w:styleId="ListContinue3">
    <w:name w:val="List Continue 3"/>
    <w:basedOn w:val="Normal"/>
    <w:semiHidden/>
    <w:rsid w:val="007E71C9"/>
    <w:pPr>
      <w:ind w:left="849"/>
    </w:pPr>
  </w:style>
  <w:style w:type="paragraph" w:styleId="ListContinue4">
    <w:name w:val="List Continue 4"/>
    <w:basedOn w:val="Normal"/>
    <w:semiHidden/>
    <w:rsid w:val="007E71C9"/>
    <w:pPr>
      <w:ind w:left="1132"/>
    </w:pPr>
  </w:style>
  <w:style w:type="paragraph" w:styleId="ListContinue5">
    <w:name w:val="List Continue 5"/>
    <w:basedOn w:val="Normal"/>
    <w:semiHidden/>
    <w:rsid w:val="007E71C9"/>
    <w:pPr>
      <w:ind w:left="1415"/>
    </w:pPr>
  </w:style>
  <w:style w:type="character" w:styleId="FollowedHyperlink">
    <w:name w:val="FollowedHyperlink"/>
    <w:semiHidden/>
    <w:rsid w:val="007E71C9"/>
    <w:rPr>
      <w:color w:val="800080"/>
      <w:u w:val="single"/>
    </w:rPr>
  </w:style>
  <w:style w:type="table" w:styleId="TableSimple2">
    <w:name w:val="Table Simple 2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7E71C9"/>
    <w:pPr>
      <w:ind w:left="4252"/>
    </w:pPr>
  </w:style>
  <w:style w:type="table" w:styleId="TableGrid1">
    <w:name w:val="Table Grid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E71C9"/>
    <w:pPr>
      <w:spacing w:after="120" w:line="20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E71C9"/>
    <w:pPr>
      <w:spacing w:after="120" w:line="20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semiHidden/>
    <w:rsid w:val="007E71C9"/>
    <w:pPr>
      <w:ind w:left="283" w:hanging="283"/>
    </w:pPr>
  </w:style>
  <w:style w:type="paragraph" w:styleId="List2">
    <w:name w:val="List 2"/>
    <w:basedOn w:val="Normal"/>
    <w:semiHidden/>
    <w:rsid w:val="007E71C9"/>
    <w:pPr>
      <w:ind w:left="566" w:hanging="283"/>
    </w:pPr>
  </w:style>
  <w:style w:type="paragraph" w:styleId="List3">
    <w:name w:val="List 3"/>
    <w:basedOn w:val="Normal"/>
    <w:semiHidden/>
    <w:rsid w:val="007E71C9"/>
    <w:pPr>
      <w:ind w:left="849" w:hanging="283"/>
    </w:pPr>
  </w:style>
  <w:style w:type="paragraph" w:styleId="List4">
    <w:name w:val="List 4"/>
    <w:basedOn w:val="Normal"/>
    <w:semiHidden/>
    <w:rsid w:val="007E71C9"/>
    <w:pPr>
      <w:ind w:left="1132" w:hanging="283"/>
    </w:pPr>
  </w:style>
  <w:style w:type="paragraph" w:styleId="List5">
    <w:name w:val="List 5"/>
    <w:basedOn w:val="Normal"/>
    <w:semiHidden/>
    <w:rsid w:val="007E71C9"/>
    <w:pPr>
      <w:ind w:left="1415" w:hanging="283"/>
    </w:pPr>
  </w:style>
  <w:style w:type="paragraph" w:styleId="HTMLPreformatted">
    <w:name w:val="HTML Preformatted"/>
    <w:basedOn w:val="Normal"/>
    <w:semiHidden/>
    <w:rsid w:val="007E71C9"/>
    <w:rPr>
      <w:rFonts w:ascii="Courier New" w:hAnsi="Courier New" w:cs="Courier New"/>
    </w:rPr>
  </w:style>
  <w:style w:type="numbering" w:styleId="ArticleSection">
    <w:name w:val="Outline List 3"/>
    <w:basedOn w:val="NoList"/>
    <w:semiHidden/>
    <w:rsid w:val="007E71C9"/>
    <w:pPr>
      <w:numPr>
        <w:numId w:val="16"/>
      </w:numPr>
    </w:pPr>
  </w:style>
  <w:style w:type="table" w:styleId="TableColumns1">
    <w:name w:val="Table Columns 1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Strong">
    <w:name w:val="Strong"/>
    <w:qFormat/>
    <w:rsid w:val="007E71C9"/>
    <w:rPr>
      <w:b/>
      <w:bCs/>
    </w:rPr>
  </w:style>
  <w:style w:type="table" w:styleId="TableList1">
    <w:name w:val="Table List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E71C9"/>
    <w:pPr>
      <w:spacing w:after="120" w:line="20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1">
    <w:name w:val="Table Colorful 1"/>
    <w:basedOn w:val="TableNormal"/>
    <w:semiHidden/>
    <w:rsid w:val="007E71C9"/>
    <w:pPr>
      <w:spacing w:after="120" w:line="20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E71C9"/>
    <w:pPr>
      <w:spacing w:after="120" w:line="20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lockText">
    <w:name w:val="Block Text"/>
    <w:basedOn w:val="Normal"/>
    <w:semiHidden/>
    <w:rsid w:val="007E71C9"/>
    <w:pPr>
      <w:ind w:left="1440" w:right="1440"/>
    </w:pPr>
  </w:style>
  <w:style w:type="character" w:styleId="HTMLCite">
    <w:name w:val="HTML Cite"/>
    <w:semiHidden/>
    <w:rsid w:val="007E71C9"/>
    <w:rPr>
      <w:i/>
      <w:iCs/>
    </w:rPr>
  </w:style>
  <w:style w:type="paragraph" w:styleId="E-mailSignature">
    <w:name w:val="E-mail Signature"/>
    <w:basedOn w:val="Normal"/>
    <w:semiHidden/>
    <w:rsid w:val="007E71C9"/>
  </w:style>
  <w:style w:type="character" w:styleId="Hyperlink">
    <w:name w:val="Hyperlink"/>
    <w:semiHidden/>
    <w:rsid w:val="007E71C9"/>
    <w:rPr>
      <w:color w:val="000000"/>
      <w:u w:val="single"/>
    </w:rPr>
  </w:style>
  <w:style w:type="paragraph" w:customStyle="1" w:styleId="H1GR">
    <w:name w:val="_ H_1_GR"/>
    <w:basedOn w:val="Normal"/>
    <w:next w:val="Normal"/>
    <w:rsid w:val="00762446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  <w:lang w:eastAsia="ru-RU"/>
    </w:rPr>
  </w:style>
  <w:style w:type="paragraph" w:customStyle="1" w:styleId="H23GR">
    <w:name w:val="_ H_2/3_GR"/>
    <w:basedOn w:val="Normal"/>
    <w:next w:val="Normal"/>
    <w:rsid w:val="00D809D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  <w:lang w:eastAsia="ru-RU"/>
    </w:rPr>
  </w:style>
  <w:style w:type="paragraph" w:customStyle="1" w:styleId="H4GR">
    <w:name w:val="_ H_4_GR"/>
    <w:basedOn w:val="Normal"/>
    <w:next w:val="Normal"/>
    <w:rsid w:val="006120AE"/>
    <w:pPr>
      <w:keepNext/>
      <w:keepLines/>
      <w:tabs>
        <w:tab w:val="right" w:pos="851"/>
      </w:tabs>
      <w:suppressAutoHyphens/>
      <w:spacing w:before="40" w:after="120" w:line="240" w:lineRule="auto"/>
      <w:outlineLvl w:val="3"/>
    </w:pPr>
    <w:rPr>
      <w:i/>
      <w:spacing w:val="3"/>
      <w:lang w:eastAsia="ru-RU"/>
    </w:rPr>
  </w:style>
  <w:style w:type="paragraph" w:customStyle="1" w:styleId="H56GR">
    <w:name w:val="_ H_5/6_GR"/>
    <w:basedOn w:val="Normal"/>
    <w:next w:val="Normal"/>
    <w:rsid w:val="00E7345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lang w:eastAsia="ru-RU"/>
    </w:rPr>
  </w:style>
  <w:style w:type="table" w:styleId="TableProfessional">
    <w:name w:val="Table Professional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ChGR">
    <w:name w:val="_ H _Ch_GR"/>
    <w:basedOn w:val="Normal"/>
    <w:next w:val="Normal"/>
    <w:rsid w:val="00A026C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  <w:lang w:eastAsia="ru-RU"/>
    </w:rPr>
  </w:style>
  <w:style w:type="paragraph" w:customStyle="1" w:styleId="HMGR">
    <w:name w:val="_ H __M_GR"/>
    <w:basedOn w:val="Normal"/>
    <w:next w:val="Normal"/>
    <w:rsid w:val="00F275F5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  <w:lang w:eastAsia="ru-RU"/>
    </w:rPr>
  </w:style>
  <w:style w:type="paragraph" w:styleId="TOAHeading">
    <w:name w:val="toa heading"/>
    <w:basedOn w:val="Normal"/>
    <w:next w:val="Normal"/>
    <w:semiHidden/>
    <w:rsid w:val="007E71C9"/>
    <w:pPr>
      <w:spacing w:before="120"/>
    </w:pPr>
    <w:rPr>
      <w:rFonts w:ascii="Arial" w:hAnsi="Arial" w:cs="Arial"/>
      <w:b/>
      <w:bCs/>
      <w:sz w:val="24"/>
    </w:rPr>
  </w:style>
  <w:style w:type="paragraph" w:customStyle="1" w:styleId="SingleTxtGR">
    <w:name w:val="_ Single Txt_GR"/>
    <w:basedOn w:val="Normal"/>
    <w:rsid w:val="00677773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</w:style>
  <w:style w:type="paragraph" w:styleId="PlainText">
    <w:name w:val="Plain Text"/>
    <w:basedOn w:val="Normal"/>
    <w:semiHidden/>
    <w:rsid w:val="007E71C9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7E71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styleId="CommentReference">
    <w:name w:val="annotation reference"/>
    <w:semiHidden/>
    <w:rsid w:val="007E71C9"/>
    <w:rPr>
      <w:sz w:val="16"/>
      <w:szCs w:val="16"/>
    </w:rPr>
  </w:style>
  <w:style w:type="table" w:customStyle="1" w:styleId="TabNum">
    <w:name w:val="_TabNum"/>
    <w:basedOn w:val="TableNormal"/>
    <w:rsid w:val="00086182"/>
    <w:pPr>
      <w:spacing w:before="40" w:after="40" w:line="220" w:lineRule="exact"/>
      <w:jc w:val="right"/>
    </w:pPr>
    <w:rPr>
      <w:sz w:val="18"/>
    </w:r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086182"/>
    <w:pPr>
      <w:spacing w:before="40" w:after="120" w:line="240" w:lineRule="atLeast"/>
    </w:p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FORMATNY\CCP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CCPR</Template>
  <TotalTime>1</TotalTime>
  <Pages>16</Pages>
  <Words>5553</Words>
  <Characters>31655</Characters>
  <Application>Microsoft Office Word</Application>
  <DocSecurity>4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Объединенных Наций</vt:lpstr>
    </vt:vector>
  </TitlesOfParts>
  <Company>CSD</Company>
  <LinksUpToDate>false</LinksUpToDate>
  <CharactersWithSpaces>37134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Объединенных Наций</dc:title>
  <dc:subject/>
  <dc:creator>Zolotoukhina</dc:creator>
  <cp:keywords/>
  <dc:description/>
  <cp:lastModifiedBy>Maykovskaya</cp:lastModifiedBy>
  <cp:revision>2</cp:revision>
  <cp:lastPrinted>1601-01-01T00:00:00Z</cp:lastPrinted>
  <dcterms:created xsi:type="dcterms:W3CDTF">2011-11-01T14:55:00Z</dcterms:created>
  <dcterms:modified xsi:type="dcterms:W3CDTF">2011-11-01T14:55:00Z</dcterms:modified>
</cp:coreProperties>
</file>