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33" w:rsidRDefault="001F3233">
      <w:pPr>
        <w:rPr>
          <w:sz w:val="2"/>
        </w:rPr>
      </w:pPr>
    </w:p>
    <w:tbl>
      <w:tblPr>
        <w:tblW w:w="5002" w:type="pct"/>
        <w:tblCellMar>
          <w:left w:w="0" w:type="dxa"/>
          <w:right w:w="0" w:type="dxa"/>
        </w:tblCellMar>
        <w:tblLook w:val="0000" w:firstRow="0" w:lastRow="0" w:firstColumn="0" w:lastColumn="0" w:noHBand="0" w:noVBand="0"/>
      </w:tblPr>
      <w:tblGrid>
        <w:gridCol w:w="1807"/>
        <w:gridCol w:w="3414"/>
        <w:gridCol w:w="1436"/>
        <w:gridCol w:w="2700"/>
      </w:tblGrid>
      <w:tr w:rsidR="001F3233">
        <w:tblPrEx>
          <w:tblCellMar>
            <w:top w:w="0" w:type="dxa"/>
            <w:bottom w:w="0" w:type="dxa"/>
          </w:tblCellMar>
        </w:tblPrEx>
        <w:tc>
          <w:tcPr>
            <w:tcW w:w="5230" w:type="dxa"/>
            <w:gridSpan w:val="2"/>
            <w:tcBorders>
              <w:bottom w:val="single" w:sz="4" w:space="0" w:color="auto"/>
            </w:tcBorders>
          </w:tcPr>
          <w:p w:rsidR="001F3233" w:rsidRDefault="001F3233">
            <w:pPr>
              <w:rPr>
                <w:rFonts w:ascii="Arial" w:hAnsi="Arial" w:cs="Arial"/>
                <w:b/>
                <w:sz w:val="28"/>
              </w:rPr>
            </w:pPr>
            <w:r>
              <w:rPr>
                <w:rFonts w:ascii="Arial" w:hAnsi="Arial" w:cs="Arial"/>
                <w:b/>
                <w:sz w:val="28"/>
              </w:rPr>
              <w:t xml:space="preserve">ОРГАНИЗАЦИЯ </w:t>
            </w:r>
            <w:r>
              <w:rPr>
                <w:rFonts w:ascii="Arial" w:hAnsi="Arial" w:cs="Arial"/>
                <w:b/>
                <w:sz w:val="28"/>
              </w:rPr>
              <w:br/>
              <w:t>ОБЪЕДИНЕННЫХ НАЦИЙ</w:t>
            </w:r>
          </w:p>
        </w:tc>
        <w:tc>
          <w:tcPr>
            <w:tcW w:w="1440" w:type="dxa"/>
            <w:tcBorders>
              <w:bottom w:val="single" w:sz="4" w:space="0" w:color="auto"/>
            </w:tcBorders>
          </w:tcPr>
          <w:p w:rsidR="001F3233" w:rsidRDefault="001F3233"/>
        </w:tc>
        <w:tc>
          <w:tcPr>
            <w:tcW w:w="2703" w:type="dxa"/>
            <w:tcBorders>
              <w:bottom w:val="single" w:sz="4" w:space="0" w:color="auto"/>
            </w:tcBorders>
          </w:tcPr>
          <w:p w:rsidR="001F3233" w:rsidRDefault="001F3233">
            <w:pPr>
              <w:jc w:val="right"/>
              <w:rPr>
                <w:rFonts w:ascii="Arial" w:hAnsi="Arial" w:cs="Arial"/>
                <w:iCs/>
              </w:rPr>
            </w:pPr>
            <w:r>
              <w:rPr>
                <w:rFonts w:ascii="Arial" w:hAnsi="Arial" w:cs="Arial"/>
                <w:b/>
                <w:iCs/>
                <w:sz w:val="72"/>
              </w:rPr>
              <w:t>CERD</w:t>
            </w:r>
          </w:p>
        </w:tc>
      </w:tr>
      <w:tr w:rsidR="001F3233">
        <w:tblPrEx>
          <w:tblCellMar>
            <w:top w:w="0" w:type="dxa"/>
            <w:bottom w:w="0" w:type="dxa"/>
          </w:tblCellMar>
        </w:tblPrEx>
        <w:tc>
          <w:tcPr>
            <w:tcW w:w="1809" w:type="dxa"/>
            <w:tcBorders>
              <w:top w:val="single" w:sz="4" w:space="0" w:color="auto"/>
              <w:bottom w:val="single" w:sz="24" w:space="0" w:color="auto"/>
            </w:tcBorders>
          </w:tcPr>
          <w:p w:rsidR="001F3233" w:rsidRDefault="001F3233">
            <w:pPr>
              <w:spacing w:before="240"/>
              <w:ind w:left="113"/>
            </w:pPr>
            <w:r>
              <w:rPr>
                <w:sz w:val="20"/>
              </w:rPr>
              <w:object w:dxaOrig="1206" w:dyaOrig="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9.5pt" o:ole="" fillcolor="window">
                  <v:imagedata r:id="rId7" o:title=""/>
                </v:shape>
                <o:OLEObject Type="Embed" ProgID="Word.Picture.8" ShapeID="_x0000_i1025" DrawAspect="Content" ObjectID="_1395485898" r:id="rId8"/>
              </w:object>
            </w:r>
          </w:p>
        </w:tc>
        <w:tc>
          <w:tcPr>
            <w:tcW w:w="4861" w:type="dxa"/>
            <w:gridSpan w:val="2"/>
            <w:tcBorders>
              <w:top w:val="single" w:sz="4" w:space="0" w:color="auto"/>
              <w:bottom w:val="single" w:sz="24" w:space="0" w:color="auto"/>
            </w:tcBorders>
          </w:tcPr>
          <w:p w:rsidR="001F3233" w:rsidRPr="00321B65" w:rsidRDefault="001F3233">
            <w:pPr>
              <w:spacing w:before="240" w:after="240"/>
              <w:rPr>
                <w:b/>
                <w:bCs/>
                <w:iCs/>
                <w:sz w:val="28"/>
                <w:lang w:val="ru-RU"/>
              </w:rPr>
            </w:pPr>
            <w:r w:rsidRPr="00321B65">
              <w:rPr>
                <w:b/>
                <w:bCs/>
                <w:iCs/>
                <w:sz w:val="28"/>
                <w:lang w:val="ru-RU"/>
              </w:rPr>
              <w:t xml:space="preserve">МЕЖДУНАРОДНАЯ </w:t>
            </w:r>
            <w:r w:rsidRPr="00321B65">
              <w:rPr>
                <w:b/>
                <w:bCs/>
                <w:iCs/>
                <w:sz w:val="28"/>
                <w:lang w:val="ru-RU"/>
              </w:rPr>
              <w:br/>
              <w:t xml:space="preserve">КОНВЕНЦИЯ </w:t>
            </w:r>
            <w:r w:rsidRPr="00321B65">
              <w:rPr>
                <w:b/>
                <w:bCs/>
                <w:iCs/>
                <w:sz w:val="28"/>
                <w:lang w:val="ru-RU"/>
              </w:rPr>
              <w:br/>
              <w:t xml:space="preserve">О ЛИКВИДАЦИИ </w:t>
            </w:r>
            <w:r w:rsidRPr="00321B65">
              <w:rPr>
                <w:b/>
                <w:bCs/>
                <w:iCs/>
                <w:sz w:val="28"/>
                <w:lang w:val="ru-RU"/>
              </w:rPr>
              <w:br/>
              <w:t xml:space="preserve">ВСЕХ ФОРМ </w:t>
            </w:r>
            <w:r w:rsidRPr="00321B65">
              <w:rPr>
                <w:b/>
                <w:bCs/>
                <w:iCs/>
                <w:sz w:val="28"/>
                <w:lang w:val="ru-RU"/>
              </w:rPr>
              <w:br/>
              <w:t>РАСОВОЙ ДИСКРИМИНАЦИИ</w:t>
            </w:r>
          </w:p>
        </w:tc>
        <w:tc>
          <w:tcPr>
            <w:tcW w:w="2703" w:type="dxa"/>
            <w:tcBorders>
              <w:top w:val="single" w:sz="4" w:space="0" w:color="auto"/>
              <w:bottom w:val="single" w:sz="24" w:space="0" w:color="auto"/>
            </w:tcBorders>
          </w:tcPr>
          <w:p w:rsidR="001F3233" w:rsidRPr="00321B65" w:rsidRDefault="001F3233">
            <w:pPr>
              <w:rPr>
                <w:lang w:val="ru-RU"/>
              </w:rPr>
            </w:pPr>
          </w:p>
          <w:p w:rsidR="001F3233" w:rsidRPr="00321B65" w:rsidRDefault="001F3233">
            <w:pPr>
              <w:spacing w:line="216" w:lineRule="auto"/>
              <w:rPr>
                <w:lang w:val="en-US"/>
              </w:rPr>
            </w:pPr>
            <w:r>
              <w:rPr>
                <w:lang w:val="en-US"/>
              </w:rPr>
              <w:t>Distr</w:t>
            </w:r>
            <w:r w:rsidRPr="00321B65">
              <w:rPr>
                <w:lang w:val="en-US"/>
              </w:rPr>
              <w:t>.</w:t>
            </w:r>
            <w:r w:rsidRPr="00321B65">
              <w:rPr>
                <w:lang w:val="en-US"/>
              </w:rPr>
              <w:br/>
              <w:t>GENERAL</w:t>
            </w:r>
          </w:p>
          <w:p w:rsidR="001F3233" w:rsidRPr="00321B65" w:rsidRDefault="001F3233">
            <w:pPr>
              <w:pStyle w:val="a"/>
              <w:widowControl/>
              <w:tabs>
                <w:tab w:val="left" w:pos="567"/>
                <w:tab w:val="left" w:pos="1134"/>
                <w:tab w:val="left" w:pos="1701"/>
                <w:tab w:val="left" w:pos="2268"/>
                <w:tab w:val="left" w:pos="6237"/>
              </w:tabs>
              <w:spacing w:line="216" w:lineRule="auto"/>
              <w:rPr>
                <w:rFonts w:ascii="Times New Roman" w:hAnsi="Times New Roman"/>
                <w:snapToGrid/>
                <w:lang w:val="en-US"/>
              </w:rPr>
            </w:pPr>
          </w:p>
          <w:p w:rsidR="001F3233" w:rsidRDefault="001F3233">
            <w:pPr>
              <w:spacing w:line="216" w:lineRule="auto"/>
              <w:rPr>
                <w:lang w:val="en-US"/>
              </w:rPr>
            </w:pPr>
            <w:r>
              <w:fldChar w:fldCharType="begin"/>
            </w:r>
            <w:r>
              <w:rPr>
                <w:lang w:val="en-US"/>
              </w:rPr>
              <w:instrText xml:space="preserve"> FILLIN "Symbol" \* MERGEFORMAT </w:instrText>
            </w:r>
            <w:r>
              <w:fldChar w:fldCharType="separate"/>
            </w:r>
            <w:r>
              <w:rPr>
                <w:lang w:val="en-US"/>
              </w:rPr>
              <w:t>CERD/C/SR.18</w:t>
            </w:r>
            <w:r>
              <w:fldChar w:fldCharType="end"/>
            </w:r>
            <w:r>
              <w:rPr>
                <w:lang w:val="en-US"/>
              </w:rPr>
              <w:t>75</w:t>
            </w:r>
          </w:p>
          <w:p w:rsidR="00321B65" w:rsidRPr="00321B65" w:rsidRDefault="005A6DC8" w:rsidP="00FD314D">
            <w:pPr>
              <w:spacing w:line="216" w:lineRule="auto"/>
              <w:rPr>
                <w:lang w:val="en-US"/>
              </w:rPr>
            </w:pPr>
            <w:r>
              <w:rPr>
                <w:lang w:val="en-US"/>
              </w:rPr>
              <w:t>10</w:t>
            </w:r>
            <w:r w:rsidR="00321B65" w:rsidRPr="00321B65">
              <w:rPr>
                <w:lang w:val="en-US"/>
              </w:rPr>
              <w:t xml:space="preserve"> </w:t>
            </w:r>
            <w:r w:rsidR="00FD314D">
              <w:rPr>
                <w:lang w:val="en-US"/>
              </w:rPr>
              <w:t>March</w:t>
            </w:r>
            <w:r w:rsidR="00321B65" w:rsidRPr="00321B65">
              <w:rPr>
                <w:lang w:val="en-US"/>
              </w:rPr>
              <w:t xml:space="preserve"> 2009</w:t>
            </w:r>
          </w:p>
          <w:p w:rsidR="001F3233" w:rsidRDefault="001F3233">
            <w:pPr>
              <w:spacing w:line="216" w:lineRule="auto"/>
              <w:rPr>
                <w:lang w:val="en-US"/>
              </w:rPr>
            </w:pPr>
          </w:p>
          <w:p w:rsidR="001F3233" w:rsidRDefault="001F3233">
            <w:pPr>
              <w:spacing w:line="216" w:lineRule="auto"/>
              <w:rPr>
                <w:lang w:val="en-US"/>
              </w:rPr>
            </w:pPr>
            <w:r>
              <w:rPr>
                <w:lang w:val="en-US"/>
              </w:rPr>
              <w:t>RUSSIAN</w:t>
            </w:r>
          </w:p>
          <w:p w:rsidR="001F3233" w:rsidRDefault="001F3233">
            <w:pPr>
              <w:spacing w:line="216" w:lineRule="auto"/>
              <w:rPr>
                <w:sz w:val="22"/>
                <w:lang w:val="en-US"/>
              </w:rPr>
            </w:pPr>
            <w:r>
              <w:rPr>
                <w:lang w:val="en-US"/>
              </w:rPr>
              <w:t xml:space="preserve">Original:  </w:t>
            </w:r>
            <w:r>
              <w:t>FRENCH</w:t>
            </w:r>
          </w:p>
          <w:p w:rsidR="001F3233" w:rsidRDefault="001F3233">
            <w:pPr>
              <w:rPr>
                <w:lang w:val="en-US"/>
              </w:rPr>
            </w:pPr>
          </w:p>
        </w:tc>
      </w:tr>
    </w:tbl>
    <w:p w:rsidR="001F3233" w:rsidRDefault="001F3233">
      <w:pPr>
        <w:jc w:val="center"/>
        <w:rPr>
          <w:szCs w:val="24"/>
        </w:rPr>
      </w:pPr>
    </w:p>
    <w:p w:rsidR="001F3233" w:rsidRDefault="001F3233">
      <w:pPr>
        <w:jc w:val="center"/>
        <w:rPr>
          <w:szCs w:val="24"/>
          <w:lang w:val="ru-RU"/>
        </w:rPr>
      </w:pPr>
      <w:r>
        <w:rPr>
          <w:szCs w:val="24"/>
          <w:lang w:val="ru-RU"/>
        </w:rPr>
        <w:t>КОМИТЕТ ПО ЛИКВИДАЦИИ РАСОВОЙ ДИСКРИМИНАЦИИ</w:t>
      </w:r>
    </w:p>
    <w:p w:rsidR="001F3233" w:rsidRDefault="001F3233">
      <w:pPr>
        <w:jc w:val="center"/>
        <w:rPr>
          <w:szCs w:val="24"/>
          <w:lang w:val="ru-RU"/>
        </w:rPr>
      </w:pPr>
      <w:r>
        <w:rPr>
          <w:szCs w:val="24"/>
          <w:lang w:val="ru-RU"/>
        </w:rPr>
        <w:t xml:space="preserve">Семьдесят третья сессия </w:t>
      </w:r>
    </w:p>
    <w:p w:rsidR="001F3233" w:rsidRDefault="001F3233">
      <w:pPr>
        <w:jc w:val="center"/>
        <w:rPr>
          <w:szCs w:val="24"/>
          <w:lang w:val="ru-RU"/>
        </w:rPr>
      </w:pPr>
    </w:p>
    <w:p w:rsidR="001F3233" w:rsidRDefault="001F3233">
      <w:pPr>
        <w:jc w:val="center"/>
        <w:rPr>
          <w:szCs w:val="24"/>
          <w:lang w:val="ru-RU"/>
        </w:rPr>
      </w:pPr>
      <w:r>
        <w:rPr>
          <w:szCs w:val="24"/>
          <w:lang w:val="ru-RU"/>
        </w:rPr>
        <w:t>КРАТКИЙ ОТЧЕТ О 1875-м ЗАСЕДАНИИ,</w:t>
      </w:r>
    </w:p>
    <w:p w:rsidR="001F3233" w:rsidRDefault="001F3233">
      <w:pPr>
        <w:jc w:val="center"/>
        <w:rPr>
          <w:szCs w:val="24"/>
          <w:lang w:val="ru-RU"/>
        </w:rPr>
      </w:pPr>
    </w:p>
    <w:p w:rsidR="001F3233" w:rsidRDefault="001F3233">
      <w:pPr>
        <w:jc w:val="center"/>
        <w:rPr>
          <w:szCs w:val="24"/>
          <w:lang w:val="ru-RU"/>
        </w:rPr>
      </w:pPr>
      <w:r>
        <w:rPr>
          <w:szCs w:val="24"/>
          <w:lang w:val="ru-RU"/>
        </w:rPr>
        <w:t>состоявшемся во Дворце Вильсона в Женеве</w:t>
      </w:r>
    </w:p>
    <w:p w:rsidR="001F3233" w:rsidRDefault="001F3233">
      <w:pPr>
        <w:spacing w:after="240"/>
        <w:jc w:val="center"/>
        <w:rPr>
          <w:lang w:val="ru-RU"/>
        </w:rPr>
      </w:pPr>
      <w:r>
        <w:rPr>
          <w:szCs w:val="24"/>
          <w:lang w:val="ru-RU"/>
        </w:rPr>
        <w:t>в понедельник, 28 июля 2008</w:t>
      </w:r>
      <w:r>
        <w:rPr>
          <w:szCs w:val="24"/>
        </w:rPr>
        <w:t> </w:t>
      </w:r>
      <w:r>
        <w:rPr>
          <w:szCs w:val="24"/>
          <w:lang w:val="ru-RU"/>
        </w:rPr>
        <w:t>года, в 10</w:t>
      </w:r>
      <w:r>
        <w:rPr>
          <w:szCs w:val="24"/>
        </w:rPr>
        <w:t> </w:t>
      </w:r>
      <w:r>
        <w:rPr>
          <w:szCs w:val="24"/>
          <w:lang w:val="ru-RU"/>
        </w:rPr>
        <w:t>час.</w:t>
      </w:r>
      <w:r>
        <w:rPr>
          <w:szCs w:val="24"/>
        </w:rPr>
        <w:t> </w:t>
      </w:r>
      <w:r>
        <w:rPr>
          <w:szCs w:val="24"/>
          <w:lang w:val="ru-RU"/>
        </w:rPr>
        <w:t>00</w:t>
      </w:r>
      <w:r>
        <w:rPr>
          <w:szCs w:val="24"/>
        </w:rPr>
        <w:t> </w:t>
      </w:r>
      <w:r>
        <w:rPr>
          <w:szCs w:val="24"/>
          <w:lang w:val="ru-RU"/>
        </w:rPr>
        <w:t>мин.</w:t>
      </w:r>
    </w:p>
    <w:p w:rsidR="001F3233" w:rsidRDefault="001F3233">
      <w:pPr>
        <w:spacing w:after="240"/>
        <w:jc w:val="center"/>
        <w:rPr>
          <w:lang w:val="ru-RU"/>
        </w:rPr>
      </w:pPr>
      <w:r>
        <w:rPr>
          <w:u w:val="single"/>
          <w:lang w:val="ru-RU"/>
        </w:rPr>
        <w:t>Председатель</w:t>
      </w:r>
      <w:r>
        <w:rPr>
          <w:lang w:val="ru-RU"/>
        </w:rPr>
        <w:t>: г-жа ДАХ</w:t>
      </w:r>
    </w:p>
    <w:p w:rsidR="001F3233" w:rsidRDefault="001F3233">
      <w:pPr>
        <w:spacing w:after="240"/>
        <w:jc w:val="center"/>
        <w:rPr>
          <w:lang w:val="ru-RU"/>
        </w:rPr>
      </w:pPr>
      <w:r>
        <w:rPr>
          <w:szCs w:val="24"/>
          <w:lang w:val="ru-RU"/>
        </w:rPr>
        <w:t>СОДЕРЖАНИЕ</w:t>
      </w:r>
    </w:p>
    <w:p w:rsidR="001F3233" w:rsidRDefault="001F3233">
      <w:pPr>
        <w:spacing w:after="180"/>
        <w:rPr>
          <w:lang w:val="ru-RU"/>
        </w:rPr>
      </w:pPr>
      <w:r>
        <w:rPr>
          <w:lang w:val="ru-RU"/>
        </w:rPr>
        <w:t>ОТКРЫТИЕ СЕССИИ</w:t>
      </w:r>
    </w:p>
    <w:p w:rsidR="001F3233" w:rsidRDefault="001F3233">
      <w:pPr>
        <w:spacing w:after="180"/>
        <w:rPr>
          <w:lang w:val="ru-RU"/>
        </w:rPr>
      </w:pPr>
      <w:r>
        <w:rPr>
          <w:lang w:val="ru-RU"/>
        </w:rPr>
        <w:t xml:space="preserve">ЗАЯВЛЕНИЕ ДИРЕКТОРА ОТДЕЛА ПО ДЕЛАМ СОВЕТА ПО ПРАВАМ ЧЕЛОВЕКА И ДОГОВОРАМ УПРАВЛЕНИЯ ВЕРХОВНОГО КОМИССАРА ОРГАНИЗАЦИИ ОБЪЕДИНЕННЫХ НАЦИЙ ПО ПРАВАМ ЧЕЛОВЕКА </w:t>
      </w:r>
    </w:p>
    <w:p w:rsidR="001F3233" w:rsidRDefault="001F3233">
      <w:pPr>
        <w:spacing w:after="180"/>
        <w:rPr>
          <w:lang w:val="ru-RU"/>
        </w:rPr>
      </w:pPr>
      <w:r>
        <w:rPr>
          <w:lang w:val="ru-RU"/>
        </w:rPr>
        <w:t>ЗАПОЛНЕНИЕ НЕПРЕДВИДЕННЫХ ВАКАНСИЙ</w:t>
      </w:r>
    </w:p>
    <w:p w:rsidR="001F3233" w:rsidRDefault="001F3233">
      <w:pPr>
        <w:spacing w:after="180"/>
        <w:rPr>
          <w:lang w:val="ru-RU"/>
        </w:rPr>
      </w:pPr>
      <w:r>
        <w:rPr>
          <w:lang w:val="ru-RU"/>
        </w:rPr>
        <w:t>УТВЕРЖДЕНИЕ ПОВЕСТКИ ДНЯ</w:t>
      </w:r>
    </w:p>
    <w:p w:rsidR="001F3233" w:rsidRDefault="001F3233">
      <w:pPr>
        <w:rPr>
          <w:lang w:val="en-US"/>
        </w:rPr>
      </w:pPr>
      <w:r>
        <w:rPr>
          <w:lang w:val="ru-RU"/>
        </w:rPr>
        <w:t xml:space="preserve">ДИАЛОГ С ДРУГИМИ ОРГАНАМИ И СПЕЦИАЛИЗИРОВАННЫМИ УЧРЕЖДЕНИЯМИ ОРГАНИЗАЦИИ ОБЪЕДИНЕННЫХ НАЦИЙ, А ТАКЖЕ С ДРУГИМИ КОМПЕТЕНТНЫМИ ОРГАНАМИ </w:t>
      </w:r>
    </w:p>
    <w:p w:rsidR="001F3233" w:rsidRDefault="001F3233">
      <w:pPr>
        <w:spacing w:after="240"/>
        <w:rPr>
          <w:u w:val="single"/>
          <w:lang w:val="en-US"/>
        </w:rPr>
      </w:pP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p>
    <w:p w:rsidR="001F3233" w:rsidRDefault="001F3233">
      <w:pPr>
        <w:ind w:firstLine="567"/>
        <w:rPr>
          <w:color w:val="000000"/>
          <w:szCs w:val="24"/>
          <w:lang w:val="ru-RU"/>
        </w:rPr>
      </w:pPr>
      <w:r>
        <w:rPr>
          <w:color w:val="000000"/>
          <w:szCs w:val="24"/>
          <w:lang w:val="ru-RU"/>
        </w:rPr>
        <w:t>В настоящий отчет могут вноситься поправки.</w:t>
      </w:r>
    </w:p>
    <w:p w:rsidR="001F3233" w:rsidRDefault="001F3233">
      <w:pPr>
        <w:rPr>
          <w:color w:val="000000"/>
          <w:sz w:val="10"/>
          <w:szCs w:val="24"/>
          <w:lang w:val="ru-RU"/>
        </w:rPr>
      </w:pPr>
    </w:p>
    <w:p w:rsidR="001F3233" w:rsidRDefault="001F3233">
      <w:pPr>
        <w:rPr>
          <w:color w:val="000000"/>
          <w:szCs w:val="24"/>
          <w:lang w:val="ru-RU"/>
        </w:rPr>
      </w:pPr>
      <w:r>
        <w:rPr>
          <w:color w:val="000000"/>
          <w:szCs w:val="24"/>
          <w:lang w:val="ru-RU"/>
        </w:rPr>
        <w:tab/>
        <w:t xml:space="preserve">Поправки должны представляться на одном из рабочих языков.  Они должны быть изложены в пояснительной записке, а также внесены в один из экземпляров отчета.  Поправки должны направляться </w:t>
      </w:r>
      <w:r>
        <w:rPr>
          <w:color w:val="000000"/>
          <w:szCs w:val="24"/>
          <w:u w:val="single"/>
          <w:lang w:val="ru-RU"/>
        </w:rPr>
        <w:t>в течение одной недели с момента выпуска настоящего документа</w:t>
      </w:r>
      <w:r>
        <w:rPr>
          <w:color w:val="000000"/>
          <w:szCs w:val="24"/>
          <w:lang w:val="ru-RU"/>
        </w:rPr>
        <w:t xml:space="preserve"> в Секцию редактирования официальных отчетов, комната Е.4108, Дворец Наций, Женева. </w:t>
      </w:r>
    </w:p>
    <w:p w:rsidR="001F3233" w:rsidRDefault="001F3233">
      <w:pPr>
        <w:ind w:firstLine="567"/>
        <w:rPr>
          <w:color w:val="000000"/>
          <w:sz w:val="16"/>
          <w:szCs w:val="24"/>
          <w:lang w:val="ru-RU"/>
        </w:rPr>
      </w:pPr>
    </w:p>
    <w:p w:rsidR="001F3233" w:rsidRDefault="001F3233">
      <w:pPr>
        <w:spacing w:after="200"/>
        <w:ind w:firstLine="567"/>
        <w:rPr>
          <w:color w:val="000000"/>
          <w:lang w:val="ru-RU"/>
        </w:rPr>
      </w:pPr>
      <w:r>
        <w:rPr>
          <w:color w:val="000000"/>
          <w:szCs w:val="24"/>
          <w:lang w:val="ru-RU"/>
        </w:rPr>
        <w:t>Любые поправки к отчетам об открытых заседаниях Комитета на этой сессии будут сведены в единое исправление, которое будет издано вскоре после окончания сессии</w:t>
      </w:r>
      <w:r>
        <w:rPr>
          <w:color w:val="000000"/>
          <w:lang w:val="ru-RU"/>
        </w:rPr>
        <w:t>.</w:t>
      </w:r>
    </w:p>
    <w:p w:rsidR="001F3233" w:rsidRPr="00321B65" w:rsidRDefault="001F3233">
      <w:pPr>
        <w:pStyle w:val="Footer"/>
        <w:rPr>
          <w:lang w:val="ru-RU"/>
        </w:rPr>
      </w:pPr>
      <w:r>
        <w:t>GE</w:t>
      </w:r>
      <w:r w:rsidRPr="00321B65">
        <w:rPr>
          <w:lang w:val="ru-RU"/>
        </w:rPr>
        <w:t>.08-43323  (</w:t>
      </w:r>
      <w:r>
        <w:t>R</w:t>
      </w:r>
      <w:r w:rsidRPr="00321B65">
        <w:rPr>
          <w:lang w:val="ru-RU"/>
        </w:rPr>
        <w:t>)  (</w:t>
      </w:r>
      <w:r>
        <w:t>EXT</w:t>
      </w:r>
      <w:r w:rsidRPr="00321B65">
        <w:rPr>
          <w:lang w:val="ru-RU"/>
        </w:rPr>
        <w:t xml:space="preserve">)  </w:t>
      </w:r>
    </w:p>
    <w:p w:rsidR="001F3233" w:rsidRDefault="001F3233">
      <w:pPr>
        <w:spacing w:after="240"/>
        <w:jc w:val="center"/>
        <w:rPr>
          <w:i/>
          <w:iCs/>
          <w:lang w:val="ru-RU"/>
        </w:rPr>
      </w:pPr>
      <w:r>
        <w:rPr>
          <w:i/>
          <w:lang w:val="ru-RU"/>
        </w:rPr>
        <w:t xml:space="preserve">Заседание открывается в </w:t>
      </w:r>
      <w:r>
        <w:rPr>
          <w:i/>
          <w:iCs/>
          <w:lang w:val="ru-RU"/>
        </w:rPr>
        <w:t>10 час.</w:t>
      </w:r>
      <w:r>
        <w:rPr>
          <w:i/>
          <w:iCs/>
        </w:rPr>
        <w:t> </w:t>
      </w:r>
      <w:r>
        <w:rPr>
          <w:i/>
          <w:iCs/>
          <w:lang w:val="ru-RU"/>
        </w:rPr>
        <w:t>20мин.</w:t>
      </w:r>
    </w:p>
    <w:p w:rsidR="001F3233" w:rsidRDefault="001F3233">
      <w:pPr>
        <w:spacing w:after="240"/>
        <w:rPr>
          <w:lang w:val="ru-RU"/>
        </w:rPr>
      </w:pPr>
      <w:r>
        <w:rPr>
          <w:lang w:val="ru-RU"/>
        </w:rPr>
        <w:t>1.</w:t>
      </w:r>
      <w:r>
        <w:rPr>
          <w:lang w:val="ru-RU"/>
        </w:rPr>
        <w:tab/>
      </w:r>
      <w:r>
        <w:rPr>
          <w:u w:val="single"/>
          <w:lang w:val="ru-RU"/>
        </w:rPr>
        <w:t>ПРЕДСЕДАТЕЛЬ</w:t>
      </w:r>
      <w:r>
        <w:rPr>
          <w:lang w:val="ru-RU"/>
        </w:rPr>
        <w:t xml:space="preserve"> объявляет семьдесят третью сессию Комитета по ликвидации расовой дискриминации открытой.</w:t>
      </w:r>
    </w:p>
    <w:p w:rsidR="001F3233" w:rsidRDefault="001F3233">
      <w:pPr>
        <w:keepNext/>
        <w:spacing w:after="240"/>
        <w:rPr>
          <w:lang w:val="ru-RU"/>
        </w:rPr>
      </w:pPr>
      <w:r>
        <w:rPr>
          <w:lang w:val="ru-RU"/>
        </w:rPr>
        <w:t xml:space="preserve">ЗАЯВЛЕНИЕ ДИРЕКТОРА ОТДЕЛА ПО ДЕЛАМ СОВЕТА ПО ПРАВАМ ЧЕЛОВЕКА И ДОГОВОРАМ УПРАВЛЕНИЯ ВЕРХОВНОГО КОМИССАРА ОРГАНИЗАЦИИ ОБЪЕДИНЕННЫХ НАЦИЙ ПО ПРАВАМ ЧЕЛОВЕКА </w:t>
      </w:r>
    </w:p>
    <w:p w:rsidR="001F3233" w:rsidRDefault="001F3233">
      <w:pPr>
        <w:spacing w:after="240"/>
        <w:rPr>
          <w:lang w:val="ru-RU"/>
        </w:rPr>
      </w:pPr>
      <w:r>
        <w:rPr>
          <w:lang w:val="ru-RU"/>
        </w:rPr>
        <w:t>2.</w:t>
      </w:r>
      <w:r>
        <w:rPr>
          <w:lang w:val="ru-RU"/>
        </w:rPr>
        <w:tab/>
      </w:r>
      <w:r>
        <w:rPr>
          <w:u w:val="single"/>
          <w:lang w:val="ru-RU"/>
        </w:rPr>
        <w:t>Г-н НДИАЙЕ</w:t>
      </w:r>
      <w:r>
        <w:rPr>
          <w:lang w:val="ru-RU"/>
        </w:rPr>
        <w:t xml:space="preserve"> (Директор Отдела по делам Совета по правам человека и договорам Управления Верховного комиссара Организации Объединенных Наций по правам человека) говорит, что Комитет является одним из оснований системы ООН по защите прав человека, и что его важный вклад в осуществление принципа равенства при пользовании правами человека без какой-либо дискриминации по признаку расы, цвета кожи, родового, национального или этнического происхождения, является международно признанным.</w:t>
      </w:r>
    </w:p>
    <w:p w:rsidR="001F3233" w:rsidRDefault="001F3233">
      <w:pPr>
        <w:spacing w:before="100" w:beforeAutospacing="1" w:after="240"/>
        <w:rPr>
          <w:lang w:val="ru-RU"/>
        </w:rPr>
      </w:pPr>
      <w:r>
        <w:rPr>
          <w:lang w:val="ru-RU"/>
        </w:rPr>
        <w:t>3.</w:t>
      </w:r>
      <w:r>
        <w:rPr>
          <w:lang w:val="ru-RU"/>
        </w:rPr>
        <w:tab/>
        <w:t>Выражая свое удовлетворение тем фактом, что южноафриканский судья, г-жа Наванетхем Пиллэй, должна быть в течение дня назначена Генеральной Ассамблеей Организации Объединенных Наций на должность Верховного комиссара Организации Объединенных Наций по правам человека для смены на этом посту г-жи Луиз Арбур, г-н Ндиайе убежден, что борьба против расовой дискриминации будет одним из наиболее важных приоритетов будущего Верховного комиссара. Она была первой женщиной-представительницей цветного населения, которая заседала в Верховном суде Южной Африки, а до этого была адвокатом оппозиционеров режима апартеида. После работы в Международном уголовном трибунале по Руанде, в котором она председательствовала в течение четырех лет, г-жа Наванетхем Пиллэй, с 2003 года, была судьей в Международном уголовном суде (МУС).</w:t>
      </w:r>
    </w:p>
    <w:p w:rsidR="001F3233" w:rsidRDefault="001F3233">
      <w:pPr>
        <w:spacing w:after="240"/>
        <w:rPr>
          <w:lang w:val="ru-RU"/>
        </w:rPr>
      </w:pPr>
      <w:r>
        <w:rPr>
          <w:lang w:val="ru-RU"/>
        </w:rPr>
        <w:t>4.</w:t>
      </w:r>
      <w:r>
        <w:rPr>
          <w:lang w:val="ru-RU"/>
        </w:rPr>
        <w:tab/>
        <w:t>Г-н Ндиайе отмечает, что проходящая в настоящее время кампания по празднованию, 10</w:t>
      </w:r>
      <w:r>
        <w:t> </w:t>
      </w:r>
      <w:r>
        <w:rPr>
          <w:lang w:val="ru-RU"/>
        </w:rPr>
        <w:t>декабря</w:t>
      </w:r>
      <w:r>
        <w:t> </w:t>
      </w:r>
      <w:r>
        <w:rPr>
          <w:lang w:val="ru-RU"/>
        </w:rPr>
        <w:t>2008 года, шестидесятой годовщины Всеобщей декларации прав человека ассоциирует всю систему Организации Объединенных Наций с делом оказания поддержки идеалам и принципам справедливости и равенства, закрепленным в Декларации. Органы Организации Объединенных Наций, а также их партнеры на местах проводят деятельность по улучшению осведомленности общественности в конкретных областях прав человека, которые представляют особый интерес для их деятельности и для конечных пользователей самой информации. Кроме того, в Интернете на сайте Управления Верховного комиссара публикуется обновленная информация о культурных инициативах, публичных дебатах и о различной другой деятельности, которая приурочена к этой годовщине. Управление Верховного комиссара будет руководить этой деятельностью, стараясь еще больше информировать население по вопросам, относящимся к правам человека, включая принципы равенства и недискриминации.</w:t>
      </w:r>
    </w:p>
    <w:p w:rsidR="001F3233" w:rsidRDefault="001F3233">
      <w:pPr>
        <w:spacing w:after="240"/>
        <w:rPr>
          <w:lang w:val="ru-RU"/>
        </w:rPr>
      </w:pPr>
      <w:r>
        <w:rPr>
          <w:lang w:val="ru-RU"/>
        </w:rPr>
        <w:t>5.</w:t>
      </w:r>
      <w:r>
        <w:rPr>
          <w:lang w:val="ru-RU"/>
        </w:rPr>
        <w:tab/>
        <w:t xml:space="preserve">Г-н Ндиайе напоминает, что продолжаются подготовительные мероприятия к Конференции по обзору Дурбанского процесса, которая состоится в 2009 году, и что Комитет разработал целый ряд рекомендаций и докладов для первой основной сессии Подготовительного комитета, которая проходила с 21 апреля по 2 мая 2008 года в Женеве.  </w:t>
      </w:r>
    </w:p>
    <w:p w:rsidR="001F3233" w:rsidRDefault="001F3233">
      <w:pPr>
        <w:spacing w:after="240"/>
        <w:rPr>
          <w:lang w:val="ru-RU"/>
        </w:rPr>
      </w:pPr>
      <w:r>
        <w:rPr>
          <w:lang w:val="ru-RU"/>
        </w:rPr>
        <w:t>6.</w:t>
      </w:r>
      <w:r>
        <w:rPr>
          <w:lang w:val="ru-RU"/>
        </w:rPr>
        <w:tab/>
        <w:t>В ходе Региональной конференции стран Латинской Америки и Карибского бассейна по подготовке к Конференции по обзору Дурбанского процесса, состоявшейся в Бразилиа в июне 2008 года, участники, в том числе, согласились с необходимостью способствовать всеобщей ратификации Международной конвенции о ликвидации всех форм расовой дискриминации и призывать государства-участники сделать факультативное заявление, предусмотренное статьей14 Конвенции.</w:t>
      </w:r>
    </w:p>
    <w:p w:rsidR="001F3233" w:rsidRDefault="001F3233">
      <w:pPr>
        <w:spacing w:after="240"/>
        <w:rPr>
          <w:lang w:val="ru-RU"/>
        </w:rPr>
      </w:pPr>
      <w:r>
        <w:rPr>
          <w:lang w:val="ru-RU"/>
        </w:rPr>
        <w:t>7.</w:t>
      </w:r>
      <w:r>
        <w:rPr>
          <w:lang w:val="ru-RU"/>
        </w:rPr>
        <w:tab/>
        <w:t>Региональное подготовительное совещание африканских государств состоится в Абудже, Нигерия, 24-26 августа 2008 года.</w:t>
      </w:r>
    </w:p>
    <w:p w:rsidR="001F3233" w:rsidRDefault="001F3233">
      <w:pPr>
        <w:spacing w:after="240"/>
        <w:rPr>
          <w:lang w:val="ru-RU"/>
        </w:rPr>
      </w:pPr>
      <w:r>
        <w:rPr>
          <w:lang w:val="ru-RU"/>
        </w:rPr>
        <w:t>8.</w:t>
      </w:r>
      <w:r>
        <w:rPr>
          <w:lang w:val="ru-RU"/>
        </w:rPr>
        <w:tab/>
        <w:t>Представитель Управления Верховного комиссара также напоминает, что в рамках подготовительного процесса к Конференции по обзору Дурбанского процесса и празднования шестидесятилетней годовщины Конвенции о предупреждении преступления геноцида и наказании за него, предыдущий Верховный комиссар по правам человека приступил к изучению средств по расширению возможностей Организации Объединенных Наций в плане предупреждения преступления геноцида и наказания за геноцид, который является наихудшим преступлением, порожденным дискриминацией и нетерпимостью. Она, в частности, настоятельно просила Совет по правам человека изучить возможность создания особого механизма по наблюдению за осуществлением Конвенции о предупреждении преступления геноцида и наказания за него или разработки процедуры расследования на основе дополнительного протокола к Международной конвенции о ликвидации всех форм расовой дискриминации, который предусматривал бы    систему раннего предупреждения о ситуациях, способных привести к геноциду. Представитель Управления Верховного комиссара полагает, что Конференция по обзору Дурбанского процесса и празднование шестидесятилетней годовщины Конвенции о предупреждении преступления геноцида и наказания за него явятся отличным поводом, чтобы подумать о этих предложениях.</w:t>
      </w:r>
    </w:p>
    <w:p w:rsidR="001F3233" w:rsidRDefault="001F3233">
      <w:pPr>
        <w:autoSpaceDE w:val="0"/>
        <w:autoSpaceDN w:val="0"/>
        <w:adjustRightInd w:val="0"/>
        <w:spacing w:after="240"/>
        <w:rPr>
          <w:lang w:val="ru-RU"/>
        </w:rPr>
      </w:pPr>
      <w:r>
        <w:rPr>
          <w:lang w:val="ru-RU"/>
        </w:rPr>
        <w:t>9.</w:t>
      </w:r>
      <w:r>
        <w:rPr>
          <w:lang w:val="ru-RU"/>
        </w:rPr>
        <w:tab/>
        <w:t>Г-н Ндиайе также подчеркивает, что в ходе седьмого межкомитетского совещания и двадцатого совещания председателей органов, созданных в соответствии с международными соглашениями по правам человека, которые состоялись 23-27 июня 2008 года, были вновь рассмотрены методы работы договорных органов, а также возможность их согласования. Он напоминает о своей рекомендации, сделанной во время проведения межкомитетского совещания в 2007 году, о том, чтобы подобные совещания проходили два раза в год, и чтобы одно из таких ежегодных совещаний посвящалось исключительно улучшению и согласованию методов работы договорных органов по правам человека. Таким образом, следующее межкомитетское совещание состоится еще до конца 2008 года.</w:t>
      </w:r>
    </w:p>
    <w:p w:rsidR="001F3233" w:rsidRDefault="001F3233">
      <w:pPr>
        <w:autoSpaceDE w:val="0"/>
        <w:autoSpaceDN w:val="0"/>
        <w:adjustRightInd w:val="0"/>
        <w:spacing w:after="240"/>
        <w:rPr>
          <w:lang w:val="ru-RU"/>
        </w:rPr>
      </w:pPr>
      <w:r>
        <w:rPr>
          <w:lang w:val="ru-RU"/>
        </w:rPr>
        <w:t>10.</w:t>
      </w:r>
      <w:r>
        <w:rPr>
          <w:lang w:val="ru-RU"/>
        </w:rPr>
        <w:tab/>
        <w:t>Г-н Ндиайе напоминает, что вопрос о механизме универсального периодического обзора (УПО) и о его связи с договорными органами широко обсуждался в ходе последних межкомитетских совещаний председателей договорных органов, и что была признана необходимость налаживания  эффективного сотрудничества между договорными органами и Советом по правам человека и укрепления институциональных связей между ними.</w:t>
      </w:r>
    </w:p>
    <w:p w:rsidR="001F3233" w:rsidRDefault="001F3233">
      <w:pPr>
        <w:spacing w:after="240"/>
        <w:rPr>
          <w:lang w:val="ru-RU"/>
        </w:rPr>
      </w:pPr>
      <w:r>
        <w:rPr>
          <w:lang w:val="ru-RU"/>
        </w:rPr>
        <w:t>11.</w:t>
      </w:r>
      <w:r>
        <w:rPr>
          <w:lang w:val="ru-RU"/>
        </w:rPr>
        <w:tab/>
        <w:t>После семьдесят второй сессии Комитета рабочая группа по универсальному периодическому обзору (УПО) провела два заседания, в апреле и мае 2008 года, в ходе которых были рассмотрены 32</w:t>
      </w:r>
      <w:r>
        <w:t> </w:t>
      </w:r>
      <w:r>
        <w:rPr>
          <w:lang w:val="ru-RU"/>
        </w:rPr>
        <w:t>страны, включая Эквадор и Швейцарию, периодические доклады которых будут обсуждаться на текущей сессии. Выводы договорных органов являются для Управления Верховного комиссара важным источником информации для целей УПО. Обзор и окончательные доклады часто содержат рекомендации договорных органов, отмечают важность ратификации соглашений по правам человека и необходимость снятия оговорок.</w:t>
      </w:r>
    </w:p>
    <w:p w:rsidR="001F3233" w:rsidRDefault="001F3233">
      <w:pPr>
        <w:spacing w:after="240"/>
      </w:pPr>
      <w:r>
        <w:rPr>
          <w:lang w:val="ru-RU"/>
        </w:rPr>
        <w:t>12.</w:t>
      </w:r>
      <w:r>
        <w:rPr>
          <w:lang w:val="ru-RU"/>
        </w:rPr>
        <w:tab/>
        <w:t>Г-н Ндиайе добавляет, что вступление в силу 3 мая 2008</w:t>
      </w:r>
      <w:r>
        <w:t> </w:t>
      </w:r>
      <w:r>
        <w:rPr>
          <w:lang w:val="ru-RU"/>
        </w:rPr>
        <w:t>года Конвенции о правах инвалидов и Факультативного протокола к ней является важным событием. До конца года должен быть создан новый договорной орган, члены которого будут избираться Конференцией государств-участников этого договора, которая состоится в первый раз  3 ноября 2008 года в Нью-Йорке. Кроме того, 4 апреля 2008 года, рабочая группа, ответственная за подготовку факультативного протокола к Международному пакту об экономических, социальных и культурных правах, приняла окончательный текст этого документа, который признает за отдельными лицами и группами лиц право направлять сообщения о несоблюдении этого Пакта. После утверждения Советом по правам человека этот проект был передан в Генеральную Ассамблею</w:t>
      </w:r>
      <w:r>
        <w:rPr>
          <w:lang w:val="fr-FR"/>
        </w:rPr>
        <w:t xml:space="preserve"> </w:t>
      </w:r>
      <w:r>
        <w:rPr>
          <w:lang w:val="ru-RU"/>
        </w:rPr>
        <w:t>для</w:t>
      </w:r>
      <w:r>
        <w:rPr>
          <w:lang w:val="fr-FR"/>
        </w:rPr>
        <w:t xml:space="preserve"> </w:t>
      </w:r>
      <w:r>
        <w:rPr>
          <w:lang w:val="ru-RU"/>
        </w:rPr>
        <w:t>одобрения</w:t>
      </w:r>
      <w:r>
        <w:t>.</w:t>
      </w:r>
    </w:p>
    <w:p w:rsidR="001F3233" w:rsidRDefault="001F3233">
      <w:pPr>
        <w:spacing w:after="240"/>
        <w:rPr>
          <w:lang w:val="ru-RU"/>
        </w:rPr>
      </w:pPr>
      <w:r>
        <w:rPr>
          <w:lang w:val="ru-RU"/>
        </w:rPr>
        <w:t>13.</w:t>
      </w:r>
      <w:r>
        <w:rPr>
          <w:lang w:val="ru-RU"/>
        </w:rPr>
        <w:tab/>
        <w:t>И, наконец, для обеспечения благоприятного выполнения рекомендаций, сформулированных договорными органами на национальном уровне, Управление Верховного комиссара намерено следить за регулярным проведением учебных курсов по вопросам деятельности договорных органов. Он выражает надежду на то, что в ближайшем будущем техническое сотрудничество между договорными органами станет более систематическим и устойчивым. С этой же целью, во втором полугодии 2008 года состоится совещание по расширению сотрудничества и взаимодействия со специализированными учреждениями, фондами и программами Организации Объединенных Наций по вопросам представления периодических докладов и процедур контроля, согласно рекомендации, сформулированной межкомитетским совещанием в    2007 году.</w:t>
      </w:r>
    </w:p>
    <w:p w:rsidR="001F3233" w:rsidRDefault="001F3233">
      <w:pPr>
        <w:spacing w:after="240"/>
        <w:rPr>
          <w:lang w:val="ru-RU"/>
        </w:rPr>
      </w:pPr>
      <w:r>
        <w:rPr>
          <w:lang w:val="ru-RU"/>
        </w:rPr>
        <w:t>14.</w:t>
      </w:r>
      <w:r>
        <w:rPr>
          <w:lang w:val="ru-RU"/>
        </w:rPr>
        <w:tab/>
      </w:r>
      <w:r>
        <w:rPr>
          <w:u w:val="single"/>
          <w:lang w:val="ru-RU"/>
        </w:rPr>
        <w:t>Г-н ТОРНБЕРРИ</w:t>
      </w:r>
      <w:r>
        <w:rPr>
          <w:lang w:val="ru-RU"/>
        </w:rPr>
        <w:t xml:space="preserve"> отмечает, что г-н Ндиайе упомянул о возможности разработки процедуры расследования на основе дополнительного протокола к Конвенции, который предусматривал бы  систему раннего предупреждения о ситуациях, способных привести к геноциду, и обращает его внимание на тот факт, что Комитет уже давно имеет процедуру раннего предупреждения и незамедлительных действий для предотвращения того, чтобы имеющиеся проблемы не перерастали в конфликты, и для того, чтобы противостоять проблемам, требующим незамедлительного внимания. Таким образом, он считает, что, прежде чем приниматься за разработку нового документа, имеющего обязательную силу, например, протокола, необходимо провести углубленное исследование процедуры раннего предупреждения и незамедлительных действий, как средства предупреждения геноцида, особенно учитывая Декларацию о предотвращении геноцида, принятую Комитетом в марте 2005 года, тяжелые и неоднократные случаи, выявленные Комитетом и имеющие порой признаки геноцида, а также показатели систематической и массовой расовой дискриминации, установленные Комитетом. Г-н Торнберри выражает надежду, что Комитет всецело присоединится к выполнению этой задачи.   </w:t>
      </w:r>
    </w:p>
    <w:p w:rsidR="001F3233" w:rsidRDefault="001F3233">
      <w:pPr>
        <w:spacing w:after="240"/>
        <w:rPr>
          <w:lang w:val="ru-RU"/>
        </w:rPr>
      </w:pPr>
      <w:r>
        <w:rPr>
          <w:lang w:val="ru-RU"/>
        </w:rPr>
        <w:t>15.</w:t>
      </w:r>
      <w:r>
        <w:rPr>
          <w:lang w:val="ru-RU"/>
        </w:rPr>
        <w:tab/>
      </w:r>
      <w:r>
        <w:rPr>
          <w:u w:val="single"/>
          <w:lang w:val="ru-RU"/>
        </w:rPr>
        <w:t>Г-н ЛИНДГРЕН АЛВИС</w:t>
      </w:r>
      <w:r>
        <w:rPr>
          <w:lang w:val="ru-RU"/>
        </w:rPr>
        <w:t xml:space="preserve"> желает, чтобы окончательный документ, принятый на Региональной подготовительной конференции в Бразилиа, содержащий большой объем полезной для Комитета информации, был распространен среди его членов для изучения. Поскольку он участвовал в работе этой Региональной конференции по подготовке к Конференции по обзору Дурбанского процесса в качестве члена бразильской делегации, г-н Линдгрен Алвис отмечает, что дебаты широко коснулись вопроса о международных нормах в дополнение к Международной конвенции о ликвидации всех форм расовой дискриминации, которые могли бы быть приняты Конференцией. Тогда он очень четко заявил другим участникам Региональной конференции о том, что новый протокол или новая конвенция, которые будут впоследствии приняты, должны содержать положение о том, что Комитет по ликвидации расовой дискриминации будет уполномочен совершать поездки на место событий, если ситуация потребует этого. </w:t>
      </w:r>
    </w:p>
    <w:p w:rsidR="001F3233" w:rsidRDefault="001F3233">
      <w:pPr>
        <w:spacing w:after="240"/>
        <w:rPr>
          <w:lang w:val="ru-RU"/>
        </w:rPr>
      </w:pPr>
      <w:r>
        <w:rPr>
          <w:lang w:val="ru-RU"/>
        </w:rPr>
        <w:t>16.</w:t>
      </w:r>
      <w:r>
        <w:rPr>
          <w:lang w:val="ru-RU"/>
        </w:rPr>
        <w:tab/>
      </w:r>
      <w:r>
        <w:rPr>
          <w:u w:val="single"/>
          <w:lang w:val="ru-RU"/>
        </w:rPr>
        <w:t>Г-н де ГУТТ</w:t>
      </w:r>
      <w:r>
        <w:rPr>
          <w:lang w:val="ru-RU"/>
        </w:rPr>
        <w:t xml:space="preserve"> хотел бы знать, ратифицировали ли новые государства Конвенцию с момента проведения предыдущей сессии Комитета, и имели ли место новые заявления, предусмотренные статьей 14 Конвенции, что позволит Комитету принимать и рассматривать сообщения от отдельных лиц или групп лиц, которые утверждают, что они являются жертвами нарушения прав, изложенных в Конвенции. Г-н де Гутт хотел бы также знать, располагает ли секретариат новой информацией о разработке международных норм в дополнение к Международной конвенции о ликвидации всех форм расовой дискриминации. </w:t>
      </w:r>
    </w:p>
    <w:p w:rsidR="001F3233" w:rsidRDefault="001F3233">
      <w:pPr>
        <w:spacing w:after="240"/>
        <w:rPr>
          <w:lang w:val="ru-RU"/>
        </w:rPr>
      </w:pPr>
      <w:r>
        <w:rPr>
          <w:lang w:val="ru-RU"/>
        </w:rPr>
        <w:t>17.</w:t>
      </w:r>
      <w:r>
        <w:rPr>
          <w:lang w:val="ru-RU"/>
        </w:rPr>
        <w:tab/>
      </w:r>
      <w:r>
        <w:rPr>
          <w:u w:val="single"/>
          <w:lang w:val="ru-RU"/>
        </w:rPr>
        <w:t>Г-н ЛАХИРИ</w:t>
      </w:r>
      <w:r>
        <w:rPr>
          <w:lang w:val="ru-RU"/>
        </w:rPr>
        <w:t xml:space="preserve"> хотел бы знать, если в рамках подготовки к Конференции по обзору Дурбанского процесса предусматривается принятие конкретных мер, поощряющих страны Азии к ратификации Конвенции, принимая во внимание то, что пока еще очень мало этих стран ратифицировали ее. </w:t>
      </w:r>
    </w:p>
    <w:p w:rsidR="001F3233" w:rsidRDefault="001F3233">
      <w:pPr>
        <w:spacing w:after="240"/>
        <w:rPr>
          <w:lang w:val="ru-RU"/>
        </w:rPr>
      </w:pPr>
      <w:r>
        <w:rPr>
          <w:lang w:val="ru-RU"/>
        </w:rPr>
        <w:t>18.</w:t>
      </w:r>
      <w:r>
        <w:rPr>
          <w:lang w:val="ru-RU"/>
        </w:rPr>
        <w:tab/>
      </w:r>
      <w:r>
        <w:rPr>
          <w:u w:val="single"/>
          <w:lang w:val="ru-RU"/>
        </w:rPr>
        <w:t>Г-н СИСИЛИАНОС</w:t>
      </w:r>
      <w:r>
        <w:rPr>
          <w:lang w:val="ru-RU"/>
        </w:rPr>
        <w:t xml:space="preserve"> просит г-на Ндиайе объяснить, каким образом различные элементы информации, собранные договорными органами по правам человека используются в рамках нового механизма универсального периодического обзора (УПО), и если, в свою очередь, выводы Совета по правам человека в достаточной степени учитывают окончательные рекомендации и выводы этих органов.</w:t>
      </w:r>
    </w:p>
    <w:p w:rsidR="001F3233" w:rsidRDefault="001F3233">
      <w:pPr>
        <w:spacing w:after="240"/>
        <w:rPr>
          <w:lang w:val="ru-RU"/>
        </w:rPr>
      </w:pPr>
      <w:r>
        <w:rPr>
          <w:lang w:val="ru-RU"/>
        </w:rPr>
        <w:t>19.</w:t>
      </w:r>
      <w:r>
        <w:rPr>
          <w:lang w:val="ru-RU"/>
        </w:rPr>
        <w:tab/>
      </w:r>
      <w:r>
        <w:rPr>
          <w:u w:val="single"/>
          <w:lang w:val="ru-RU"/>
        </w:rPr>
        <w:t>Г-н АВТОНОМОВ</w:t>
      </w:r>
      <w:r>
        <w:rPr>
          <w:lang w:val="ru-RU"/>
        </w:rPr>
        <w:t xml:space="preserve"> напоминает, что Комитет рассматривает геноцид как одно из наиболее тяжких преступлений и что он к тому же принял Декларацию о предотвращении геноцида по итогам тематического обсуждения этого вопроса в марте 2005 года. Тем не менее, хоть и важно подвергнуть наказанию ответственных за преступления геноцида, этим мало поможешь его жертвам, поэтому необходимо сосредоточить внимание на мерах по предупреждению. Кроме того, даже если мандат Комитета распространяется на один аспект защиты прав человека, а именно: на борьбу против дискриминации, он играет основополагающую роль в защите всех остальных прав.  </w:t>
      </w:r>
    </w:p>
    <w:p w:rsidR="001F3233" w:rsidRDefault="001F3233">
      <w:pPr>
        <w:spacing w:after="240"/>
        <w:rPr>
          <w:lang w:val="ru-RU"/>
        </w:rPr>
      </w:pPr>
      <w:r>
        <w:rPr>
          <w:lang w:val="ru-RU"/>
        </w:rPr>
        <w:t>20.</w:t>
      </w:r>
      <w:r>
        <w:rPr>
          <w:lang w:val="ru-RU"/>
        </w:rPr>
        <w:tab/>
        <w:t xml:space="preserve">Кроме того, г-н Автономов хотел бы знать, как решения и выводы Комитета используются Советом по правам человека, и как Комитет мог бы оптимизировать свое будущее сотрудничество с этой инстанцией. Он также спрашивает г-на Ндиайе, каким образом Совет по правам человека мог бы, в свою очередь, помочь Комитету установить или возобновить диалог с государствами-участниками, которые подписали Конвенцию, но не представили периодического доклада, или чей последний периодический доклад был представлен очень давно. </w:t>
      </w:r>
    </w:p>
    <w:p w:rsidR="001F3233" w:rsidRDefault="001F3233">
      <w:pPr>
        <w:spacing w:after="240"/>
      </w:pPr>
      <w:r>
        <w:rPr>
          <w:lang w:val="ru-RU"/>
        </w:rPr>
        <w:t>21.</w:t>
      </w:r>
      <w:r>
        <w:rPr>
          <w:lang w:val="ru-RU"/>
        </w:rPr>
        <w:tab/>
      </w:r>
      <w:r>
        <w:rPr>
          <w:u w:val="single"/>
          <w:lang w:val="ru-RU"/>
        </w:rPr>
        <w:t>Г-н КЕМАЛЬ</w:t>
      </w:r>
      <w:r>
        <w:rPr>
          <w:lang w:val="ru-RU"/>
        </w:rPr>
        <w:t xml:space="preserve"> говорит, что в ходе седьмого межкомитетского совещания органов, созданных в соответствии с международными соглашениями по правам человека, участники выразили озабоченность тем фактом, что универсальный периодический обзор мобилизовал значительные ресурсы, и что существует риск сокращения бюджетов органов по контролю за соблюдением договоров в такой же пропорции. Он</w:t>
      </w:r>
      <w:r>
        <w:rPr>
          <w:lang w:val="fr-FR"/>
        </w:rPr>
        <w:t xml:space="preserve"> </w:t>
      </w:r>
      <w:r>
        <w:rPr>
          <w:lang w:val="ru-RU"/>
        </w:rPr>
        <w:t>хотел</w:t>
      </w:r>
      <w:r>
        <w:rPr>
          <w:lang w:val="fr-FR"/>
        </w:rPr>
        <w:t xml:space="preserve"> </w:t>
      </w:r>
      <w:r>
        <w:rPr>
          <w:lang w:val="ru-RU"/>
        </w:rPr>
        <w:t>бы</w:t>
      </w:r>
      <w:r>
        <w:rPr>
          <w:lang w:val="fr-FR"/>
        </w:rPr>
        <w:t xml:space="preserve"> </w:t>
      </w:r>
      <w:r>
        <w:rPr>
          <w:lang w:val="ru-RU"/>
        </w:rPr>
        <w:t>знать</w:t>
      </w:r>
      <w:r>
        <w:rPr>
          <w:lang w:val="fr-FR"/>
        </w:rPr>
        <w:t xml:space="preserve">, </w:t>
      </w:r>
      <w:r>
        <w:rPr>
          <w:lang w:val="ru-RU"/>
        </w:rPr>
        <w:t>насколько</w:t>
      </w:r>
      <w:r>
        <w:rPr>
          <w:lang w:val="fr-FR"/>
        </w:rPr>
        <w:t xml:space="preserve"> </w:t>
      </w:r>
      <w:r>
        <w:rPr>
          <w:lang w:val="ru-RU"/>
        </w:rPr>
        <w:t>эти</w:t>
      </w:r>
      <w:r>
        <w:rPr>
          <w:lang w:val="fr-FR"/>
        </w:rPr>
        <w:t xml:space="preserve"> </w:t>
      </w:r>
      <w:r>
        <w:rPr>
          <w:lang w:val="ru-RU"/>
        </w:rPr>
        <w:t>опасения</w:t>
      </w:r>
      <w:r>
        <w:rPr>
          <w:lang w:val="fr-FR"/>
        </w:rPr>
        <w:t xml:space="preserve"> </w:t>
      </w:r>
      <w:r>
        <w:rPr>
          <w:lang w:val="ru-RU"/>
        </w:rPr>
        <w:t>обоснованы</w:t>
      </w:r>
      <w:r>
        <w:rPr>
          <w:lang w:val="fr-FR"/>
        </w:rPr>
        <w:t xml:space="preserve">. </w:t>
      </w:r>
      <w:r>
        <w:t xml:space="preserve"> </w:t>
      </w:r>
    </w:p>
    <w:p w:rsidR="001F3233" w:rsidRDefault="001F3233">
      <w:pPr>
        <w:spacing w:after="240"/>
        <w:rPr>
          <w:lang w:val="ru-RU"/>
        </w:rPr>
      </w:pPr>
      <w:r>
        <w:rPr>
          <w:lang w:val="ru-RU"/>
        </w:rPr>
        <w:t>22.</w:t>
      </w:r>
      <w:r>
        <w:rPr>
          <w:lang w:val="ru-RU"/>
        </w:rPr>
        <w:tab/>
      </w:r>
      <w:r>
        <w:rPr>
          <w:u w:val="single"/>
          <w:lang w:val="ru-RU"/>
        </w:rPr>
        <w:t>Г-н НДИАЙЕ</w:t>
      </w:r>
      <w:r>
        <w:rPr>
          <w:lang w:val="ru-RU"/>
        </w:rPr>
        <w:t xml:space="preserve">, отвечая на вопросы членов Комитета и ссылаясь на предупреждение геноцида, отмечает, что Комитет является единственным договорным органом, имеющим в своем распоряжении меры раннего предупреждения и незамедлительных действий. Действительно, учитывая его специфическую компетентность в области дискриминации, Комитет обладает особой способностью распознать ранние признаки такого тяжелого кризиса, как геноцид. Тем не менее, отсутствие переходного механизма между моментом объявления тревоги Комитетом и моментом принятия конкретных мер Советом Безопасности, Генеральным секретарем или государствами-членами очень сильно ощущается. Кроме того, поскольку члены Комитета собираются только два раза в год, они практически всегда отсутствуют в момент принятия решений по ситуациям, к которым привлекается внимание компетентных органов. Разумеется, Управление Верховного комиссара выполняет роль посредника между Комитетом и директивными органами, но отнюдь не регулярно. Поэтому обязательно следует создать механизм, который бы обеспечивал постоянную связь между Комитетом и директивными органами, чтобы меры раннего предупреждения и процедуры незамедлительных действий реализовывались на практике в самый кратчайший срок.   Кроме того, г-н Ндиайе отмечает, что Верховный комиссар безоговорочно поддерживает предложение Комитета относительно разработки факультативного протокола к Конвенции, предусматривающего проведение расследования на месте. Действительно, поездки на место событий могли бы быть очень полезны, поскольку Комитет мог бы проверить на месте обоснованность имеющейся в его распоряжении информации, свидетельствующей о возможной опасности этнической чистки или геноцида.  </w:t>
      </w:r>
    </w:p>
    <w:p w:rsidR="001F3233" w:rsidRDefault="001F3233">
      <w:pPr>
        <w:spacing w:after="240"/>
        <w:rPr>
          <w:lang w:val="ru-RU"/>
        </w:rPr>
      </w:pPr>
      <w:r>
        <w:rPr>
          <w:lang w:val="ru-RU"/>
        </w:rPr>
        <w:t>23.</w:t>
      </w:r>
      <w:r>
        <w:rPr>
          <w:lang w:val="ru-RU"/>
        </w:rPr>
        <w:tab/>
        <w:t>Поддерживая предложение г-на Торнберри о проведении общего исследования  по механизмам раннего предупреждения, г-н Ндиайе говорит, что реализация такого исследования могла бы быть поручена будущей структуре, которая могла бы стать результатом слияния функций Специального советника по предупреждению геноцида и Специального советника по ответственности за з</w:t>
      </w:r>
      <w:r>
        <w:rPr>
          <w:lang w:val="ru-RU"/>
        </w:rPr>
        <w:t>а</w:t>
      </w:r>
      <w:r>
        <w:rPr>
          <w:lang w:val="ru-RU"/>
        </w:rPr>
        <w:t xml:space="preserve">щиту.  </w:t>
      </w:r>
    </w:p>
    <w:p w:rsidR="001F3233" w:rsidRDefault="001F3233">
      <w:pPr>
        <w:spacing w:after="240"/>
        <w:rPr>
          <w:lang w:val="ru-RU"/>
        </w:rPr>
      </w:pPr>
      <w:r>
        <w:rPr>
          <w:lang w:val="ru-RU"/>
        </w:rPr>
        <w:t>24.</w:t>
      </w:r>
      <w:r>
        <w:rPr>
          <w:lang w:val="ru-RU"/>
        </w:rPr>
        <w:tab/>
        <w:t xml:space="preserve">Что касается учета работы Комитета по универсальному периодическому обзору, то г-н Ндиайе напоминает, что доклады, которые Управление Верховного комиссара должно подготовить по обследуемым странам в рамках этой процедуры, содержат, среди прочего, ссылки на заключительные замечания договорных органов, а также информацию о выполнении рекомендаций комитетов. По окончании обзора ситуации в данном государстве, группа («тройка»), состоящая из дипломатов трех государств, формулирует свои предложения по рекомендациям, которые затем утверждаются на пленарном заседании. В целом, эти рекомендации во многом основываются на рекомендациях договорных органов. Таким образом, универсальный периодический обзор представляет собой продолжение работы этих органов и придает ей большую наглядность.  И, наконец, если члены договорного органа этого желают, в ходе текущей сессии может быть организовано информационное совещание с участием сотрудников Управления Верховного комиссара, непосредственно занимающихся универсальным периодическим обзором. </w:t>
      </w:r>
    </w:p>
    <w:p w:rsidR="001F3233" w:rsidRDefault="001F3233">
      <w:pPr>
        <w:spacing w:after="240"/>
        <w:rPr>
          <w:lang w:val="ru-RU"/>
        </w:rPr>
      </w:pPr>
      <w:r>
        <w:rPr>
          <w:lang w:val="ru-RU"/>
        </w:rPr>
        <w:t>25.</w:t>
      </w:r>
      <w:r>
        <w:rPr>
          <w:lang w:val="ru-RU"/>
        </w:rPr>
        <w:tab/>
        <w:t>Что касается опасений, что без того уже ограниченные средства договорных органов будут поглощены универсальным периодическим обзором, г-н Ндиайе говорит, что беспокойство по этому поводу не имеет оснований, поскольку государства-члены согласились предпринять особые усилия для выделения Управлению Верховного комиссара дополнительных ресурсов, позволяющих покрыть расходы, вызванные этим новым механизмом. Благодаря этому увеличению бюджета, в рамках Управления Верховного комиссара стало возможным создание 17</w:t>
      </w:r>
      <w:r>
        <w:t> </w:t>
      </w:r>
      <w:r>
        <w:rPr>
          <w:lang w:val="ru-RU"/>
        </w:rPr>
        <w:t xml:space="preserve">новых постов. Все это дает преимущество договорным органам, поскольку им предлагается осуществлять долговременное и тесное сотрудничество с Советом по правам человека, способствующее их взаимному укреплению. </w:t>
      </w:r>
    </w:p>
    <w:p w:rsidR="001F3233" w:rsidRDefault="001F3233">
      <w:pPr>
        <w:spacing w:after="240"/>
      </w:pPr>
      <w:r>
        <w:rPr>
          <w:lang w:val="ru-RU"/>
        </w:rPr>
        <w:t>26.</w:t>
      </w:r>
      <w:r>
        <w:rPr>
          <w:lang w:val="ru-RU"/>
        </w:rPr>
        <w:tab/>
        <w:t>С момента проведения семьдесят второй сессии Комитета не было зарегистрировано ни одной новой ратификации Конвенции, и это означает, что Конвенция по-прежнему насчитывает 173</w:t>
      </w:r>
      <w:r>
        <w:t> </w:t>
      </w:r>
      <w:r>
        <w:rPr>
          <w:lang w:val="ru-RU"/>
        </w:rPr>
        <w:t>государства-участника. Вместе с тем, Сан-Марино и Казахстан сделали заявление, предусмотренное статьей 14 Конвенции, что увеличило до 53 количество государств, которые признают компетенцию Комитета</w:t>
      </w:r>
      <w:r>
        <w:rPr>
          <w:lang w:val="fr-FR"/>
        </w:rPr>
        <w:t xml:space="preserve"> </w:t>
      </w:r>
      <w:r>
        <w:rPr>
          <w:lang w:val="ru-RU"/>
        </w:rPr>
        <w:t>принимать</w:t>
      </w:r>
      <w:r>
        <w:rPr>
          <w:lang w:val="fr-FR"/>
        </w:rPr>
        <w:t xml:space="preserve"> </w:t>
      </w:r>
      <w:r>
        <w:rPr>
          <w:lang w:val="ru-RU"/>
        </w:rPr>
        <w:t>и</w:t>
      </w:r>
      <w:r>
        <w:rPr>
          <w:lang w:val="fr-FR"/>
        </w:rPr>
        <w:t xml:space="preserve"> </w:t>
      </w:r>
      <w:r>
        <w:rPr>
          <w:lang w:val="ru-RU"/>
        </w:rPr>
        <w:t>рассматривать</w:t>
      </w:r>
      <w:r>
        <w:rPr>
          <w:lang w:val="fr-FR"/>
        </w:rPr>
        <w:t xml:space="preserve"> </w:t>
      </w:r>
      <w:r>
        <w:rPr>
          <w:lang w:val="ru-RU"/>
        </w:rPr>
        <w:t>сообщения</w:t>
      </w:r>
      <w:r>
        <w:t xml:space="preserve">. </w:t>
      </w:r>
    </w:p>
    <w:p w:rsidR="001F3233" w:rsidRDefault="001F3233">
      <w:pPr>
        <w:spacing w:after="240"/>
        <w:rPr>
          <w:lang w:val="ru-RU"/>
        </w:rPr>
      </w:pPr>
      <w:r>
        <w:rPr>
          <w:lang w:val="ru-RU"/>
        </w:rPr>
        <w:t>27.</w:t>
      </w:r>
      <w:r>
        <w:rPr>
          <w:lang w:val="ru-RU"/>
        </w:rPr>
        <w:tab/>
        <w:t xml:space="preserve">Доклад Региональной конференции стран Латинской Америки и Карибского бассейна по подготовке к Конференции по обзору Дурбанского процесса, состоявшейся в Бразилиа в июне 2008 года, пока еще не может быть распространен среди членов Комитета, поскольку еще находится на стадии перевода. Комитет получит этот документ, как только он будет переведен на все официальные языки. Если члены Комитета этого пожелают, может быть также организовано информационное совещание с участием сотрудников Управления Верховного комиссара, занимающихся подготовкой Конференции по обзору Дурбанского процесса.  </w:t>
      </w:r>
    </w:p>
    <w:p w:rsidR="001F3233" w:rsidRDefault="001F3233">
      <w:pPr>
        <w:spacing w:after="240"/>
        <w:rPr>
          <w:lang w:val="ru-RU"/>
        </w:rPr>
      </w:pPr>
      <w:r>
        <w:rPr>
          <w:lang w:val="ru-RU"/>
        </w:rPr>
        <w:t>28.</w:t>
      </w:r>
      <w:r>
        <w:rPr>
          <w:lang w:val="ru-RU"/>
        </w:rPr>
        <w:tab/>
        <w:t xml:space="preserve">Что касается отсутствия диалога между отдельными государствами-участниками и Комитетом, г-н Ндиайе отмечает, что Управление Верховного комиссара через свои региональные отделения выступает за ратификацию договоров по правам человека и за оказание помощи государствам-участникам этих договоров в подготовке их периодических докладов. Кроме того, Управление Верховного комиссара поощряет национальные учреждения, занимающиеся правами человека, а также местные неправительственные организации к оказанию давления на государства с тем, чтобы они ратифицировали эти договоры и завязали диалог с органами по контролю за соблюдением договоров. И, наконец, г-н Ндиайе с удовлетворением отмечает, что в рамках универсального периодического обзора государства-участники порой весьма откровенно спрашивают государства, где проводится изучение ситуации, почему они не ратифицировали тот или иной договор, и каким образом они выполняют рекомендации договорных органов. Г-на Ндиайе обнадеживает констатация того, что все эти деликатные вопросы, которые раньше задавались только неправительственными организациями, теперь также выдвигаются самими государствами-членами.   </w:t>
      </w:r>
    </w:p>
    <w:p w:rsidR="001F3233" w:rsidRDefault="001F3233">
      <w:pPr>
        <w:spacing w:after="240"/>
        <w:rPr>
          <w:lang w:val="ru-RU"/>
        </w:rPr>
      </w:pPr>
      <w:r>
        <w:rPr>
          <w:lang w:val="ru-RU"/>
        </w:rPr>
        <w:t>29.</w:t>
      </w:r>
      <w:r>
        <w:rPr>
          <w:lang w:val="ru-RU"/>
        </w:rPr>
        <w:tab/>
      </w:r>
      <w:r>
        <w:rPr>
          <w:u w:val="single"/>
          <w:lang w:val="ru-RU"/>
        </w:rPr>
        <w:t>ПРЕДСЕДАТЕЛЬ</w:t>
      </w:r>
      <w:r>
        <w:rPr>
          <w:lang w:val="ru-RU"/>
        </w:rPr>
        <w:t xml:space="preserve"> благодарит г-на Ндиайе за его ответы и заявляет, что Комитет надлежащим образом учтет его предложения. </w:t>
      </w:r>
    </w:p>
    <w:p w:rsidR="001F3233" w:rsidRDefault="001F3233">
      <w:pPr>
        <w:spacing w:after="240"/>
      </w:pPr>
      <w:r>
        <w:rPr>
          <w:lang w:val="ru-RU"/>
        </w:rPr>
        <w:t>ЗАПОЛНЕНИЕ</w:t>
      </w:r>
      <w:r>
        <w:rPr>
          <w:lang w:val="fr-FR"/>
        </w:rPr>
        <w:t xml:space="preserve"> </w:t>
      </w:r>
      <w:r>
        <w:rPr>
          <w:lang w:val="ru-RU"/>
        </w:rPr>
        <w:t>НЕПРЕДВИДЕННЫХ</w:t>
      </w:r>
      <w:r>
        <w:rPr>
          <w:lang w:val="fr-FR"/>
        </w:rPr>
        <w:t xml:space="preserve"> </w:t>
      </w:r>
      <w:r>
        <w:rPr>
          <w:lang w:val="ru-RU"/>
        </w:rPr>
        <w:t>ВАКАНСИЙ</w:t>
      </w:r>
      <w:r>
        <w:t xml:space="preserve"> </w:t>
      </w:r>
    </w:p>
    <w:p w:rsidR="001F3233" w:rsidRDefault="001F3233">
      <w:pPr>
        <w:spacing w:after="240"/>
        <w:rPr>
          <w:lang w:val="ru-RU"/>
        </w:rPr>
      </w:pPr>
      <w:r>
        <w:rPr>
          <w:lang w:val="ru-RU"/>
        </w:rPr>
        <w:t>30.</w:t>
      </w:r>
      <w:r>
        <w:rPr>
          <w:lang w:val="ru-RU"/>
        </w:rPr>
        <w:tab/>
      </w:r>
      <w:r>
        <w:rPr>
          <w:u w:val="single"/>
          <w:lang w:val="ru-RU"/>
        </w:rPr>
        <w:t>ПРЕДСЕДАТЕЛЬ</w:t>
      </w:r>
      <w:r>
        <w:rPr>
          <w:lang w:val="ru-RU"/>
        </w:rPr>
        <w:t xml:space="preserve"> говорит, что, поскольку г-н Кьерум подал в отставку, правительство Дании назначило кандидатуру на его замену в лице г-на Скибстеда и информировало об этом Комитет письмом от 21</w:t>
      </w:r>
      <w:r>
        <w:t> </w:t>
      </w:r>
      <w:r>
        <w:rPr>
          <w:lang w:val="ru-RU"/>
        </w:rPr>
        <w:t xml:space="preserve">апреля 2008 года. Но по причине профессиональной занятости г-н Скибстед не может присутствовать на текущей сессии и будет участвовать в работе Комитета, только начиная с семьдесят четвертой сессии. Поэтому Председатель предлагает членам Комитета перенести назначение эксперта на сессию в феврале 2009 года. </w:t>
      </w:r>
    </w:p>
    <w:p w:rsidR="001F3233" w:rsidRDefault="001F3233">
      <w:pPr>
        <w:spacing w:after="240"/>
      </w:pPr>
      <w:r>
        <w:rPr>
          <w:lang w:val="ru-RU"/>
        </w:rPr>
        <w:t>31.</w:t>
      </w:r>
      <w:r>
        <w:rPr>
          <w:lang w:val="ru-RU"/>
        </w:rPr>
        <w:tab/>
      </w:r>
      <w:r>
        <w:rPr>
          <w:u w:val="single"/>
          <w:lang w:val="ru-RU"/>
        </w:rPr>
        <w:t>Г-н ДЬЯКОНУ</w:t>
      </w:r>
      <w:r>
        <w:rPr>
          <w:lang w:val="ru-RU"/>
        </w:rPr>
        <w:t xml:space="preserve">, которого поддерживает  </w:t>
      </w:r>
      <w:r>
        <w:rPr>
          <w:u w:val="single"/>
          <w:lang w:val="ru-RU"/>
        </w:rPr>
        <w:t>г-н МУРИЛЬО МАРТИНЕС</w:t>
      </w:r>
      <w:r>
        <w:rPr>
          <w:lang w:val="ru-RU"/>
        </w:rPr>
        <w:t>, считает предпочтительным, чтобы Комитет вынес решение о назначении г-на Скибстеда на текущей сессии, что позволит ему находится в регулярном контакте с секретариатом и с другими членами Комитета, а также получать всю необходимую документацию, которая позволит ему надлежащим образом подготовиться к проведению семьдесят четвертой сессии. Такое</w:t>
      </w:r>
      <w:r>
        <w:rPr>
          <w:lang w:val="fr-FR"/>
        </w:rPr>
        <w:t xml:space="preserve"> </w:t>
      </w:r>
      <w:r>
        <w:rPr>
          <w:lang w:val="ru-RU"/>
        </w:rPr>
        <w:t>прагматическое</w:t>
      </w:r>
      <w:r>
        <w:rPr>
          <w:lang w:val="fr-FR"/>
        </w:rPr>
        <w:t xml:space="preserve"> </w:t>
      </w:r>
      <w:r>
        <w:rPr>
          <w:lang w:val="ru-RU"/>
        </w:rPr>
        <w:t>решение</w:t>
      </w:r>
      <w:r>
        <w:rPr>
          <w:lang w:val="fr-FR"/>
        </w:rPr>
        <w:t xml:space="preserve"> </w:t>
      </w:r>
      <w:r>
        <w:rPr>
          <w:lang w:val="ru-RU"/>
        </w:rPr>
        <w:t>будет</w:t>
      </w:r>
      <w:r>
        <w:rPr>
          <w:lang w:val="fr-FR"/>
        </w:rPr>
        <w:t xml:space="preserve"> </w:t>
      </w:r>
      <w:r>
        <w:rPr>
          <w:lang w:val="ru-RU"/>
        </w:rPr>
        <w:t>в</w:t>
      </w:r>
      <w:r>
        <w:rPr>
          <w:lang w:val="fr-FR"/>
        </w:rPr>
        <w:t xml:space="preserve"> </w:t>
      </w:r>
      <w:r>
        <w:rPr>
          <w:lang w:val="ru-RU"/>
        </w:rPr>
        <w:t>интересах</w:t>
      </w:r>
      <w:r>
        <w:rPr>
          <w:lang w:val="fr-FR"/>
        </w:rPr>
        <w:t xml:space="preserve"> </w:t>
      </w:r>
      <w:r>
        <w:rPr>
          <w:lang w:val="ru-RU"/>
        </w:rPr>
        <w:t>обеспечения</w:t>
      </w:r>
      <w:r>
        <w:rPr>
          <w:lang w:val="fr-FR"/>
        </w:rPr>
        <w:t xml:space="preserve"> </w:t>
      </w:r>
      <w:r>
        <w:rPr>
          <w:lang w:val="ru-RU"/>
        </w:rPr>
        <w:t>работы</w:t>
      </w:r>
      <w:r>
        <w:rPr>
          <w:lang w:val="fr-FR"/>
        </w:rPr>
        <w:t xml:space="preserve"> </w:t>
      </w:r>
      <w:r>
        <w:rPr>
          <w:lang w:val="ru-RU"/>
        </w:rPr>
        <w:t>Комитета</w:t>
      </w:r>
      <w:r>
        <w:rPr>
          <w:lang w:val="fr-FR"/>
        </w:rPr>
        <w:t xml:space="preserve">. </w:t>
      </w:r>
      <w:r>
        <w:t xml:space="preserve"> </w:t>
      </w:r>
    </w:p>
    <w:p w:rsidR="001F3233" w:rsidRDefault="001F3233">
      <w:pPr>
        <w:spacing w:after="240"/>
        <w:rPr>
          <w:lang w:val="ru-RU"/>
        </w:rPr>
      </w:pPr>
      <w:r>
        <w:rPr>
          <w:lang w:val="ru-RU"/>
        </w:rPr>
        <w:t>32.</w:t>
      </w:r>
      <w:r>
        <w:rPr>
          <w:lang w:val="ru-RU"/>
        </w:rPr>
        <w:tab/>
      </w:r>
      <w:r>
        <w:rPr>
          <w:u w:val="single"/>
          <w:lang w:val="ru-RU"/>
        </w:rPr>
        <w:t>Г-н де ГУТТ</w:t>
      </w:r>
      <w:r>
        <w:rPr>
          <w:lang w:val="ru-RU"/>
        </w:rPr>
        <w:t>, присоединяясь к этому предложению, напоминает, что правило 13 Правил процедуры Комитета (</w:t>
      </w:r>
      <w:r>
        <w:t>CERD</w:t>
      </w:r>
      <w:r>
        <w:rPr>
          <w:lang w:val="ru-RU"/>
        </w:rPr>
        <w:t>/</w:t>
      </w:r>
      <w:r>
        <w:t>C</w:t>
      </w:r>
      <w:r>
        <w:rPr>
          <w:lang w:val="ru-RU"/>
        </w:rPr>
        <w:t>/35/</w:t>
      </w:r>
      <w:r>
        <w:t>Rev</w:t>
      </w:r>
      <w:r>
        <w:rPr>
          <w:lang w:val="ru-RU"/>
        </w:rPr>
        <w:t>.3) предусматривает, что в случае открытия непредвиденной вакансии, Генеральный секретарь просит государство-участника назначить другого эксперта из числа его граждан, и, таким образом, фамилия назначенного эксперта  представляется на утверждение Комитета, который выносит решение тайным голосованием. Это означает, что Комитет уже сейчас может принять решение, даже при отсутствии г-на Скибстеда.</w:t>
      </w:r>
    </w:p>
    <w:p w:rsidR="001F3233" w:rsidRDefault="001F3233">
      <w:pPr>
        <w:spacing w:after="240"/>
        <w:rPr>
          <w:lang w:val="fr-FR"/>
        </w:rPr>
      </w:pPr>
      <w:r>
        <w:rPr>
          <w:lang w:val="ru-RU"/>
        </w:rPr>
        <w:t>33.</w:t>
      </w:r>
      <w:r>
        <w:rPr>
          <w:lang w:val="ru-RU"/>
        </w:rPr>
        <w:tab/>
        <w:t xml:space="preserve">После обмена мнениями, в котором принимают участие </w:t>
      </w:r>
      <w:r>
        <w:rPr>
          <w:u w:val="single"/>
          <w:lang w:val="ru-RU"/>
        </w:rPr>
        <w:t>г-н ТОРНБЕРРИ</w:t>
      </w:r>
      <w:r>
        <w:rPr>
          <w:lang w:val="ru-RU"/>
        </w:rPr>
        <w:t xml:space="preserve">, </w:t>
      </w:r>
      <w:r>
        <w:rPr>
          <w:u w:val="single"/>
          <w:lang w:val="ru-RU"/>
        </w:rPr>
        <w:t>г-н АВТОНОМОВ</w:t>
      </w:r>
      <w:r>
        <w:rPr>
          <w:lang w:val="ru-RU"/>
        </w:rPr>
        <w:t xml:space="preserve">, </w:t>
      </w:r>
      <w:r>
        <w:rPr>
          <w:u w:val="single"/>
          <w:lang w:val="ru-RU"/>
        </w:rPr>
        <w:t>г-н СИСИЛИАНОС</w:t>
      </w:r>
      <w:r>
        <w:rPr>
          <w:lang w:val="ru-RU"/>
        </w:rPr>
        <w:t xml:space="preserve"> и она сама, </w:t>
      </w:r>
      <w:r>
        <w:rPr>
          <w:u w:val="single"/>
          <w:lang w:val="ru-RU"/>
        </w:rPr>
        <w:t>ПРЕДСЕДАТЕЛЬ</w:t>
      </w:r>
      <w:r>
        <w:rPr>
          <w:lang w:val="ru-RU"/>
        </w:rPr>
        <w:t xml:space="preserve">  констатирует наличие консенсуса по вопросу об утверждении назначения г-на Скибстеда на текущей сессии. Она предлагает, чтобы процедура, предусмотренная в случае непредвиденных вакансий правилом 13 Правил процедуры, была исполнена на следующем заседании.  </w:t>
      </w:r>
    </w:p>
    <w:p w:rsidR="001F3233" w:rsidRDefault="001F3233">
      <w:pPr>
        <w:spacing w:after="240"/>
        <w:rPr>
          <w:i/>
          <w:lang w:val="ru-RU"/>
        </w:rPr>
      </w:pPr>
      <w:r>
        <w:rPr>
          <w:lang w:val="ru-RU"/>
        </w:rPr>
        <w:t>34.</w:t>
      </w:r>
      <w:r>
        <w:rPr>
          <w:lang w:val="ru-RU"/>
        </w:rPr>
        <w:tab/>
      </w:r>
      <w:r>
        <w:rPr>
          <w:i/>
          <w:lang w:val="ru-RU"/>
        </w:rPr>
        <w:t>Решение принимается.</w:t>
      </w:r>
    </w:p>
    <w:p w:rsidR="001F3233" w:rsidRDefault="001F3233">
      <w:pPr>
        <w:spacing w:after="240"/>
        <w:rPr>
          <w:lang w:val="ru-RU"/>
        </w:rPr>
      </w:pPr>
      <w:r>
        <w:rPr>
          <w:lang w:val="ru-RU"/>
        </w:rPr>
        <w:t>УТВЕРЖДЕНИЕ ПОВЕСТКИ ДНЯ (пункт 1 предварительной повестки дня) (</w:t>
      </w:r>
      <w:r>
        <w:t>CERD</w:t>
      </w:r>
      <w:r>
        <w:rPr>
          <w:lang w:val="ru-RU"/>
        </w:rPr>
        <w:t>/</w:t>
      </w:r>
      <w:r>
        <w:t>C</w:t>
      </w:r>
      <w:r>
        <w:rPr>
          <w:lang w:val="ru-RU"/>
        </w:rPr>
        <w:t>/73/1)</w:t>
      </w:r>
    </w:p>
    <w:p w:rsidR="001F3233" w:rsidRDefault="001F3233">
      <w:pPr>
        <w:spacing w:after="240"/>
        <w:rPr>
          <w:lang w:val="ru-RU"/>
        </w:rPr>
      </w:pPr>
      <w:r>
        <w:rPr>
          <w:lang w:val="ru-RU"/>
        </w:rPr>
        <w:t>35.</w:t>
      </w:r>
      <w:r>
        <w:rPr>
          <w:lang w:val="ru-RU"/>
        </w:rPr>
        <w:tab/>
      </w:r>
      <w:r>
        <w:rPr>
          <w:u w:val="single"/>
          <w:lang w:val="ru-RU"/>
        </w:rPr>
        <w:t>Г-н де ГУТТ</w:t>
      </w:r>
      <w:r>
        <w:rPr>
          <w:lang w:val="ru-RU"/>
        </w:rPr>
        <w:t xml:space="preserve"> говорит, что Комитету следовало бы воспользоваться предложением г-на Ндиайе по организации информационного совещания с сотрудниками Управления Верховного комиссара, занимающимися контролем за универсальным периодическим обзором, и предлагает включить в повестку дня новый пункт по этому вопросу.</w:t>
      </w:r>
    </w:p>
    <w:p w:rsidR="001F3233" w:rsidRDefault="001F3233">
      <w:pPr>
        <w:spacing w:after="240"/>
        <w:rPr>
          <w:lang w:val="ru-RU"/>
        </w:rPr>
      </w:pPr>
      <w:r>
        <w:rPr>
          <w:lang w:val="ru-RU"/>
        </w:rPr>
        <w:t>36.</w:t>
      </w:r>
      <w:r>
        <w:rPr>
          <w:lang w:val="ru-RU"/>
        </w:rPr>
        <w:tab/>
      </w:r>
      <w:r>
        <w:rPr>
          <w:u w:val="single"/>
          <w:lang w:val="ru-RU"/>
        </w:rPr>
        <w:t>ПРЕДЕДАТЕЛЬ</w:t>
      </w:r>
      <w:r>
        <w:rPr>
          <w:lang w:val="ru-RU"/>
        </w:rPr>
        <w:t xml:space="preserve"> говорит о своем благоприятном отношении к предшествующему предложению, учитывая также, что универсальный периодический обзор вполне возможно станет постоянным пунктом повестки дня будущих сессий Комитета.</w:t>
      </w:r>
    </w:p>
    <w:p w:rsidR="001F3233" w:rsidRDefault="001F3233">
      <w:pPr>
        <w:spacing w:after="240"/>
        <w:rPr>
          <w:i/>
          <w:lang w:val="ru-RU"/>
        </w:rPr>
      </w:pPr>
      <w:r>
        <w:rPr>
          <w:lang w:val="ru-RU"/>
        </w:rPr>
        <w:t>37.</w:t>
      </w:r>
      <w:r>
        <w:rPr>
          <w:lang w:val="ru-RU"/>
        </w:rPr>
        <w:tab/>
      </w:r>
      <w:r>
        <w:rPr>
          <w:i/>
          <w:lang w:val="ru-RU"/>
        </w:rPr>
        <w:t>Предварительная повестка дня (</w:t>
      </w:r>
      <w:r>
        <w:rPr>
          <w:i/>
        </w:rPr>
        <w:t>CERD</w:t>
      </w:r>
      <w:r>
        <w:rPr>
          <w:i/>
          <w:lang w:val="ru-RU"/>
        </w:rPr>
        <w:t>/</w:t>
      </w:r>
      <w:r>
        <w:rPr>
          <w:i/>
        </w:rPr>
        <w:t>C</w:t>
      </w:r>
      <w:r>
        <w:rPr>
          <w:i/>
          <w:lang w:val="ru-RU"/>
        </w:rPr>
        <w:t>/73/1) с внесенными изменениями принимается.</w:t>
      </w:r>
    </w:p>
    <w:p w:rsidR="001F3233" w:rsidRDefault="001F3233">
      <w:pPr>
        <w:spacing w:after="240"/>
        <w:rPr>
          <w:caps/>
          <w:lang w:val="ru-RU"/>
        </w:rPr>
      </w:pPr>
      <w:r>
        <w:rPr>
          <w:lang w:val="ru-RU"/>
        </w:rPr>
        <w:t>ДИАЛОГ С ДРУГИМИ ОРГАНАМИ И СПЕЦИАЛИЗИРОВАННЫМИ УЧРЕЖДЕНИЯМИ ОРГАНИЗАЦИИ ОБЪЕДИНЕННЫХ НАЦИЙ, А ТАКЖЕ С ДРУГИМИ КОМПЕТЕНТНЫМИ ОРГАНАМИ</w:t>
      </w:r>
    </w:p>
    <w:p w:rsidR="001F3233" w:rsidRDefault="001F3233">
      <w:pPr>
        <w:spacing w:after="240"/>
        <w:rPr>
          <w:u w:val="single"/>
          <w:lang w:val="ru-RU"/>
        </w:rPr>
      </w:pPr>
      <w:r>
        <w:rPr>
          <w:u w:val="single"/>
          <w:lang w:val="ru-RU"/>
        </w:rPr>
        <w:t>Заявление представителя Группы по вопросам национальных учреждений Управления Верховного комиссара по правам человека</w:t>
      </w:r>
    </w:p>
    <w:p w:rsidR="001F3233" w:rsidRDefault="001F3233">
      <w:pPr>
        <w:spacing w:after="240"/>
        <w:rPr>
          <w:lang w:val="ru-RU"/>
        </w:rPr>
      </w:pPr>
      <w:r>
        <w:rPr>
          <w:lang w:val="ru-RU"/>
        </w:rPr>
        <w:t>38.</w:t>
      </w:r>
      <w:r>
        <w:rPr>
          <w:lang w:val="ru-RU"/>
        </w:rPr>
        <w:tab/>
      </w:r>
      <w:r>
        <w:rPr>
          <w:u w:val="single"/>
          <w:lang w:val="ru-RU"/>
        </w:rPr>
        <w:t>Г-жа СЕКАГГИЯ</w:t>
      </w:r>
      <w:r>
        <w:rPr>
          <w:lang w:val="ru-RU"/>
        </w:rPr>
        <w:t xml:space="preserve"> (Группа по вопросам национальных учреждений, Управление Верховного комиссара по правам человека) говорит, что Управление Верховного комиссара по правам человека очень внимательно относится к вопросу о соблюдении Парижских принципов национальными учреждениями по поощрению и защите прав человека. В своем новом плане стратегического руководства на 2008-2009 годы основным глобальным показателем является число национальных учреждений по правам человека, имеющих статус «</w:t>
      </w:r>
      <w:r>
        <w:t>A</w:t>
      </w:r>
      <w:r>
        <w:rPr>
          <w:lang w:val="ru-RU"/>
        </w:rPr>
        <w:t>», то есть учреждений, которым Управление Верховного комиссара помогло привести свою деятельность в соответствие с действующими минимальными международными стандартами. Управление Верховного комиссара также оказывает административную поддержку Международному координационному комитету национальных учреждений по поощрению и защите прав человека (МКК), который объединяет более 100 национальных учреждений, из которых 60</w:t>
      </w:r>
      <w:r>
        <w:t> </w:t>
      </w:r>
      <w:r>
        <w:rPr>
          <w:lang w:val="ru-RU"/>
        </w:rPr>
        <w:t>имеют в настоящее время статус «</w:t>
      </w:r>
      <w:r>
        <w:t>A</w:t>
      </w:r>
      <w:r>
        <w:rPr>
          <w:lang w:val="ru-RU"/>
        </w:rPr>
        <w:t xml:space="preserve">». Одной из основных функций МКК является оценка соответствия национальных учреждений Парижским принципам, а также их аккредитация с предоставлением соответствующего статуса. </w:t>
      </w:r>
    </w:p>
    <w:p w:rsidR="001F3233" w:rsidRDefault="001F3233">
      <w:pPr>
        <w:spacing w:after="240"/>
        <w:rPr>
          <w:lang w:val="ru-RU"/>
        </w:rPr>
      </w:pPr>
      <w:r>
        <w:rPr>
          <w:lang w:val="ru-RU"/>
        </w:rPr>
        <w:t>39.</w:t>
      </w:r>
      <w:r>
        <w:rPr>
          <w:lang w:val="ru-RU"/>
        </w:rPr>
        <w:tab/>
        <w:t>Подкомитет по аккредитации МКК недавно утвердил новую более точную, строгую и транспарентную процедуру аккредитации, позволившую разработать рекомендации с указанием мер, которые должны принять в установленный срок учреждения для получения статуса «</w:t>
      </w:r>
      <w:r>
        <w:t>A</w:t>
      </w:r>
      <w:r>
        <w:rPr>
          <w:lang w:val="ru-RU"/>
        </w:rPr>
        <w:t>» или его сохранения. Отныне национальные учреждения должны отчитываться о своем сотрудничестве с договорными органами, особенно по мерам, принятым в связи с их рекомендациями. МКК предоставляет национальному учреждению статус «</w:t>
      </w:r>
      <w:r>
        <w:t>A</w:t>
      </w:r>
      <w:r>
        <w:rPr>
          <w:lang w:val="ru-RU"/>
        </w:rPr>
        <w:t xml:space="preserve">», когда он считает, что данное учреждение полностью соответствует Парижским принципам как в юридическом плане, так и с точки зрения своей эффективности. За последние несколько месяцев пять национальных учреждений были понижены в своем статусе или информированы МКК о том, что их статус будет понижен, если они не заполнят имеющиеся пробелы в течение одного года. </w:t>
      </w:r>
    </w:p>
    <w:p w:rsidR="001F3233" w:rsidRDefault="001F3233">
      <w:pPr>
        <w:spacing w:after="240"/>
        <w:rPr>
          <w:lang w:val="ru-RU"/>
        </w:rPr>
      </w:pPr>
      <w:r>
        <w:rPr>
          <w:lang w:val="ru-RU"/>
        </w:rPr>
        <w:t>40.</w:t>
      </w:r>
      <w:r>
        <w:rPr>
          <w:lang w:val="ru-RU"/>
        </w:rPr>
        <w:tab/>
        <w:t>МКК принимает свои общие замечания на основе рекомендаций Подкомитета по аккредитации, которые направлены на то, чтобы дать национальным учреждениям дополнительные указания по осуществлению Парижских</w:t>
      </w:r>
      <w:r>
        <w:rPr>
          <w:lang w:val="fr-FR"/>
        </w:rPr>
        <w:t xml:space="preserve"> </w:t>
      </w:r>
      <w:r>
        <w:rPr>
          <w:lang w:val="ru-RU"/>
        </w:rPr>
        <w:t>принципов</w:t>
      </w:r>
      <w:r>
        <w:rPr>
          <w:lang w:val="fr-FR"/>
        </w:rPr>
        <w:t xml:space="preserve">. </w:t>
      </w:r>
      <w:r>
        <w:rPr>
          <w:lang w:val="ru-RU"/>
        </w:rPr>
        <w:t xml:space="preserve">В одном из своих общих замечаний МКК предложил национальным учреждениям сотрудничать с международной системой по защите прав человека, особенно с Советом по правам человека и с держателями мандатов в рамках специальных процедур, а также с договорными органами, принимая участие в их работе и следя за выполнением их рекомендаций на национальном уровне. Сотрудничество с системой Организации Объединенных Наций по правам человека отныне считается формальным требованием для декларации о соответствии, которую соответствующие национальные учреждения по правам человека должны представлять в МКК вместе с заявлением об аккредитации или о подтверждении аккредитации. </w:t>
      </w:r>
    </w:p>
    <w:p w:rsidR="001F3233" w:rsidRDefault="001F3233">
      <w:pPr>
        <w:spacing w:after="240"/>
        <w:rPr>
          <w:lang w:val="ru-RU"/>
        </w:rPr>
      </w:pPr>
      <w:r>
        <w:rPr>
          <w:lang w:val="ru-RU"/>
        </w:rPr>
        <w:t>41.</w:t>
      </w:r>
      <w:r>
        <w:rPr>
          <w:lang w:val="ru-RU"/>
        </w:rPr>
        <w:tab/>
        <w:t>В настоящее время сотрудничество национальных учреждений по поощрению и защите прав человека с системой по правам человека, особенно их вклад в подготовку списков вопросов для обсуждения и их присутствие на заседаниях комитетов в Женеве, скорее незначительно. Тем не менее, недавнее назначение представителя МКК в Женеве, г-жи Катарины Роуз, должно помочь национальным учреждениям по правам человека привлечь больше внимания к своему голосу на сессиях договорных органов и Совета по правам человека.  Кроме того, Управление Верховного комиссара прилагает все усилия к тому, чтобы побудить национальные учреждения к сосредоточению своих усилий на контроле за выполнением на национальном уровне рекомендацией, исходящих от органов системы Организации Объединенных Наций, и на активном вкладе в приведение действующего законодательства и практики в соответствие с международными нормами в области прав человека.</w:t>
      </w:r>
    </w:p>
    <w:p w:rsidR="001F3233" w:rsidRDefault="001F3233">
      <w:pPr>
        <w:spacing w:after="240"/>
        <w:rPr>
          <w:lang w:val="ru-RU"/>
        </w:rPr>
      </w:pPr>
      <w:r>
        <w:rPr>
          <w:lang w:val="ru-RU"/>
        </w:rPr>
        <w:t>42.</w:t>
      </w:r>
      <w:r>
        <w:rPr>
          <w:lang w:val="ru-RU"/>
        </w:rPr>
        <w:tab/>
        <w:t>Управление Верховного комиссара надеется, что проект документа по согласованному подходу к подключению национальных учреждений по правам человека к деятельности договорных органов, представленный МКК на межкомитетском совещании в июне 2007 года, внес полезный вклад в дискуссии, проводимые Комитетом по ликвидации расовой дискриминации по этому вопросу, особенно в рамках дебатов по согласованию методов работы. Управление Верховного комиссара предлагает договорным органам поддержать подход, представленный в этом документе, на который отныне опираются национальные учреждения для определения форм своего сотрудничества с системой договорных органов.</w:t>
      </w:r>
    </w:p>
    <w:p w:rsidR="001F3233" w:rsidRDefault="001F3233">
      <w:pPr>
        <w:spacing w:after="240"/>
        <w:rPr>
          <w:lang w:val="ru-RU"/>
        </w:rPr>
      </w:pPr>
      <w:r>
        <w:rPr>
          <w:lang w:val="ru-RU"/>
        </w:rPr>
        <w:t>43.</w:t>
      </w:r>
      <w:r>
        <w:rPr>
          <w:lang w:val="ru-RU"/>
        </w:rPr>
        <w:tab/>
        <w:t xml:space="preserve">В январе 2008 года Германский институт прав человека в тесном сотрудничестве с Управлением Верховного комиссара опубликовал пособие о роли национальных учреждений по поощрению и защите прав человека в деятельности договорных органов; в этой книге, где рассматриваются области сотрудничества между договорными органами и национальными учреждениями по правам человека, представлены средства улучшения такого сотрудничества, объясняются различные механизмы системы договорных органов, а также указываются действия, которые необходимо предпринять для участия в работе этих органов. </w:t>
      </w:r>
    </w:p>
    <w:p w:rsidR="001F3233" w:rsidRDefault="001F3233">
      <w:pPr>
        <w:spacing w:after="240"/>
        <w:rPr>
          <w:lang w:val="ru-RU"/>
        </w:rPr>
      </w:pPr>
      <w:r>
        <w:rPr>
          <w:lang w:val="ru-RU"/>
        </w:rPr>
        <w:t>44.</w:t>
      </w:r>
      <w:r>
        <w:rPr>
          <w:lang w:val="ru-RU"/>
        </w:rPr>
        <w:tab/>
        <w:t>По случаю празднования шестидесятой годовщины Всеобщей декларации прав человека Управление Верховного комиссара пригласило национальные учреждения провести кампанию, посвященную уважению человеческого достоинства лиц, лишенных свободы. Различные сведения по имеющемуся опыту обогатят дебаты в ходе девятой Международной конференции МКК, которая состоится в Найроби в октябре 2008 года и центральной темой которой будет отправление правосудия. Эта конференция позволит всесторонне обсудить роль национальных учреждений и выдвинуть их в центр любой национальной или международной деятельности в пользу поддержания правового государства.</w:t>
      </w:r>
    </w:p>
    <w:p w:rsidR="001F3233" w:rsidRDefault="001F3233">
      <w:pPr>
        <w:spacing w:after="240"/>
        <w:rPr>
          <w:lang w:val="fr-FR"/>
        </w:rPr>
      </w:pPr>
      <w:r>
        <w:rPr>
          <w:lang w:val="ru-RU"/>
        </w:rPr>
        <w:t>45.</w:t>
      </w:r>
      <w:r>
        <w:rPr>
          <w:lang w:val="ru-RU"/>
        </w:rPr>
        <w:tab/>
        <w:t>Многочисленные национальные учреждения по поощрению и защите прав человека, включившие в свой основной мандат борьбу против расовой дискриминации и связанной с нею нетерпимостью, внесут активный вклад в обзор Дурбанского процесса, особенно представив документы о своей работе и приняв участие в региональных совещаниях, а также в заседаниях Подготовительного Комитета. Управление Верховного комиссара окажет помощь национальным африканским учреждениям, имеющим статус «</w:t>
      </w:r>
      <w:r>
        <w:t>A</w:t>
      </w:r>
      <w:r>
        <w:rPr>
          <w:lang w:val="ru-RU"/>
        </w:rPr>
        <w:t>» из числа наименее развитых стран, в организации их участия в региональном совещании, которое состоится в августе 2008 года в Абудже. Будет</w:t>
      </w:r>
      <w:r>
        <w:rPr>
          <w:lang w:val="fr-FR"/>
        </w:rPr>
        <w:t xml:space="preserve"> </w:t>
      </w:r>
      <w:r>
        <w:rPr>
          <w:lang w:val="ru-RU"/>
        </w:rPr>
        <w:t>также</w:t>
      </w:r>
      <w:r>
        <w:rPr>
          <w:lang w:val="fr-FR"/>
        </w:rPr>
        <w:t xml:space="preserve"> </w:t>
      </w:r>
      <w:r>
        <w:rPr>
          <w:lang w:val="ru-RU"/>
        </w:rPr>
        <w:t>организовано</w:t>
      </w:r>
      <w:r>
        <w:rPr>
          <w:lang w:val="fr-FR"/>
        </w:rPr>
        <w:t xml:space="preserve"> </w:t>
      </w:r>
      <w:r>
        <w:rPr>
          <w:lang w:val="ru-RU"/>
        </w:rPr>
        <w:t>другое</w:t>
      </w:r>
      <w:r>
        <w:rPr>
          <w:lang w:val="fr-FR"/>
        </w:rPr>
        <w:t xml:space="preserve"> </w:t>
      </w:r>
      <w:r>
        <w:rPr>
          <w:lang w:val="ru-RU"/>
        </w:rPr>
        <w:t>совещание</w:t>
      </w:r>
      <w:r>
        <w:rPr>
          <w:lang w:val="fr-FR"/>
        </w:rPr>
        <w:t xml:space="preserve"> </w:t>
      </w:r>
      <w:r>
        <w:rPr>
          <w:lang w:val="ru-RU"/>
        </w:rPr>
        <w:t>в</w:t>
      </w:r>
      <w:r>
        <w:rPr>
          <w:lang w:val="fr-FR"/>
        </w:rPr>
        <w:t xml:space="preserve"> </w:t>
      </w:r>
      <w:r>
        <w:rPr>
          <w:lang w:val="ru-RU"/>
        </w:rPr>
        <w:t>Азии</w:t>
      </w:r>
      <w:r>
        <w:rPr>
          <w:lang w:val="fr-FR"/>
        </w:rPr>
        <w:t>.</w:t>
      </w:r>
    </w:p>
    <w:p w:rsidR="001F3233" w:rsidRDefault="001F3233">
      <w:pPr>
        <w:spacing w:after="240"/>
        <w:rPr>
          <w:lang w:val="ru-RU"/>
        </w:rPr>
      </w:pPr>
      <w:r>
        <w:rPr>
          <w:lang w:val="ru-RU"/>
        </w:rPr>
        <w:t>46.</w:t>
      </w:r>
      <w:r>
        <w:rPr>
          <w:lang w:val="ru-RU"/>
        </w:rPr>
        <w:tab/>
        <w:t xml:space="preserve">Управление Верховного комиссара организует национальные и региональные рабочие семинары по вопросам выполнения заключительных замечаний, сформулированных договорными органами, на которые приглашаются национальные учреждения. На своей последней сессии в мае 2008 года Комитет по экономическим, социальным и культурным правам организовал рабочий семинар с участием национальных учреждений, что относится к числу инициатив, расширяющих возможности национальных учреждений по содействию осуществлению прав человека на национальном уровне и позволяющих национальным учреждениям лучше ознакомиться с международными договорами по правам человека. </w:t>
      </w:r>
    </w:p>
    <w:p w:rsidR="001F3233" w:rsidRDefault="001F3233">
      <w:pPr>
        <w:spacing w:after="240"/>
        <w:rPr>
          <w:lang w:val="ru-RU"/>
        </w:rPr>
      </w:pPr>
      <w:r>
        <w:rPr>
          <w:lang w:val="ru-RU"/>
        </w:rPr>
        <w:t>47.</w:t>
      </w:r>
      <w:r>
        <w:rPr>
          <w:lang w:val="ru-RU"/>
        </w:rPr>
        <w:tab/>
        <w:t>Управление Верховного комиссара выражает свое удовлетворение процедурой, в соответствии с которой Комитет по ликвидации расовой дискриминации разрешает национальным учреждениям по правам человека, имеющим статус «</w:t>
      </w:r>
      <w:r>
        <w:t>A</w:t>
      </w:r>
      <w:r>
        <w:rPr>
          <w:lang w:val="ru-RU"/>
        </w:rPr>
        <w:t>», участвовать в своих дебатах и представлять ему информацию. Эта практика является уникальной среди договорных органов, и Управление Верховного комиссара прилагает усилия, чтобы распространить ее на другие комитеты и убедить их в интересе, который представляет для национальных учреждений информация о положении с правами человека.  В этих целях, Группа по вопросам национальных учреждений использует любую возможность для прямого информирования договорных органов о развитии ситуации с национальными учреждениям в целом и об их отношениях с договорными органами в частности. Эта Группа также настоятельно предлагает договорным органам наделять особым официальным статусом национальные учреждения по правам человека.</w:t>
      </w:r>
    </w:p>
    <w:p w:rsidR="001F3233" w:rsidRDefault="001F3233">
      <w:pPr>
        <w:spacing w:after="240"/>
        <w:rPr>
          <w:lang w:val="ru-RU"/>
        </w:rPr>
      </w:pPr>
      <w:r>
        <w:rPr>
          <w:lang w:val="ru-RU"/>
        </w:rPr>
        <w:t>48.</w:t>
      </w:r>
      <w:r>
        <w:rPr>
          <w:lang w:val="ru-RU"/>
        </w:rPr>
        <w:tab/>
        <w:t xml:space="preserve">Обратившись к списку примеров, подготовленному Управлением Верховного комиссара, Комитет сможет констатировать, что национальные учреждения по правам человека вносят многосторонний вклад в работу договорных органов, в частности, расширяя возможности государств в деле подготовки докладов, распространения документов по правам человека и общих замечаний среди директивных органов, а также организуя семинары по заключительным замечаниям. Национальные учреждения равным образом вносит вклад в дело содействия ратификации договоров по правам человека. </w:t>
      </w:r>
    </w:p>
    <w:p w:rsidR="001F3233" w:rsidRDefault="001F3233">
      <w:pPr>
        <w:spacing w:after="240"/>
        <w:rPr>
          <w:lang w:val="ru-RU"/>
        </w:rPr>
      </w:pPr>
      <w:r>
        <w:rPr>
          <w:lang w:val="ru-RU"/>
        </w:rPr>
        <w:t>49.</w:t>
      </w:r>
      <w:r>
        <w:rPr>
          <w:lang w:val="ru-RU"/>
        </w:rPr>
        <w:tab/>
        <w:t xml:space="preserve">Национальные учреждения по правам человека активно сотрудничают с Комитетом по ликвидации расовой дискриминации, представляя ему, в частности, параллельные доклады и сведения по проблемам, отмеченным в списках вопросов для рассмотрения, а также распространяя его заключительные замечания в своих странах. Управление Верховного комиссара поощряет такую практику и приглашает Комитет к привлечению еще большего числа национальных учреждений к разработке своих общих замечаний. </w:t>
      </w:r>
    </w:p>
    <w:p w:rsidR="001F3233" w:rsidRDefault="001F3233">
      <w:pPr>
        <w:spacing w:after="240"/>
        <w:rPr>
          <w:lang w:val="fr-FR"/>
        </w:rPr>
      </w:pPr>
      <w:r>
        <w:rPr>
          <w:lang w:val="ru-RU"/>
        </w:rPr>
        <w:t>50.</w:t>
      </w:r>
      <w:r>
        <w:rPr>
          <w:lang w:val="ru-RU"/>
        </w:rPr>
        <w:tab/>
        <w:t xml:space="preserve">В целях улучшения сотрудничества между национальными учреждениями и Комитетом по ликвидации расовой дискриминации и для того, чтобы национальные учреждения, желающие участвовать в работе договорных органов, могли воспользоваться примерами лучшей практики и знаний, приобретенных в данной области, Управление Верховного комиссара рекомендует Комитету: продолжить приглашение национальных учреждений к участию в своей деятельности, особенно в дни проведения общих прений; разрешить представителю МКК принимать участие в его сессиях или представлять на них национальные учреждения, которые не могут в них участвовать; и признать важное значение вклада национальных учреждений по правам человека на всех этапах его работы.  </w:t>
      </w:r>
    </w:p>
    <w:p w:rsidR="001F3233" w:rsidRDefault="001F3233">
      <w:pPr>
        <w:spacing w:after="240"/>
        <w:rPr>
          <w:lang w:val="ru-RU"/>
        </w:rPr>
      </w:pPr>
      <w:r>
        <w:rPr>
          <w:lang w:val="ru-RU"/>
        </w:rPr>
        <w:t>51.</w:t>
      </w:r>
      <w:r>
        <w:rPr>
          <w:lang w:val="ru-RU"/>
        </w:rPr>
        <w:tab/>
        <w:t xml:space="preserve">Национальные учреждения по правам человека сталкиваются с определенными трудностями, которые Комитет мог бы успешно обсудить с государствами-участниками в ходе рассмотрения их докладов. Действительно, многие национальные учреждения не обладают ресурсами и инфраструктурой, необходимыми для эффективного функционирования в соответствии с Парижскими принципами. Таким образом, Управление Верховного комиссара рекомендует договорным органам использовать свой диалог с государствами-участниками, чтобы побудить их к оказанию финансовой поддержки национальным учреждениям. </w:t>
      </w:r>
    </w:p>
    <w:p w:rsidR="001F3233" w:rsidRDefault="001F3233">
      <w:pPr>
        <w:spacing w:after="240"/>
        <w:rPr>
          <w:lang w:val="ru-RU"/>
        </w:rPr>
      </w:pPr>
      <w:r>
        <w:rPr>
          <w:lang w:val="ru-RU"/>
        </w:rPr>
        <w:t>52.</w:t>
      </w:r>
      <w:r>
        <w:rPr>
          <w:lang w:val="ru-RU"/>
        </w:rPr>
        <w:tab/>
        <w:t>Другой сохраняющейся проблемой являются угрозы, которым подвергаются сотрудники национальных учреждений, особенно произвольные увольнения в случаях, когда они сообщают о нарушениях прав человека. Управление Верховного комиссара, таким образом, настойчиво предлагает договорным органам привлекать внимание государств-участников к необходимости гарантировать защиту, независимость и безопасность сотрудникам национальных учреждений по правам человека.</w:t>
      </w:r>
    </w:p>
    <w:p w:rsidR="001F3233" w:rsidRDefault="001F3233">
      <w:pPr>
        <w:spacing w:after="240"/>
        <w:rPr>
          <w:lang w:val="ru-RU"/>
        </w:rPr>
      </w:pPr>
      <w:r>
        <w:rPr>
          <w:lang w:val="ru-RU"/>
        </w:rPr>
        <w:t>53.</w:t>
      </w:r>
      <w:r>
        <w:rPr>
          <w:lang w:val="ru-RU"/>
        </w:rPr>
        <w:tab/>
        <w:t>В отношении национальных учреждений стран, чьи доклады будут рассматриваться на текущей сессии, для Комитета были подготовлены информационные записки, содержащие конкретные рекомендации. Как правило, аккредитация в МКК всячески поощряется, поскольку она позволяет гарантировать соответствие национальных учреждений Парижским принципам, а также продемонстрировать, что они заслуживают доверия на национальном и международном уровне и играют активную роль в международной системе по правам человека. Управление Верховного комиссара рекомендует Комитету побуждать государства-участники к созданию национальных учреждений по правам человека в соответствии с Парижскими принципами, когда таковые отсутствуют, и оно готово оказывать государствам всемерную помощь, которая им, возможно, потребуется для достижения этой цели. Ценность сведений, которыми располагают национальные действующие лица, как, например, национальные учреждения по правам человека, бесспорна. Поэтому Управление Верховного комиссара поощряет укрепление сотрудничества с этими учреждениями для целей осуществления договоров по правам человека и контроля за их соблюдением.</w:t>
      </w:r>
    </w:p>
    <w:p w:rsidR="001F3233" w:rsidRDefault="001F3233">
      <w:pPr>
        <w:spacing w:after="240"/>
        <w:rPr>
          <w:lang w:val="ru-RU"/>
        </w:rPr>
      </w:pPr>
      <w:r>
        <w:rPr>
          <w:lang w:val="ru-RU"/>
        </w:rPr>
        <w:t>54.</w:t>
      </w:r>
      <w:r>
        <w:rPr>
          <w:lang w:val="ru-RU"/>
        </w:rPr>
        <w:tab/>
      </w:r>
      <w:r>
        <w:rPr>
          <w:u w:val="single"/>
          <w:lang w:val="ru-RU"/>
        </w:rPr>
        <w:t>Г-жа ОЛНИ</w:t>
      </w:r>
      <w:r>
        <w:rPr>
          <w:lang w:val="ru-RU"/>
        </w:rPr>
        <w:t xml:space="preserve"> (Международная организация труда) имеет честь в первый раз обращаться к Комитету в качестве представителя Международной организация труда и говорит, что ее организация в целом рекомендует в большей мере учитывать потребности, выраженные самими коренными народами в рамках разработки стратегий сокращения масштабов нищеты, и нацеливать данные стратегии на осуществление основных прав соответствующих народов. В настоящее время МОТ работает над подготовкой комплекта учебных материалов, с которым можно будет ознакомиться в режиме онлайн, и который вобрал в себя основные положения конвенций, соответственно, в отношении дискриминации в области труда и занятий  (</w:t>
      </w:r>
      <w:r>
        <w:rPr>
          <w:rFonts w:eastAsia="MS Mincho"/>
          <w:lang w:val="ru-RU"/>
        </w:rPr>
        <w:t>№</w:t>
      </w:r>
      <w:r>
        <w:rPr>
          <w:lang w:val="ru-RU"/>
        </w:rPr>
        <w:t xml:space="preserve"> 111) и в отношении коренных народов, ведущих племенной образ жизни в независимых странах (№ 169). </w:t>
      </w:r>
    </w:p>
    <w:p w:rsidR="001F3233" w:rsidRDefault="001F3233">
      <w:pPr>
        <w:spacing w:after="240"/>
        <w:rPr>
          <w:lang w:val="ru-RU"/>
        </w:rPr>
      </w:pPr>
      <w:r>
        <w:rPr>
          <w:lang w:val="ru-RU"/>
        </w:rPr>
        <w:t>55.</w:t>
      </w:r>
      <w:r>
        <w:rPr>
          <w:lang w:val="ru-RU"/>
        </w:rPr>
        <w:tab/>
        <w:t xml:space="preserve">Г-жа Олни отмечает, что МОТ участвует в подготовке документа, относящегося к ликвидации дискриминации в области занятости, который будет представлен для изучения в октябре 2008 года в Подготовительный комитет Конференции по обзору Дурбанского процесса, проведение которой намечено на апрель 2009 года. Она привлекает внимание членов Комитета к тому важному значению, которое придается вопросу о недискриминации в Декларации о социальной справедливости в целях справедливой глобализации, принятой в июне 2008 года в ходе Международной конференции труда. Она также напоминает о том важном значении, которое придает Комитет экспертов по применению конвенций и рекомендаций вопросам равенства в занятости в государственном секторе. </w:t>
      </w:r>
    </w:p>
    <w:p w:rsidR="001F3233" w:rsidRDefault="001F3233">
      <w:pPr>
        <w:spacing w:after="240"/>
        <w:rPr>
          <w:lang w:val="ru-RU"/>
        </w:rPr>
      </w:pPr>
      <w:r>
        <w:rPr>
          <w:lang w:val="ru-RU"/>
        </w:rPr>
        <w:t>56.</w:t>
      </w:r>
      <w:r>
        <w:rPr>
          <w:lang w:val="ru-RU"/>
        </w:rPr>
        <w:tab/>
        <w:t xml:space="preserve">Г-жа Олни затем уточняет, что все государства-участники, чьи доклады будут рассматриваться на текущей сессии, ратифицировали Конвенцию № 111 МОТ о дискриминации в области труда и занятий, тогда как только Эквадор и Германия ратифицировали Конвенцию № 97 о работниках-мигрантах, а Швеция и Того – Конвенцию № 143 об обеспечении работникам-мигрантам равенства возможностей и обращения  (дополнительные положения). И, наконец, Эквадор является единственной из этих стран, которая ратифицировала Конвенцию № 169 о коренных народах и народах, ведущих племенной образ жизни в независимых странах.  </w:t>
      </w:r>
    </w:p>
    <w:p w:rsidR="001F3233" w:rsidRDefault="001F3233">
      <w:pPr>
        <w:spacing w:after="240"/>
        <w:rPr>
          <w:lang w:val="ru-RU"/>
        </w:rPr>
      </w:pPr>
      <w:r>
        <w:rPr>
          <w:lang w:val="ru-RU"/>
        </w:rPr>
        <w:t>57.</w:t>
      </w:r>
      <w:r>
        <w:rPr>
          <w:lang w:val="ru-RU"/>
        </w:rPr>
        <w:tab/>
        <w:t xml:space="preserve">Что касается Австрии, то г-жа Олни отмечает, что Комитет экспертов по применению конвенций и рекомендаций рассмотрел вопрос о применении Конвенции № 111 (о дискриминации в области труда и занятий) и отметил, что государство-участник приступило к разработке типового соглашения о недискриминации на рабочем месте, а также пилотный проект, предусматривающий обучение сотрудников Службы занятости межкультурным аспектам. </w:t>
      </w:r>
    </w:p>
    <w:p w:rsidR="001F3233" w:rsidRDefault="001F3233">
      <w:pPr>
        <w:spacing w:after="240"/>
        <w:rPr>
          <w:lang w:val="ru-RU"/>
        </w:rPr>
      </w:pPr>
      <w:r>
        <w:rPr>
          <w:lang w:val="ru-RU"/>
        </w:rPr>
        <w:t>58.</w:t>
      </w:r>
      <w:r>
        <w:rPr>
          <w:lang w:val="ru-RU"/>
        </w:rPr>
        <w:tab/>
        <w:t xml:space="preserve">Комитет экспертов по применению конвенций и рекомендаций изучил вопрос о применении  Конвенции № 111 (о дискриминации в области труда и занятий) и  Конвенции № 169 (о коренных народах и народах, ведущих племенной образ жизни в независимых странах) в Эквадоре. Что касается последней конвенции, то Комитет экспертов следил за выполнением рекомендаций, сформулированных в 2001 году Административным советом МОТ в связи с тем, что с представителями народности шуар не было проведено консультаций по вопросу о предоставлении частным предприятиям государственных контрактов на разведку и эксплуатацию нефтяных месторождений. Г-жа Олни добавляет, что эквадорское правительство запросило техническую помощь МОТ для выполнения этой рекомендации.   </w:t>
      </w:r>
    </w:p>
    <w:p w:rsidR="001F3233" w:rsidRDefault="001F3233">
      <w:pPr>
        <w:rPr>
          <w:lang w:val="ru-RU"/>
        </w:rPr>
      </w:pPr>
      <w:r>
        <w:rPr>
          <w:lang w:val="ru-RU"/>
        </w:rPr>
        <w:t>59.</w:t>
      </w:r>
      <w:r>
        <w:rPr>
          <w:lang w:val="ru-RU"/>
        </w:rPr>
        <w:tab/>
        <w:t xml:space="preserve">Комитет экспертов также с интересом отметил работу, предпринятую Советом по вопросам развития эквадорских национальностей и народов (КОДЕНПЕ), Советом по вопросам развития афроэквадорцев (КОДАЕ) и Региональным институтом развития экосистемы Амазонии (ЕКОРАЕ), особенно по решению проблемы с документами на право собственности, и задал вопрос о том, проводили ли эти организации предварительные консультации. Этот Комитет также запросил дополнительную информацию об исконных землях коренных народностей.  </w:t>
      </w:r>
    </w:p>
    <w:p w:rsidR="001F3233" w:rsidRDefault="001F3233">
      <w:pPr>
        <w:rPr>
          <w:lang w:val="fr-FR"/>
        </w:rPr>
      </w:pPr>
      <w:r>
        <w:rPr>
          <w:lang w:val="fr-FR"/>
        </w:rPr>
        <w:t xml:space="preserve"> </w:t>
      </w:r>
    </w:p>
    <w:p w:rsidR="001F3233" w:rsidRDefault="001F3233">
      <w:pPr>
        <w:spacing w:after="240"/>
        <w:rPr>
          <w:lang w:val="ru-RU"/>
        </w:rPr>
      </w:pPr>
      <w:r>
        <w:rPr>
          <w:lang w:val="ru-RU"/>
        </w:rPr>
        <w:t>60.</w:t>
      </w:r>
      <w:r>
        <w:rPr>
          <w:lang w:val="ru-RU"/>
        </w:rPr>
        <w:tab/>
        <w:t xml:space="preserve">Кроме того, Комитет экспертов отметил, что принятие законов, направленных на соблюдение прав коренного населения и афроэквадорцев, потребовало больше времени, чем это предусматривалось, особенно в отношении закона об осуществлении коллективных прав коренных народностей. Таким образом, Комитет экспертов предложил правительству оказать содействие скорейшему принятию законодательства, необходимого для применения Конвенции № 169 МОТ. </w:t>
      </w:r>
    </w:p>
    <w:p w:rsidR="001F3233" w:rsidRDefault="001F3233">
      <w:pPr>
        <w:spacing w:after="240"/>
        <w:rPr>
          <w:lang w:val="ru-RU"/>
        </w:rPr>
      </w:pPr>
      <w:r>
        <w:rPr>
          <w:lang w:val="ru-RU"/>
        </w:rPr>
        <w:t>61.</w:t>
      </w:r>
      <w:r>
        <w:rPr>
          <w:lang w:val="ru-RU"/>
        </w:rPr>
        <w:tab/>
        <w:t>Что касается Германии, то Комитет экспертов с удовлетворением отметил принятие общего закона, направленного на преобразование директив Европейского союза о равном обращении, и Закона о равном обращении с военнослужащими, затрагивающего дискриминацию по признаку расового или этнического происхождения, и выразил готовность проследить за их осуществлением на практике. Комитет экспертов запросил информацию о результатах выполнения коллективных договоров об интеграции иностранных работников и ликвидации расизма и ксенофобии на рабочих местах, а также о том, какие были приняты меры по обеспечению равных возможностей и равного обращения в отношении иммигрантов, что является приоритетом, установленным Федеральным агентством занятости.</w:t>
      </w:r>
    </w:p>
    <w:p w:rsidR="001F3233" w:rsidRDefault="001F3233">
      <w:pPr>
        <w:spacing w:after="240"/>
        <w:rPr>
          <w:lang w:val="ru-RU"/>
        </w:rPr>
      </w:pPr>
      <w:r>
        <w:rPr>
          <w:lang w:val="ru-RU"/>
        </w:rPr>
        <w:t>62.</w:t>
      </w:r>
      <w:r>
        <w:rPr>
          <w:lang w:val="ru-RU"/>
        </w:rPr>
        <w:tab/>
        <w:t>В отношении Намибии, Комитет экспертов запросил дополнительную информацию по законопроекту 2007 года о трудовых отношениях, который, в случае его принятия, заменит предыдущий закон от 2004 года.</w:t>
      </w:r>
    </w:p>
    <w:p w:rsidR="001F3233" w:rsidRDefault="001F3233">
      <w:pPr>
        <w:spacing w:after="240"/>
        <w:rPr>
          <w:lang w:val="ru-RU"/>
        </w:rPr>
      </w:pPr>
      <w:r>
        <w:rPr>
          <w:lang w:val="ru-RU"/>
        </w:rPr>
        <w:t>63.</w:t>
      </w:r>
      <w:r>
        <w:rPr>
          <w:lang w:val="ru-RU"/>
        </w:rPr>
        <w:tab/>
        <w:t>Комитет экспертов также приветствовал предпринятые Намибией усилия по укреплению национальной политики и механизмов, направленных на обеспечение равенства в занятости, и с интересом принял к сведению результаты исследования, призванного дать оценку влияния выполнения корректировочных мер, предложенных Комитетом экспертов в 2004 году в отношении обеспечения равенства в занятости, которые указали на необходимость увеличить количество учебных программ для работодателей.</w:t>
      </w:r>
    </w:p>
    <w:p w:rsidR="001F3233" w:rsidRDefault="001F3233">
      <w:pPr>
        <w:spacing w:after="240"/>
        <w:rPr>
          <w:lang w:val="ru-RU"/>
        </w:rPr>
      </w:pPr>
      <w:r>
        <w:rPr>
          <w:lang w:val="ru-RU"/>
        </w:rPr>
        <w:t>64.</w:t>
      </w:r>
      <w:r>
        <w:rPr>
          <w:lang w:val="ru-RU"/>
        </w:rPr>
        <w:tab/>
        <w:t xml:space="preserve">В том, что касается Российской Федерации, то Комитет экспертов рассмотрел в  2007 году процесс осуществления Конвенции № 111 (о дискриминации в области труда и занятий) и отметил, что новое законодательство больше не позволяет обращаться в Федеральную инспекцию труда в случае предполагаемой дискриминации. Таким образом, Комитет экспертов задал вопрос о причинах такого изменения и о его последствиях с практической точки зрения для затронутых работников. </w:t>
      </w:r>
    </w:p>
    <w:p w:rsidR="001F3233" w:rsidRDefault="001F3233">
      <w:pPr>
        <w:spacing w:after="240"/>
        <w:rPr>
          <w:lang w:val="ru-RU"/>
        </w:rPr>
      </w:pPr>
      <w:r>
        <w:rPr>
          <w:lang w:val="ru-RU"/>
        </w:rPr>
        <w:t>65.</w:t>
      </w:r>
      <w:r>
        <w:rPr>
          <w:lang w:val="ru-RU"/>
        </w:rPr>
        <w:tab/>
        <w:t xml:space="preserve">В 2007 году Комитет экспертов также рассмотрел применение Конвенции № 111 (о дискриминации в области труда и занятий) в Швеции и провел обследование в трех крупных городах страны на предмет обращения с лицами-выходцами из стран Ближнего Востока, которое показало, что они являются жертвами явной дискриминации в доступе к занятости. Таким образом, Комитет экспертов обратился к правительству с просьбой представить ему информацию о мерах, принятых для того, чтобы содействовать равенству возможностей и равному обращению и гарантировать их, независимо от расы, цвета кожи, национального происхождения или религии, а также просил представить ему статистические данные, позволяющие оценить достигнутый прогресс. </w:t>
      </w:r>
    </w:p>
    <w:p w:rsidR="001F3233" w:rsidRDefault="001F3233">
      <w:pPr>
        <w:spacing w:after="240"/>
        <w:rPr>
          <w:lang w:val="ru-RU"/>
        </w:rPr>
      </w:pPr>
      <w:r>
        <w:rPr>
          <w:lang w:val="ru-RU"/>
        </w:rPr>
        <w:t>66.</w:t>
      </w:r>
      <w:r>
        <w:rPr>
          <w:lang w:val="ru-RU"/>
        </w:rPr>
        <w:tab/>
        <w:t>Комитет экспертов также с интересом отметил меры, принятые для содействия культурному и этническому многообразию на государственной службе, включая вступление в силу,1 июля</w:t>
      </w:r>
      <w:r>
        <w:t> </w:t>
      </w:r>
      <w:r>
        <w:rPr>
          <w:lang w:val="ru-RU"/>
        </w:rPr>
        <w:t xml:space="preserve">2006 года, Постановления об антидискриминационных положениях в контрактах на работу в государственном секторе; начатый в 2006 году пилотный проект, предполагающий анонимность кандидатур на целый ряд постов на государственной службе; а также принятие новых правил, касающихся форменной одежды полицейских, разрешающих ношение исламского платка, тюрбана или ермолки.  </w:t>
      </w:r>
    </w:p>
    <w:p w:rsidR="001F3233" w:rsidRDefault="001F3233">
      <w:pPr>
        <w:spacing w:after="240"/>
        <w:rPr>
          <w:lang w:val="ru-RU"/>
        </w:rPr>
      </w:pPr>
      <w:r>
        <w:rPr>
          <w:lang w:val="ru-RU"/>
        </w:rPr>
        <w:t>67.</w:t>
      </w:r>
      <w:r>
        <w:rPr>
          <w:lang w:val="ru-RU"/>
        </w:rPr>
        <w:tab/>
        <w:t xml:space="preserve">Комитет экспертов равным образом рассмотрел положение рома и саами в Швеции и просил правительство сообщить, на каком этапе находится ратификация Конвенции № 169. </w:t>
      </w:r>
    </w:p>
    <w:p w:rsidR="001F3233" w:rsidRDefault="001F3233">
      <w:pPr>
        <w:spacing w:after="240"/>
        <w:rPr>
          <w:lang w:val="ru-RU"/>
        </w:rPr>
      </w:pPr>
      <w:r>
        <w:rPr>
          <w:lang w:val="ru-RU"/>
        </w:rPr>
        <w:t>68.</w:t>
      </w:r>
      <w:r>
        <w:rPr>
          <w:lang w:val="ru-RU"/>
        </w:rPr>
        <w:tab/>
        <w:t xml:space="preserve">Что касается Швейцарии, то Комитет экспертов напомнил, что в рамках рассмотрения осуществления Конвенции № 111, Федеральная комиссия по борьбе </w:t>
      </w:r>
      <w:r>
        <w:t>c</w:t>
      </w:r>
      <w:r>
        <w:rPr>
          <w:lang w:val="ru-RU"/>
        </w:rPr>
        <w:t xml:space="preserve"> расизмом сделала рекомендацию о включении в законодательство положения о запрете расовой дискриминации в области занятости и предложила правительству ввести такое положение. </w:t>
      </w:r>
    </w:p>
    <w:p w:rsidR="001F3233" w:rsidRDefault="001F3233">
      <w:pPr>
        <w:spacing w:after="240"/>
        <w:rPr>
          <w:lang w:val="ru-RU"/>
        </w:rPr>
      </w:pPr>
      <w:r>
        <w:rPr>
          <w:lang w:val="ru-RU"/>
        </w:rPr>
        <w:t>69.</w:t>
      </w:r>
      <w:r>
        <w:rPr>
          <w:lang w:val="ru-RU"/>
        </w:rPr>
        <w:tab/>
        <w:t xml:space="preserve">Комитет экспертов равным образом отметил, что правительство финансировало кампании по повышению информированности и по предупреждению дискриминации, а также выделяло средства организациям, занимающимся оказанием помощи жертвам. Кроме того, Комитет экспертов принял к сведению, что с 2006 года Федеральная служба по борьбе с расизмом принимает меры против расизма, антисемитизма и ксенофобии, а также против правого экстремизма. </w:t>
      </w:r>
    </w:p>
    <w:p w:rsidR="001F3233" w:rsidRDefault="001F3233">
      <w:pPr>
        <w:spacing w:after="240"/>
        <w:rPr>
          <w:lang w:val="ru-RU"/>
        </w:rPr>
      </w:pPr>
      <w:r>
        <w:rPr>
          <w:lang w:val="ru-RU"/>
        </w:rPr>
        <w:t>70.</w:t>
      </w:r>
      <w:r>
        <w:rPr>
          <w:lang w:val="ru-RU"/>
        </w:rPr>
        <w:tab/>
        <w:t xml:space="preserve">По вопросу о равных возможностях и равном обращении в отношении лиц, ведущих кочевой образ жизни, Комитет экспертов отметил, что Федеральный совет утвердил доклад о положении лиц, ведущих кочевой образ жизни, в Швейцарии, упоминающий о создании зон транзита и приема для этой общины. </w:t>
      </w:r>
    </w:p>
    <w:p w:rsidR="001F3233" w:rsidRDefault="001F3233">
      <w:pPr>
        <w:spacing w:after="240"/>
        <w:rPr>
          <w:lang w:val="ru-RU"/>
        </w:rPr>
      </w:pPr>
      <w:r>
        <w:rPr>
          <w:lang w:val="ru-RU"/>
        </w:rPr>
        <w:t>71.</w:t>
      </w:r>
      <w:r>
        <w:rPr>
          <w:lang w:val="ru-RU"/>
        </w:rPr>
        <w:tab/>
        <w:t xml:space="preserve">Касаясь положения в Того, Комитет экспертов просил правительство представить информацию о любых мерах, которые были приняты или которые предполагается принять, по ликвидации дискриминационной практики в отношении этнических меньшинств на частном рынке труда, что представляет собой препятствие к применению Конвенции № 111, и сообщить ему дополнительную информацию по проекту трудового кодекса, предусматривающего запрет на дискриминацию по признаку этнического, расового или национального происхождения.   </w:t>
      </w:r>
    </w:p>
    <w:p w:rsidR="001F3233" w:rsidRDefault="001F3233">
      <w:pPr>
        <w:spacing w:after="240"/>
        <w:rPr>
          <w:lang w:val="ru-RU"/>
        </w:rPr>
      </w:pPr>
      <w:r>
        <w:rPr>
          <w:lang w:val="ru-RU"/>
        </w:rPr>
        <w:t>72.</w:t>
      </w:r>
      <w:r>
        <w:rPr>
          <w:lang w:val="ru-RU"/>
        </w:rPr>
        <w:tab/>
        <w:t>И, наконец, Комитет экспертов принял к сведению информацию о том, что статистические данные по количеству иностранных работников в стране касаются только «экспатриантов» и не дают точного представления об иностранной рабочей силе в Того. Таким образом, Комитет экспертов запросил более точные статистические данные по количеству выходцев из Экономического сообщества западноафриканских государств.</w:t>
      </w:r>
    </w:p>
    <w:p w:rsidR="001F3233" w:rsidRDefault="001F3233">
      <w:pPr>
        <w:spacing w:after="240"/>
        <w:rPr>
          <w:lang w:val="ru-RU"/>
        </w:rPr>
      </w:pPr>
      <w:r>
        <w:rPr>
          <w:lang w:val="ru-RU"/>
        </w:rPr>
        <w:t>73.</w:t>
      </w:r>
      <w:r>
        <w:rPr>
          <w:lang w:val="ru-RU"/>
        </w:rPr>
        <w:tab/>
      </w:r>
      <w:r>
        <w:rPr>
          <w:u w:val="single"/>
          <w:lang w:val="ru-RU"/>
        </w:rPr>
        <w:t>Г-жа СИКЧЕЛА</w:t>
      </w:r>
      <w:r>
        <w:rPr>
          <w:lang w:val="ru-RU"/>
        </w:rPr>
        <w:t xml:space="preserve"> (Управление Верховного комиссара Организации Объединенных Наций по делам беженцев) говорит, что Управление Верховного комиссара (УВКБ) выражает удовлетворение мерами, принятыми Эквадором по улучшению защиты, которой пользуются беженцы, и подчеркивает, что важно укрепить правовую систему и предусмотреть санкции для наказания актов дискриминации в этой стране, которые совершаются здесь как отдельными лицами, так и государственными учреждениями. </w:t>
      </w:r>
    </w:p>
    <w:p w:rsidR="001F3233" w:rsidRDefault="001F3233">
      <w:pPr>
        <w:spacing w:after="240"/>
        <w:rPr>
          <w:lang w:val="ru-RU"/>
        </w:rPr>
      </w:pPr>
      <w:r>
        <w:rPr>
          <w:lang w:val="ru-RU"/>
        </w:rPr>
        <w:t>74.</w:t>
      </w:r>
      <w:r>
        <w:rPr>
          <w:lang w:val="ru-RU"/>
        </w:rPr>
        <w:tab/>
        <w:t xml:space="preserve">УВКБ приветствует принятие Германией нового закона о выдаче видов на жительство, который должен позволить положить конец дискриминации, которой подвергались дети беженцев и просителей убежища при получении доступа к образованию.  УВКБ к тому же просило Германию следить за тем, чтобы дети беженцев или просителей убежища могли ходить в школу, если они находятся в стране больше трех месяцев. </w:t>
      </w:r>
    </w:p>
    <w:p w:rsidR="001F3233" w:rsidRDefault="001F3233">
      <w:pPr>
        <w:spacing w:after="240"/>
        <w:rPr>
          <w:lang w:val="ru-RU"/>
        </w:rPr>
      </w:pPr>
      <w:r>
        <w:rPr>
          <w:lang w:val="ru-RU"/>
        </w:rPr>
        <w:t>75.</w:t>
      </w:r>
      <w:r>
        <w:rPr>
          <w:lang w:val="ru-RU"/>
        </w:rPr>
        <w:tab/>
        <w:t xml:space="preserve">Что касается Австрии, то УВКБ просило австрийское правительство проинформировать его о результатах выполнения программ подготовки сотрудников полиции и, в частности, указать если они внесли свой вклад в дело сокращения случаев ксенофобии в своих рядах. Кроме того, УВКБ просило Австрию следить за тем, чтобы лица, не имеющие статуса беженца, могли пользоваться защитой, обладая другим статусом. И, наконец, УВКБ приветствует усилия Австрии по сокращению случаев безгражданства.  </w:t>
      </w:r>
    </w:p>
    <w:p w:rsidR="001F3233" w:rsidRDefault="001F3233">
      <w:pPr>
        <w:spacing w:after="240"/>
        <w:rPr>
          <w:lang w:val="ru-RU"/>
        </w:rPr>
      </w:pPr>
      <w:r>
        <w:rPr>
          <w:lang w:val="ru-RU"/>
        </w:rPr>
        <w:t>76.</w:t>
      </w:r>
      <w:r>
        <w:rPr>
          <w:lang w:val="ru-RU"/>
        </w:rPr>
        <w:tab/>
      </w:r>
      <w:r>
        <w:rPr>
          <w:u w:val="single"/>
          <w:lang w:val="ru-RU"/>
        </w:rPr>
        <w:t>Г-н СИСИЛИАНОС</w:t>
      </w:r>
      <w:r>
        <w:rPr>
          <w:lang w:val="ru-RU"/>
        </w:rPr>
        <w:t xml:space="preserve"> говорит, что Комитет по ликвидации расовой дискриминации является первым договорным органом, который изменил свои Правила процедуры, чтобы национальные учреждения по правам человека могли принимать участие в рассмотрении докладов государств-участников независимым образом. По его мнению, необходимо поощрять государства-участники к созданию таких учреждений и к укреплению уже существующих учреждений, выделяя им средства, необходимые для эффективного осуществления рекомендаций Комитета. </w:t>
      </w:r>
    </w:p>
    <w:p w:rsidR="001F3233" w:rsidRDefault="001F3233">
      <w:pPr>
        <w:spacing w:after="240"/>
        <w:rPr>
          <w:lang w:val="ru-RU"/>
        </w:rPr>
      </w:pPr>
      <w:r>
        <w:rPr>
          <w:lang w:val="ru-RU"/>
        </w:rPr>
        <w:t>77.</w:t>
      </w:r>
      <w:r>
        <w:rPr>
          <w:lang w:val="ru-RU"/>
        </w:rPr>
        <w:tab/>
      </w:r>
      <w:r>
        <w:rPr>
          <w:u w:val="single"/>
          <w:lang w:val="ru-RU"/>
        </w:rPr>
        <w:t>Г-н МУРИЛЬО МАРТИНЕС</w:t>
      </w:r>
      <w:r>
        <w:rPr>
          <w:lang w:val="ru-RU"/>
        </w:rPr>
        <w:t xml:space="preserve"> хотел бы знать, если УВКБ и МОТ намерены изучить «Директиву по возвращению», принятую в июне 2008 Европейским союзом, представляющую собой спорный документ, имеющий целью облегчить высылку лиц без документов, и если эти организации выразили свою озабоченность по этому вопросу. </w:t>
      </w:r>
    </w:p>
    <w:p w:rsidR="001F3233" w:rsidRDefault="001F3233">
      <w:pPr>
        <w:spacing w:after="240"/>
        <w:rPr>
          <w:lang w:val="ru-RU"/>
        </w:rPr>
      </w:pPr>
      <w:r>
        <w:rPr>
          <w:lang w:val="ru-RU"/>
        </w:rPr>
        <w:t>78.</w:t>
      </w:r>
      <w:r>
        <w:rPr>
          <w:lang w:val="ru-RU"/>
        </w:rPr>
        <w:tab/>
        <w:t xml:space="preserve">Г-н Мурильо Мартинес также хотел бы получить дополнительную информацию о тяжких инцидентах, имевших место в Южной Африке, особенно о случаях убийства перемещенных лиц. </w:t>
      </w:r>
    </w:p>
    <w:p w:rsidR="001F3233" w:rsidRDefault="001F3233">
      <w:pPr>
        <w:spacing w:after="240"/>
        <w:rPr>
          <w:lang w:val="ru-RU"/>
        </w:rPr>
      </w:pPr>
      <w:r>
        <w:rPr>
          <w:lang w:val="ru-RU"/>
        </w:rPr>
        <w:t>79.</w:t>
      </w:r>
      <w:r>
        <w:rPr>
          <w:lang w:val="ru-RU"/>
        </w:rPr>
        <w:tab/>
      </w:r>
      <w:r>
        <w:rPr>
          <w:u w:val="single"/>
          <w:lang w:val="ru-RU"/>
        </w:rPr>
        <w:t>Г-н де ГУТТ</w:t>
      </w:r>
      <w:r>
        <w:rPr>
          <w:lang w:val="ru-RU"/>
        </w:rPr>
        <w:t xml:space="preserve"> говорит, что в ходе межкомитетского совещания в июне 2008 года Комитет выразил пожелание, чтобы другие договорные органы взяли за основу его недавнюю практику заслушивания международных учреждений по правам человека как независимых органов, применив которую, Комитет взял на себя роль первопроходца. </w:t>
      </w:r>
    </w:p>
    <w:p w:rsidR="001F3233" w:rsidRDefault="001F3233">
      <w:pPr>
        <w:spacing w:after="240"/>
        <w:rPr>
          <w:lang w:val="ru-RU"/>
        </w:rPr>
      </w:pPr>
      <w:r>
        <w:rPr>
          <w:lang w:val="ru-RU"/>
        </w:rPr>
        <w:t>80.</w:t>
      </w:r>
      <w:r>
        <w:rPr>
          <w:lang w:val="ru-RU"/>
        </w:rPr>
        <w:tab/>
      </w:r>
      <w:r>
        <w:rPr>
          <w:u w:val="single"/>
          <w:lang w:val="ru-RU"/>
        </w:rPr>
        <w:t>Г-н ЭВОСМАН</w:t>
      </w:r>
      <w:r>
        <w:rPr>
          <w:lang w:val="ru-RU"/>
        </w:rPr>
        <w:t xml:space="preserve"> хотел бы знать о положении около 6</w:t>
      </w:r>
      <w:r>
        <w:t> </w:t>
      </w:r>
      <w:r>
        <w:rPr>
          <w:lang w:val="ru-RU"/>
        </w:rPr>
        <w:t xml:space="preserve">000 беженцев в Намибии, особенно об условиях их жизни в лагере для беженцев Озире, доступ в который, похоже, закрыт для гражданских лиц. </w:t>
      </w:r>
    </w:p>
    <w:p w:rsidR="001F3233" w:rsidRDefault="001F3233">
      <w:pPr>
        <w:spacing w:after="240"/>
        <w:rPr>
          <w:lang w:val="ru-RU"/>
        </w:rPr>
      </w:pPr>
      <w:r>
        <w:rPr>
          <w:lang w:val="ru-RU"/>
        </w:rPr>
        <w:t>81.</w:t>
      </w:r>
      <w:r>
        <w:rPr>
          <w:lang w:val="ru-RU"/>
        </w:rPr>
        <w:tab/>
      </w:r>
      <w:r>
        <w:rPr>
          <w:u w:val="single"/>
          <w:lang w:val="ru-RU"/>
        </w:rPr>
        <w:t>Г-жа СЕКАГГИЯ</w:t>
      </w:r>
      <w:r>
        <w:rPr>
          <w:lang w:val="ru-RU"/>
        </w:rPr>
        <w:t xml:space="preserve"> (Группа по вопросам национальных учреждений/Управление Верховного комиссара по правам человека) говорит, что Группа по вопросам национальных учреждений использует любую возможность для того, чтобы убедить договорные органы в необходимости предоставления официального статуса национальным учреждениям по правам человека, чтобы они могли принимать участие в рассмотрении докладов государств-участников в ходе открытых заседаний, а не только на рабочих предсессионных заседаниях. </w:t>
      </w:r>
    </w:p>
    <w:p w:rsidR="001F3233" w:rsidRDefault="001F3233">
      <w:pPr>
        <w:spacing w:after="240"/>
        <w:rPr>
          <w:lang w:val="fr-FR"/>
        </w:rPr>
      </w:pPr>
      <w:r>
        <w:rPr>
          <w:lang w:val="ru-RU"/>
        </w:rPr>
        <w:t>82.</w:t>
      </w:r>
      <w:r>
        <w:rPr>
          <w:lang w:val="ru-RU"/>
        </w:rPr>
        <w:tab/>
      </w:r>
      <w:r>
        <w:rPr>
          <w:u w:val="single"/>
          <w:lang w:val="ru-RU"/>
        </w:rPr>
        <w:t>Г-жа ОЛНИ</w:t>
      </w:r>
      <w:r>
        <w:rPr>
          <w:lang w:val="ru-RU"/>
        </w:rPr>
        <w:t xml:space="preserve"> (Международная организация труда) говорит, что Комитет экспертов МОТ намерен заняться вопросом о «Директиве по возвращению» Европейского</w:t>
      </w:r>
      <w:r>
        <w:rPr>
          <w:lang w:val="fr-FR"/>
        </w:rPr>
        <w:t xml:space="preserve"> </w:t>
      </w:r>
      <w:r>
        <w:rPr>
          <w:lang w:val="ru-RU"/>
        </w:rPr>
        <w:t>союза</w:t>
      </w:r>
      <w:r>
        <w:rPr>
          <w:lang w:val="fr-FR"/>
        </w:rPr>
        <w:t xml:space="preserve"> </w:t>
      </w:r>
      <w:r>
        <w:rPr>
          <w:lang w:val="ru-RU"/>
        </w:rPr>
        <w:t>в</w:t>
      </w:r>
      <w:r>
        <w:rPr>
          <w:lang w:val="fr-FR"/>
        </w:rPr>
        <w:t xml:space="preserve"> </w:t>
      </w:r>
      <w:r>
        <w:rPr>
          <w:lang w:val="ru-RU"/>
        </w:rPr>
        <w:t>ходе</w:t>
      </w:r>
      <w:r>
        <w:rPr>
          <w:lang w:val="fr-FR"/>
        </w:rPr>
        <w:t xml:space="preserve"> </w:t>
      </w:r>
      <w:r>
        <w:rPr>
          <w:lang w:val="ru-RU"/>
        </w:rPr>
        <w:t>своей</w:t>
      </w:r>
      <w:r>
        <w:rPr>
          <w:lang w:val="fr-FR"/>
        </w:rPr>
        <w:t xml:space="preserve"> </w:t>
      </w:r>
      <w:r>
        <w:rPr>
          <w:lang w:val="ru-RU"/>
        </w:rPr>
        <w:t>сессии</w:t>
      </w:r>
      <w:r>
        <w:rPr>
          <w:lang w:val="fr-FR"/>
        </w:rPr>
        <w:t xml:space="preserve"> </w:t>
      </w:r>
      <w:r>
        <w:rPr>
          <w:lang w:val="ru-RU"/>
        </w:rPr>
        <w:t>в</w:t>
      </w:r>
      <w:r>
        <w:rPr>
          <w:lang w:val="fr-FR"/>
        </w:rPr>
        <w:t xml:space="preserve"> </w:t>
      </w:r>
      <w:r>
        <w:rPr>
          <w:lang w:val="ru-RU"/>
        </w:rPr>
        <w:t>ноябре</w:t>
      </w:r>
      <w:r>
        <w:rPr>
          <w:lang w:val="fr-FR"/>
        </w:rPr>
        <w:t xml:space="preserve"> 2008 </w:t>
      </w:r>
      <w:r>
        <w:rPr>
          <w:lang w:val="ru-RU"/>
        </w:rPr>
        <w:t>года</w:t>
      </w:r>
      <w:r>
        <w:rPr>
          <w:lang w:val="fr-FR"/>
        </w:rPr>
        <w:t xml:space="preserve">. </w:t>
      </w:r>
    </w:p>
    <w:p w:rsidR="001F3233" w:rsidRDefault="001F3233">
      <w:pPr>
        <w:spacing w:after="240"/>
        <w:rPr>
          <w:lang w:val="ru-RU"/>
        </w:rPr>
      </w:pPr>
      <w:r>
        <w:rPr>
          <w:lang w:val="ru-RU"/>
        </w:rPr>
        <w:t>83.</w:t>
      </w:r>
      <w:r>
        <w:rPr>
          <w:lang w:val="ru-RU"/>
        </w:rPr>
        <w:tab/>
      </w:r>
      <w:r>
        <w:rPr>
          <w:u w:val="single"/>
          <w:lang w:val="ru-RU"/>
        </w:rPr>
        <w:t>Г-жа СИКЧЕЛА</w:t>
      </w:r>
      <w:r>
        <w:rPr>
          <w:lang w:val="ru-RU"/>
        </w:rPr>
        <w:t xml:space="preserve"> говорит, что УВКБ приступает к переговорам с отдельными странами ЕС по вопросу об их политике выдворения лиц из числа граждан стран, не входящих в ЕС; как это было, в частности, сделано с Соединенным Королевством, когда оно приняло политику дипломатических заверений в отношении лиц, рассматриваемых в качестве угрозы государственной безопасности.   </w:t>
      </w:r>
    </w:p>
    <w:p w:rsidR="001F3233" w:rsidRDefault="001F3233">
      <w:pPr>
        <w:spacing w:after="240"/>
        <w:rPr>
          <w:lang w:val="ru-RU"/>
        </w:rPr>
      </w:pPr>
      <w:r>
        <w:rPr>
          <w:lang w:val="ru-RU"/>
        </w:rPr>
        <w:t>84.</w:t>
      </w:r>
      <w:r>
        <w:rPr>
          <w:lang w:val="ru-RU"/>
        </w:rPr>
        <w:tab/>
        <w:t>Г-жа Сикчела говорит, что в Намибии имеется примерно 6</w:t>
      </w:r>
      <w:r>
        <w:t> </w:t>
      </w:r>
      <w:r>
        <w:rPr>
          <w:lang w:val="ru-RU"/>
        </w:rPr>
        <w:t xml:space="preserve">000 беженцев, из которых только тысяча не проживает в лагерях. Она признает, что гражданским лицам трудно получить доступ в эти лагеря, но отмечает, что это необходимо для безопасности самих беженцев. Тем не менее, УВКБ, НПО и их различные партнеры на местах имеют туда доступ без ограничений.   </w:t>
      </w:r>
    </w:p>
    <w:p w:rsidR="001F3233" w:rsidRDefault="001F3233">
      <w:pPr>
        <w:spacing w:after="240"/>
        <w:rPr>
          <w:lang w:val="ru-RU"/>
        </w:rPr>
      </w:pPr>
      <w:r>
        <w:rPr>
          <w:lang w:val="ru-RU"/>
        </w:rPr>
        <w:t>85.</w:t>
      </w:r>
      <w:r>
        <w:rPr>
          <w:lang w:val="ru-RU"/>
        </w:rPr>
        <w:tab/>
        <w:t>Целый ряд миссий срочной гуманитарной помощи был направлен в Южную Африку, чтобы положить конец насилию, жертвами которого стали, в частности, перемещенные лица. Были разработаны программы подготовки кадров и укрепления потенциала для ускорения процесса определения статуса беженца и для урегулирования положения этих лиц в самый короткий срок. Дополнительную информацию можно получить через Интернет на официальном сайте Управления Верховного комиссара по делам беженцев.</w:t>
      </w:r>
    </w:p>
    <w:p w:rsidR="001F3233" w:rsidRDefault="001F3233">
      <w:pPr>
        <w:spacing w:after="240"/>
        <w:jc w:val="center"/>
        <w:rPr>
          <w:i/>
          <w:lang w:val="ru-RU"/>
        </w:rPr>
      </w:pPr>
      <w:r>
        <w:rPr>
          <w:i/>
          <w:lang w:val="ru-RU"/>
        </w:rPr>
        <w:t>Заседание закрывается в 12 час. 35 мин.</w:t>
      </w:r>
    </w:p>
    <w:p w:rsidR="001F3233" w:rsidRDefault="001F3233">
      <w:pPr>
        <w:spacing w:after="240"/>
        <w:jc w:val="center"/>
        <w:rPr>
          <w:lang w:val="ru-RU"/>
        </w:rPr>
      </w:pPr>
      <w:r>
        <w:rPr>
          <w:lang w:val="ru-RU"/>
        </w:rPr>
        <w:t>-----</w:t>
      </w:r>
    </w:p>
    <w:sectPr w:rsidR="001F3233">
      <w:headerReference w:type="even" r:id="rId9"/>
      <w:headerReference w:type="default" r:id="rId10"/>
      <w:footerReference w:type="even" r:id="rId11"/>
      <w:footerReference w:type="default" r:id="rId12"/>
      <w:headerReference w:type="first" r:id="rId13"/>
      <w:footerReference w:type="first" r:id="rId14"/>
      <w:endnotePr>
        <w:numFmt w:val="decimal"/>
      </w:endnotePr>
      <w:pgSz w:w="11905" w:h="16837"/>
      <w:pgMar w:top="1134" w:right="851" w:bottom="1985" w:left="1701" w:header="851" w:footer="1701"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E5C" w:rsidRDefault="00003E5C">
      <w:r>
        <w:separator/>
      </w:r>
    </w:p>
  </w:endnote>
  <w:endnote w:type="continuationSeparator" w:id="0">
    <w:p w:rsidR="00003E5C" w:rsidRDefault="00003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33" w:rsidRDefault="001F32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33" w:rsidRDefault="001F32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33" w:rsidRDefault="001F323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E5C" w:rsidRDefault="00003E5C">
      <w:r>
        <w:separator/>
      </w:r>
    </w:p>
  </w:footnote>
  <w:footnote w:type="continuationSeparator" w:id="0">
    <w:p w:rsidR="00003E5C" w:rsidRDefault="00003E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33" w:rsidRDefault="001F3233">
    <w:pPr>
      <w:pStyle w:val="Header"/>
    </w:pPr>
    <w:r>
      <w:t>CERD/C/SR.1875</w:t>
    </w:r>
  </w:p>
  <w:p w:rsidR="001F3233" w:rsidRDefault="001F3233">
    <w:pPr>
      <w:pStyle w:val="Header"/>
    </w:pPr>
    <w:r>
      <w:t xml:space="preserve">page </w:t>
    </w:r>
    <w:r>
      <w:fldChar w:fldCharType="begin"/>
    </w:r>
    <w:r>
      <w:instrText xml:space="preserve"> PAGE  \* MERGEFORMAT </w:instrText>
    </w:r>
    <w:r>
      <w:fldChar w:fldCharType="separate"/>
    </w:r>
    <w:r w:rsidR="00A53C0E">
      <w:rPr>
        <w:noProof/>
      </w:rPr>
      <w:t>16</w:t>
    </w:r>
    <w:r>
      <w:fldChar w:fldCharType="end"/>
    </w:r>
  </w:p>
  <w:p w:rsidR="001F3233" w:rsidRDefault="001F32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33" w:rsidRDefault="001F3233">
    <w:pPr>
      <w:pStyle w:val="Header"/>
      <w:tabs>
        <w:tab w:val="clear" w:pos="6804"/>
        <w:tab w:val="left" w:pos="6803"/>
      </w:tabs>
      <w:ind w:left="7371"/>
    </w:pPr>
    <w:r>
      <w:t>CERD/C/SR.1875</w:t>
    </w:r>
  </w:p>
  <w:p w:rsidR="001F3233" w:rsidRDefault="001F3233">
    <w:pPr>
      <w:pStyle w:val="Header"/>
      <w:tabs>
        <w:tab w:val="clear" w:pos="6804"/>
        <w:tab w:val="left" w:pos="6803"/>
      </w:tabs>
      <w:ind w:left="7371"/>
    </w:pPr>
    <w:r>
      <w:t xml:space="preserve">page </w:t>
    </w:r>
    <w:r>
      <w:fldChar w:fldCharType="begin"/>
    </w:r>
    <w:r>
      <w:instrText xml:space="preserve"> PAGE  \* MERGEFORMAT </w:instrText>
    </w:r>
    <w:r>
      <w:fldChar w:fldCharType="separate"/>
    </w:r>
    <w:r w:rsidR="00A53C0E">
      <w:rPr>
        <w:noProof/>
      </w:rPr>
      <w:t>17</w:t>
    </w:r>
    <w:r>
      <w:fldChar w:fldCharType="end"/>
    </w:r>
  </w:p>
  <w:p w:rsidR="001F3233" w:rsidRDefault="001F3233">
    <w:pPr>
      <w:pStyle w:val="Header"/>
      <w:tabs>
        <w:tab w:val="clear" w:pos="6804"/>
        <w:tab w:val="left" w:pos="6803"/>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33" w:rsidRDefault="001F32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F49C6"/>
    <w:multiLevelType w:val="singleLevel"/>
    <w:tmpl w:val="B77491F2"/>
    <w:lvl w:ilvl="0">
      <w:start w:val="1"/>
      <w:numFmt w:val="lowerRoman"/>
      <w:lvlText w:val="%1)"/>
      <w:lvlJc w:val="right"/>
      <w:pPr>
        <w:tabs>
          <w:tab w:val="num" w:pos="927"/>
        </w:tabs>
        <w:ind w:left="567" w:firstLine="0"/>
      </w:pPr>
    </w:lvl>
  </w:abstractNum>
  <w:abstractNum w:abstractNumId="1">
    <w:nsid w:val="3CB061AB"/>
    <w:multiLevelType w:val="singleLevel"/>
    <w:tmpl w:val="41B05A72"/>
    <w:lvl w:ilvl="0">
      <w:start w:val="1"/>
      <w:numFmt w:val="decimal"/>
      <w:lvlText w:val="%1."/>
      <w:lvlJc w:val="left"/>
      <w:pPr>
        <w:tabs>
          <w:tab w:val="num" w:pos="360"/>
        </w:tabs>
        <w:ind w:left="-1" w:firstLine="1"/>
      </w:pPr>
      <w:rPr>
        <w:rFonts w:hint="default"/>
      </w:rPr>
    </w:lvl>
  </w:abstractNum>
  <w:abstractNum w:abstractNumId="2">
    <w:nsid w:val="7CF349BD"/>
    <w:multiLevelType w:val="singleLevel"/>
    <w:tmpl w:val="18B8A3E2"/>
    <w:lvl w:ilvl="0">
      <w:start w:val="1"/>
      <w:numFmt w:val="lowerRoman"/>
      <w:lvlText w:val="%1)"/>
      <w:lvlJc w:val="right"/>
      <w:pPr>
        <w:tabs>
          <w:tab w:val="num" w:pos="504"/>
        </w:tabs>
        <w:ind w:left="504" w:hanging="216"/>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ttachedTemplate r:id="rId1"/>
  <w:doNotTrackMoves/>
  <w:defaultTabStop w:val="567"/>
  <w:hyphenationZone w:val="425"/>
  <w:doNotHyphenateCaps/>
  <w:evenAndOddHeader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1B65"/>
    <w:rsid w:val="00003E5C"/>
    <w:rsid w:val="000474E8"/>
    <w:rsid w:val="00061D50"/>
    <w:rsid w:val="001F3233"/>
    <w:rsid w:val="002C2BC3"/>
    <w:rsid w:val="00321B65"/>
    <w:rsid w:val="005A6DC8"/>
    <w:rsid w:val="00734E10"/>
    <w:rsid w:val="00A04159"/>
    <w:rsid w:val="00A53C0E"/>
    <w:rsid w:val="00A53FB8"/>
    <w:rsid w:val="00A85A9A"/>
    <w:rsid w:val="00C50490"/>
    <w:rsid w:val="00C924A2"/>
    <w:rsid w:val="00FD314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paragraph" w:styleId="Heading1">
    <w:name w:val="heading 1"/>
    <w:basedOn w:val="Normal"/>
    <w:next w:val="Normal"/>
    <w:qFormat/>
    <w:pPr>
      <w:keepNext/>
      <w:spacing w:after="240"/>
      <w:outlineLvl w:val="0"/>
    </w:pPr>
    <w:rPr>
      <w:rFonts w:cs="Arial"/>
      <w:b/>
      <w:bCs/>
      <w:szCs w:val="32"/>
    </w:rPr>
  </w:style>
  <w:style w:type="paragraph" w:styleId="Heading2">
    <w:name w:val="heading 2"/>
    <w:basedOn w:val="Normal"/>
    <w:next w:val="Normal"/>
    <w:qFormat/>
    <w:pPr>
      <w:keepNext/>
      <w:spacing w:after="240"/>
      <w:outlineLvl w:val="1"/>
    </w:pPr>
  </w:style>
  <w:style w:type="paragraph" w:styleId="Heading3">
    <w:name w:val="heading 3"/>
    <w:basedOn w:val="Normal"/>
    <w:next w:val="Normal"/>
    <w:qFormat/>
    <w:pPr>
      <w:keepNext/>
      <w:spacing w:after="240"/>
      <w:outlineLvl w:val="2"/>
    </w:p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b/>
      <w:sz w:val="24"/>
      <w:vertAlign w:val="superscript"/>
    </w:rPr>
  </w:style>
  <w:style w:type="character" w:styleId="EndnoteReference">
    <w:name w:val="endnote reference"/>
    <w:semiHidden/>
    <w:rPr>
      <w:rFonts w:ascii="Times New Roman" w:hAnsi="Times New Roman"/>
      <w:b/>
      <w:sz w:val="24"/>
      <w:vertAlign w:val="superscript"/>
    </w:rPr>
  </w:style>
  <w:style w:type="paragraph" w:styleId="FootnoteText">
    <w:name w:val="footnote text"/>
    <w:basedOn w:val="Normal"/>
    <w:semiHidden/>
  </w:style>
  <w:style w:type="paragraph" w:styleId="EndnoteText">
    <w:name w:val="endnote text"/>
    <w:basedOn w:val="Normal"/>
    <w:semiHidden/>
  </w:style>
  <w:style w:type="paragraph" w:customStyle="1" w:styleId="a">
    <w:name w:val="название"/>
    <w:basedOn w:val="Normal"/>
    <w:pPr>
      <w:widowControl w:val="0"/>
    </w:pPr>
    <w:rPr>
      <w:rFonts w:ascii="Courier" w:hAnsi="Courier"/>
      <w:snapToGrid w:val="0"/>
      <w:lang w:val="ru-RU" w:eastAsia="ru-RU"/>
    </w:rPr>
  </w:style>
  <w:style w:type="paragraph" w:styleId="Header">
    <w:name w:val="header"/>
    <w:basedOn w:val="Normal"/>
    <w:semiHidden/>
    <w:pPr>
      <w:tabs>
        <w:tab w:val="left" w:pos="6804"/>
      </w:tabs>
    </w:pPr>
  </w:style>
  <w:style w:type="paragraph" w:styleId="Footer">
    <w:name w:val="footer"/>
    <w:basedOn w:val="Normal"/>
    <w:semiHidden/>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56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d\Q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Q9</Template>
  <TotalTime>1</TotalTime>
  <Pages>1</Pages>
  <Words>7389</Words>
  <Characters>42122</Characters>
  <Application>Microsoft Office Word</Application>
  <DocSecurity>4</DocSecurity>
  <Lines>351</Lines>
  <Paragraphs>98</Paragraphs>
  <ScaleCrop>false</ScaleCrop>
  <HeadingPairs>
    <vt:vector size="2" baseType="variant">
      <vt:variant>
        <vt:lpstr>Title</vt:lpstr>
      </vt:variant>
      <vt:variant>
        <vt:i4>1</vt:i4>
      </vt:variant>
    </vt:vector>
  </HeadingPairs>
  <TitlesOfParts>
    <vt:vector size="1" baseType="lpstr">
      <vt:lpstr>CERD/C/SR.1875</vt:lpstr>
    </vt:vector>
  </TitlesOfParts>
  <Company>ONU</Company>
  <LinksUpToDate>false</LinksUpToDate>
  <CharactersWithSpaces>49413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CERD/C/SR.1875</dc:title>
  <dc:subject>Semi final</dc:subject>
  <dc:creator>Christine Fanelli</dc:creator>
  <cp:keywords/>
  <dc:description/>
  <cp:lastModifiedBy>odsdba</cp:lastModifiedBy>
  <cp:revision>2</cp:revision>
  <cp:lastPrinted>2009-03-09T13:08:00Z</cp:lastPrinted>
  <dcterms:created xsi:type="dcterms:W3CDTF">2009-04-09T13:00:00Z</dcterms:created>
  <dcterms:modified xsi:type="dcterms:W3CDTF">2009-04-09T13:00:00Z</dcterms:modified>
</cp:coreProperties>
</file>