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00000">
      <w:pPr>
        <w:rPr>
          <w:sz w:val="2"/>
          <w:lang w:val="ru-RU"/>
        </w:rPr>
      </w:pPr>
    </w:p>
    <w:tbl>
      <w:tblPr>
        <w:tblW w:w="9639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81"/>
        <w:gridCol w:w="445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81" w:type="dxa"/>
            <w:tcBorders>
              <w:bottom w:val="single" w:sz="18" w:space="0" w:color="auto"/>
            </w:tcBorders>
          </w:tcPr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16" w:lineRule="auto"/>
            </w:pPr>
            <w:r>
              <w:rPr>
                <w:b/>
                <w:sz w:val="30"/>
              </w:rPr>
              <w:t>ОРГАНИЗАЦИЯ</w:t>
            </w:r>
            <w:r>
              <w:rPr>
                <w:b/>
                <w:sz w:val="30"/>
                <w:lang w:val="en-US"/>
              </w:rPr>
              <w:t xml:space="preserve"> </w:t>
            </w:r>
            <w:r>
              <w:rPr>
                <w:b/>
                <w:sz w:val="30"/>
              </w:rPr>
              <w:br/>
              <w:t>ОБЪЕДИНЕННЫХ</w:t>
            </w:r>
            <w:r>
              <w:t xml:space="preserve"> </w:t>
            </w:r>
            <w:r>
              <w:rPr>
                <w:b/>
                <w:sz w:val="30"/>
              </w:rPr>
              <w:t>НАЦИЙ</w:t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16" w:lineRule="auto"/>
              <w:rPr>
                <w:b/>
                <w:sz w:val="20"/>
              </w:rPr>
            </w:pPr>
          </w:p>
        </w:tc>
        <w:tc>
          <w:tcPr>
            <w:tcW w:w="4458" w:type="dxa"/>
            <w:tcBorders>
              <w:bottom w:val="single" w:sz="18" w:space="0" w:color="auto"/>
            </w:tcBorders>
          </w:tcPr>
          <w:p w:rsidR="00000000" w:rsidRDefault="00000000">
            <w:pPr>
              <w:pStyle w:val="Heading5"/>
              <w:jc w:val="right"/>
              <w:rPr>
                <w:b/>
                <w:i/>
                <w:sz w:val="72"/>
              </w:rPr>
            </w:pPr>
            <w:r>
              <w:rPr>
                <w:b/>
                <w:i/>
                <w:sz w:val="72"/>
              </w:rPr>
              <w:t>CERD</w:t>
            </w:r>
          </w:p>
        </w:tc>
      </w:tr>
    </w:tbl>
    <w:p w:rsidR="00000000" w:rsidRDefault="00000000">
      <w:pPr>
        <w:tabs>
          <w:tab w:val="left" w:pos="0"/>
          <w:tab w:val="left" w:pos="7086"/>
        </w:tabs>
        <w:suppressAutoHyphens/>
        <w:spacing w:line="216" w:lineRule="auto"/>
        <w:rPr>
          <w:sz w:val="20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8"/>
        <w:gridCol w:w="5063"/>
        <w:gridCol w:w="304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58" w:type="dxa"/>
            <w:tcBorders>
              <w:bottom w:val="single" w:sz="36" w:space="0" w:color="auto"/>
            </w:tcBorders>
          </w:tcPr>
          <w:bookmarkStart w:id="0" w:name="_MON_1113892389"/>
          <w:bookmarkEnd w:id="0"/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ind w:left="30" w:right="270"/>
              <w:rPr>
                <w:sz w:val="2"/>
              </w:rPr>
            </w:pPr>
            <w:r>
              <w:rPr>
                <w:sz w:val="20"/>
              </w:rPr>
              <w:object w:dxaOrig="1206" w:dyaOrig="9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49.5pt" o:ole="" fillcolor="window">
                  <v:imagedata r:id="rId7" o:title=""/>
                </v:shape>
                <o:OLEObject Type="Embed" ProgID="Word.Picture.8" ShapeID="_x0000_i1025" DrawAspect="Content" ObjectID="_1395486157" r:id="rId8"/>
              </w:object>
            </w:r>
          </w:p>
          <w:p w:rsidR="00000000" w:rsidRDefault="00000000">
            <w:pPr>
              <w:pStyle w:val="a"/>
              <w:tabs>
                <w:tab w:val="left" w:pos="0"/>
                <w:tab w:val="left" w:pos="567"/>
                <w:tab w:val="left" w:pos="1134"/>
                <w:tab w:val="left" w:pos="1701"/>
                <w:tab w:val="left" w:pos="2268"/>
                <w:tab w:val="left" w:pos="7086"/>
              </w:tabs>
              <w:suppressAutoHyphens/>
              <w:spacing w:line="1" w:lineRule="exact"/>
              <w:ind w:left="30" w:right="270"/>
              <w:rPr>
                <w:rFonts w:ascii="Times New Roman" w:hAnsi="Times New Roman"/>
                <w:vanish/>
                <w:sz w:val="20"/>
              </w:rPr>
            </w:pPr>
            <w:r>
              <w:rPr>
                <w:rFonts w:ascii="Times New Roman" w:hAnsi="Times New Roman"/>
                <w:vanish/>
                <w:sz w:val="20"/>
              </w:rPr>
              <w:fldChar w:fldCharType="begin"/>
            </w:r>
            <w:r>
              <w:rPr>
                <w:rFonts w:ascii="Times New Roman" w:hAnsi="Times New Roman"/>
                <w:vanish/>
                <w:sz w:val="20"/>
              </w:rPr>
              <w:instrText>SEQ _endnote  \* ARABIC</w:instrText>
            </w:r>
            <w:r>
              <w:rPr>
                <w:rFonts w:ascii="Times New Roman" w:hAnsi="Times New Roman"/>
                <w:vanish/>
                <w:sz w:val="20"/>
              </w:rPr>
              <w:fldChar w:fldCharType="separate"/>
            </w:r>
            <w:r>
              <w:rPr>
                <w:rFonts w:ascii="Times New Roman" w:hAnsi="Times New Roman"/>
                <w:vanish/>
                <w:sz w:val="20"/>
              </w:rPr>
              <w:t>1</w:t>
            </w:r>
            <w:r>
              <w:rPr>
                <w:rFonts w:ascii="Times New Roman" w:hAnsi="Times New Roman"/>
                <w:vanish/>
                <w:sz w:val="20"/>
              </w:rPr>
              <w:fldChar w:fldCharType="end"/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rPr>
                <w:sz w:val="20"/>
              </w:rPr>
            </w:pPr>
          </w:p>
        </w:tc>
        <w:tc>
          <w:tcPr>
            <w:tcW w:w="5063" w:type="dxa"/>
            <w:tcBorders>
              <w:bottom w:val="single" w:sz="36" w:space="0" w:color="auto"/>
            </w:tcBorders>
          </w:tcPr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ind w:right="283"/>
              <w:rPr>
                <w:sz w:val="20"/>
              </w:rPr>
            </w:pP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64" w:lineRule="auto"/>
              <w:ind w:right="284"/>
              <w:rPr>
                <w:b/>
                <w:bCs/>
                <w:i/>
                <w:sz w:val="30"/>
                <w:lang w:val="ru-RU"/>
              </w:rPr>
            </w:pPr>
            <w:r>
              <w:rPr>
                <w:b/>
                <w:bCs/>
                <w:i/>
                <w:sz w:val="30"/>
                <w:lang w:val="ru-RU"/>
              </w:rPr>
              <w:t xml:space="preserve">МЕЖДУНАРОДНАЯ </w:t>
            </w:r>
            <w:r>
              <w:rPr>
                <w:b/>
                <w:bCs/>
                <w:i/>
                <w:sz w:val="30"/>
                <w:lang w:val="ru-RU"/>
              </w:rPr>
              <w:br/>
              <w:t xml:space="preserve">КОНВЕНЦИЯ </w:t>
            </w:r>
            <w:r>
              <w:rPr>
                <w:b/>
                <w:bCs/>
                <w:i/>
                <w:sz w:val="30"/>
                <w:lang w:val="ru-RU"/>
              </w:rPr>
              <w:br/>
              <w:t xml:space="preserve">О ЛИКВИДАЦИИ </w:t>
            </w:r>
            <w:r>
              <w:rPr>
                <w:b/>
                <w:bCs/>
                <w:i/>
                <w:sz w:val="30"/>
                <w:lang w:val="ru-RU"/>
              </w:rPr>
              <w:br/>
              <w:t xml:space="preserve">ВСЕХ ФОРМ </w:t>
            </w:r>
            <w:r>
              <w:rPr>
                <w:b/>
                <w:bCs/>
                <w:i/>
                <w:sz w:val="30"/>
                <w:lang w:val="ru-RU"/>
              </w:rPr>
              <w:br/>
              <w:t>РАСОВОЙ ДИСКРИМИНАЦИИ</w:t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312" w:lineRule="auto"/>
              <w:ind w:right="283"/>
              <w:rPr>
                <w:sz w:val="20"/>
                <w:lang w:val="ru-RU"/>
              </w:rPr>
            </w:pPr>
          </w:p>
        </w:tc>
        <w:tc>
          <w:tcPr>
            <w:tcW w:w="3046" w:type="dxa"/>
            <w:tcBorders>
              <w:bottom w:val="single" w:sz="36" w:space="0" w:color="auto"/>
            </w:tcBorders>
          </w:tcPr>
          <w:p w:rsidR="00000000" w:rsidRDefault="00000000">
            <w:pPr>
              <w:rPr>
                <w:lang w:val="ru-RU"/>
              </w:rPr>
            </w:pPr>
          </w:p>
          <w:p w:rsidR="00000000" w:rsidRDefault="00000000">
            <w:pPr>
              <w:spacing w:line="216" w:lineRule="auto"/>
              <w:rPr>
                <w:sz w:val="22"/>
              </w:rPr>
            </w:pPr>
            <w:r>
              <w:rPr>
                <w:sz w:val="22"/>
                <w:lang w:val="en-US"/>
              </w:rPr>
              <w:t>Distr</w:t>
            </w:r>
            <w:r>
              <w:rPr>
                <w:sz w:val="22"/>
              </w:rPr>
              <w:t>.</w:t>
            </w:r>
          </w:p>
          <w:p w:rsidR="00000000" w:rsidRDefault="00000000">
            <w:pPr>
              <w:spacing w:line="216" w:lineRule="auto"/>
              <w:rPr>
                <w:sz w:val="22"/>
              </w:rPr>
            </w:pPr>
            <w:r>
              <w:rPr>
                <w:sz w:val="22"/>
                <w:lang w:val="en-US"/>
              </w:rPr>
              <w:fldChar w:fldCharType="begin">
                <w:ffData>
                  <w:name w:val="ПолеСоСписком1"/>
                  <w:enabled/>
                  <w:calcOnExit w:val="0"/>
                  <w:ddList>
                    <w:listEntry w:val="GENERAL"/>
                    <w:listEntry w:val="LIMITED"/>
                    <w:listEntry w:val="RESTRICTED"/>
                  </w:ddList>
                </w:ffData>
              </w:fldChar>
            </w:r>
            <w:bookmarkStart w:id="1" w:name="ПолеСоСписком1"/>
            <w:r>
              <w:rPr>
                <w:sz w:val="22"/>
              </w:rPr>
              <w:instrText xml:space="preserve"> </w:instrText>
            </w:r>
            <w:r>
              <w:rPr>
                <w:sz w:val="22"/>
                <w:lang w:val="en-US"/>
              </w:rPr>
              <w:instrText>FORMDROPDOWN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  <w:lang w:val="en-US"/>
              </w:rPr>
            </w:r>
            <w:r>
              <w:rPr>
                <w:sz w:val="22"/>
                <w:lang w:val="en-US"/>
              </w:rPr>
              <w:fldChar w:fldCharType="end"/>
            </w:r>
            <w:bookmarkEnd w:id="1"/>
          </w:p>
          <w:p w:rsidR="00000000" w:rsidRDefault="00000000">
            <w:pPr>
              <w:pStyle w:val="a"/>
              <w:widowControl/>
              <w:tabs>
                <w:tab w:val="left" w:pos="567"/>
                <w:tab w:val="left" w:pos="1134"/>
                <w:tab w:val="left" w:pos="1701"/>
                <w:tab w:val="left" w:pos="2268"/>
                <w:tab w:val="left" w:pos="6237"/>
              </w:tabs>
              <w:spacing w:line="216" w:lineRule="auto"/>
              <w:rPr>
                <w:rFonts w:ascii="Times New Roman" w:hAnsi="Times New Roman"/>
                <w:snapToGrid/>
                <w:sz w:val="22"/>
              </w:rPr>
            </w:pPr>
          </w:p>
          <w:p w:rsidR="00000000" w:rsidRDefault="00000000">
            <w:pPr>
              <w:spacing w:line="216" w:lineRule="auto"/>
              <w:rPr>
                <w:sz w:val="22"/>
                <w:lang w:val="en-GB"/>
              </w:rPr>
            </w:pPr>
            <w:r>
              <w:rPr>
                <w:sz w:val="22"/>
                <w:lang w:val="en-US"/>
              </w:rPr>
              <w:t>CERD/C/SR.1901</w:t>
            </w:r>
          </w:p>
          <w:p w:rsidR="00000000" w:rsidRDefault="00000000">
            <w:pPr>
              <w:spacing w:line="216" w:lineRule="auto"/>
              <w:rPr>
                <w:sz w:val="22"/>
                <w:lang w:val="en-GB"/>
              </w:rPr>
            </w:pPr>
            <w:r>
              <w:rPr>
                <w:sz w:val="22"/>
                <w:lang w:val="en-US"/>
              </w:rPr>
              <w:t>24 July 2009</w:t>
            </w:r>
          </w:p>
          <w:p w:rsidR="00000000" w:rsidRDefault="00000000">
            <w:pPr>
              <w:spacing w:line="216" w:lineRule="auto"/>
              <w:rPr>
                <w:sz w:val="22"/>
                <w:lang w:val="en-GB"/>
              </w:rPr>
            </w:pPr>
          </w:p>
          <w:p w:rsidR="00000000" w:rsidRDefault="00000000">
            <w:pPr>
              <w:spacing w:line="21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RUSSIAN</w:t>
            </w:r>
          </w:p>
          <w:p w:rsidR="00000000" w:rsidRDefault="00000000">
            <w:pPr>
              <w:spacing w:line="21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Original:  FRENCH</w:t>
            </w:r>
          </w:p>
          <w:p w:rsidR="00000000" w:rsidRDefault="00000000">
            <w:pPr>
              <w:rPr>
                <w:lang w:val="en-US"/>
              </w:rPr>
            </w:pP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16" w:lineRule="auto"/>
              <w:ind w:left="284"/>
              <w:rPr>
                <w:sz w:val="22"/>
                <w:lang w:val="en-GB"/>
              </w:rPr>
            </w:pPr>
          </w:p>
        </w:tc>
      </w:tr>
    </w:tbl>
    <w:p w:rsidR="00000000" w:rsidRDefault="00000000">
      <w:pPr>
        <w:spacing w:before="120" w:after="120"/>
        <w:jc w:val="center"/>
        <w:rPr>
          <w:lang w:val="ru-RU"/>
        </w:rPr>
      </w:pPr>
      <w:r>
        <w:rPr>
          <w:lang w:val="ru-RU"/>
        </w:rPr>
        <w:t>КОМИТЕТ ПО ЛИКВИДАЦИИ РАСОВОЙ ДИСКРИМИНАЦИИ</w:t>
      </w:r>
    </w:p>
    <w:p w:rsidR="00000000" w:rsidRDefault="00000000">
      <w:pPr>
        <w:spacing w:after="240"/>
        <w:jc w:val="center"/>
        <w:rPr>
          <w:lang w:val="ru-RU"/>
        </w:rPr>
      </w:pPr>
      <w:r>
        <w:rPr>
          <w:lang w:val="ru-RU"/>
        </w:rPr>
        <w:t xml:space="preserve">Семьдесят третья сессия </w:t>
      </w:r>
    </w:p>
    <w:p w:rsidR="00000000" w:rsidRDefault="00000000">
      <w:pPr>
        <w:spacing w:after="120"/>
        <w:jc w:val="center"/>
        <w:rPr>
          <w:lang w:val="ru-RU"/>
        </w:rPr>
      </w:pPr>
      <w:r>
        <w:rPr>
          <w:szCs w:val="24"/>
          <w:lang w:val="ru-RU"/>
        </w:rPr>
        <w:t>КРАТКИЙ ОТЧЁТ О ПЕРВОЙ (ОТКРЫТОЙ)* ЧАСТИ 1901-го ЗАСЕДАНИЯ,</w:t>
      </w:r>
    </w:p>
    <w:p w:rsidR="00000000" w:rsidRDefault="00000000">
      <w:pPr>
        <w:spacing w:after="180"/>
        <w:jc w:val="center"/>
        <w:rPr>
          <w:lang w:val="ru-RU"/>
        </w:rPr>
      </w:pPr>
      <w:r>
        <w:rPr>
          <w:lang w:val="ru-RU"/>
        </w:rPr>
        <w:t>состоявшегося во Дворце Вильсона в Женеве</w:t>
      </w:r>
      <w:r>
        <w:rPr>
          <w:lang w:val="ru-RU"/>
        </w:rPr>
        <w:br/>
        <w:t>в пятницу, 15 августа 2008</w:t>
      </w:r>
      <w:r>
        <w:t> </w:t>
      </w:r>
      <w:r>
        <w:rPr>
          <w:lang w:val="ru-RU"/>
        </w:rPr>
        <w:t>года, в 10 час. 00 мин.</w:t>
      </w:r>
    </w:p>
    <w:p w:rsidR="00000000" w:rsidRDefault="00000000">
      <w:pPr>
        <w:spacing w:after="240"/>
        <w:jc w:val="center"/>
        <w:rPr>
          <w:lang w:val="ru-RU"/>
        </w:rPr>
      </w:pPr>
      <w:r>
        <w:rPr>
          <w:u w:val="single"/>
          <w:lang w:val="ru-RU"/>
        </w:rPr>
        <w:t>Председатель</w:t>
      </w:r>
      <w:r>
        <w:rPr>
          <w:lang w:val="ru-RU"/>
        </w:rPr>
        <w:t>: г-жа ДАХ</w:t>
      </w:r>
    </w:p>
    <w:p w:rsidR="00000000" w:rsidRDefault="00000000">
      <w:pPr>
        <w:spacing w:after="120"/>
        <w:jc w:val="center"/>
        <w:rPr>
          <w:lang w:val="ru-RU"/>
        </w:rPr>
      </w:pPr>
      <w:r>
        <w:rPr>
          <w:lang w:val="ru-RU"/>
        </w:rPr>
        <w:t>СОДЕРЖАНИЕ</w:t>
      </w:r>
    </w:p>
    <w:p w:rsidR="00000000" w:rsidRDefault="00000000">
      <w:pPr>
        <w:spacing w:after="120"/>
        <w:rPr>
          <w:lang w:val="ru-RU"/>
        </w:rPr>
      </w:pPr>
      <w:r>
        <w:rPr>
          <w:lang w:val="ru-RU"/>
        </w:rPr>
        <w:t>ПРЕДОТВРАЩЕНИЕ РАСОВОЙ ДИСКРИМИНАЦИИ, ВКЛЮЧАЯ МЕРЫ РАННЕГО ПРЕДУПРЕЖДЕНИЯ И ПРОЦЕДУРЫ НЕЗАМЕДЛИТЕЛЬНЫХ ДЕЙСТВИЙ</w:t>
      </w:r>
    </w:p>
    <w:p w:rsidR="00000000" w:rsidRDefault="00000000">
      <w:pPr>
        <w:spacing w:before="240"/>
        <w:rPr>
          <w:lang w:val="ru-RU"/>
        </w:rPr>
      </w:pPr>
      <w:r>
        <w:rPr>
          <w:lang w:val="ru-RU"/>
        </w:rPr>
        <w:t>РАССМОТРЕНИЕ ПЕТИЦИЙ, ДОКЛАДОВ И ДРУГИХ ИНФОРМАЦИОННЫХ МАТЕРИАЛОВ, ОТНОСЯЩИХСЯ К ПОДОПЕЧНЫМ И НЕСАМОУПРАВЛЯЮЩИМСЯ ТЕРРИТОРИЯМ И КО ВСЕМ ДРУГИМ ТЕРРИТОРИЯМ, НА КОТОРЫЕ РАСПРОСТРАНЯЮТСЯ ПОЛОЖЕНИЯ РЕЗОЛЮЦИИ 1514 (</w:t>
      </w:r>
      <w:r>
        <w:t>XV</w:t>
      </w:r>
      <w:r>
        <w:rPr>
          <w:lang w:val="ru-RU"/>
        </w:rPr>
        <w:t>) ГЕНЕРАЛЬНОЙ АССАМБЛЕИ, В СООТВЕТСТВИИ СО СТАТЬЕЙ 15 КОНВЕНЦИИ</w:t>
      </w:r>
    </w:p>
    <w:p w:rsidR="00000000" w:rsidRDefault="00000000">
      <w:pPr>
        <w:jc w:val="center"/>
        <w:rPr>
          <w:i/>
          <w:lang w:val="ru-RU"/>
        </w:rPr>
      </w:pPr>
      <w:r>
        <w:rPr>
          <w:i/>
          <w:lang w:val="ru-RU"/>
        </w:rPr>
        <w:t>Заседание открывается в 10 час. 20 мин.</w:t>
      </w:r>
    </w:p>
    <w:p w:rsidR="00000000" w:rsidRDefault="00000000">
      <w:pPr>
        <w:spacing w:after="120"/>
        <w:rPr>
          <w:lang w:val="ru-RU"/>
        </w:rPr>
      </w:pPr>
    </w:p>
    <w:p w:rsidR="00000000" w:rsidRDefault="00000000">
      <w:pPr>
        <w:spacing w:after="120"/>
        <w:rPr>
          <w:lang w:val="ru-RU"/>
        </w:rPr>
      </w:pPr>
      <w:r>
        <w:rPr>
          <w:lang w:val="ru-RU"/>
        </w:rPr>
        <w:t>ПРЕДОТВРАЩЕНИЕ РАСОВОЙ ДИСКРИМИНАЦИИ, ВКЛЮЧАЯ МЕРЫ РАННЕГО ПРЕДУПРЕЖДЕНИЯ И ПРОЦЕДУРЫ НЕЗАМЕДЛИТЕЛЬНЫХ ДЕЙСТВИЙ</w:t>
      </w:r>
      <w:r>
        <w:rPr>
          <w:lang w:val="ru-RU"/>
        </w:rPr>
        <w:br/>
        <w:t>(пункт 3 повестки дня)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1.</w:t>
      </w:r>
      <w:r>
        <w:rPr>
          <w:lang w:val="ru-RU"/>
        </w:rPr>
        <w:tab/>
      </w:r>
      <w:r>
        <w:rPr>
          <w:u w:val="single"/>
          <w:lang w:val="ru-RU"/>
        </w:rPr>
        <w:t>Г-н ТОРНБЕРРИ</w:t>
      </w:r>
      <w:r>
        <w:rPr>
          <w:lang w:val="ru-RU"/>
        </w:rPr>
        <w:t xml:space="preserve"> (Координатор Рабочей группы по раннему предупреждению и незамедлительным действиям) говорит, что Рабочая группа должна рассмотреть большое количество дел, некоторые из которых получены Комитетом уже давно, а некоторые совсем недавно. Г-н Торнберри напоминает, что на своей сорок второй сессии, состоявшейся в марте 1993 года, Комитет принял рабочий документ о мерах по предупреждению нарушений Конвенции и по принятию более эффективных действий в случае ее нарушения. В ходе своей семидесятой сессии Комитет пересмотрел этот документ и на своей семьдесят первой сессии, состоявшейся в августе 2007 года, принял новые руководящие принципы, касающиеся процедур раннего предупреждения и незамедлительных действий (</w:t>
      </w:r>
      <w:r>
        <w:t>A</w:t>
      </w:r>
      <w:r>
        <w:rPr>
          <w:lang w:val="ru-RU"/>
        </w:rPr>
        <w:t>/62/18, приложение</w:t>
      </w:r>
      <w:r>
        <w:t> III</w:t>
      </w:r>
      <w:r>
        <w:rPr>
          <w:lang w:val="ru-RU"/>
        </w:rPr>
        <w:t xml:space="preserve">). Эти новые руководящие принципы содержат перечень показателей, на основании которых Комитет принимает решение о применении процедур раннего предупреждения и незамедлительных действий в конкретной ситуации.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2.</w:t>
      </w:r>
      <w:r>
        <w:rPr>
          <w:lang w:val="ru-RU"/>
        </w:rPr>
        <w:tab/>
        <w:t xml:space="preserve">Чтобы избежать какой-либо путаницы, г-н Торнберри напоминает, что эта процедура основывается на статье 9 Конвенции, а не на статье 14. Он также напоминает, что Комитет может принять решение к действию на основе сведений, представленных неправительственными организациями или другими структурами, а также по своей собственной инициативе. Учитывая, что содержание рекомендаций Рабочей группы в определенной мере пересекается с тем, что было сформулировано в рамках процедуры обзора и процедуры последующих действий, было решено использовать выражение «ускоренные последующие действия» во избежание какой-либо путаницы. 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3.</w:t>
      </w:r>
      <w:r>
        <w:rPr>
          <w:lang w:val="ru-RU"/>
        </w:rPr>
        <w:tab/>
        <w:t xml:space="preserve">Представляя проекты писем, которые Комитет, возможно, пожелает утвердить перед их рассылкой Председателем соответствующим государствам-участникам, г-н Торнберри отмечает, что список ситуаций, которые он предлагает кратко изложить, не является исчерпывающим, причем Рабочая группа отказалась от некоторых дел, когда соответствующие государства-участники представили свои периодические доклады и когда соответствующие проблемы могли быть решены в рамках обычной процедуры рассмотрения этих докладов. 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4.</w:t>
      </w:r>
      <w:r>
        <w:rPr>
          <w:lang w:val="ru-RU"/>
        </w:rPr>
        <w:tab/>
        <w:t xml:space="preserve">Рабочая группа подготовила проект письма в отношении спора между </w:t>
      </w:r>
      <w:r>
        <w:rPr>
          <w:rFonts w:eastAsia="SimSun"/>
          <w:lang w:val="ru-RU"/>
        </w:rPr>
        <w:t xml:space="preserve">племенем озера Любикон и правительством провинции Альберта в Канаде по проекту строительства </w:t>
      </w:r>
      <w:r>
        <w:rPr>
          <w:lang w:val="ru-RU"/>
        </w:rPr>
        <w:t>газопровода, проходящего через земли этого коренного меньшинства. Это дело уже изучалось другими договорными органами, а также Специальным докладчиком по вопросу о достаточном жилище как компоненте права на достаточный жизненный уровень. Рабочая группа предложила обратиться к Канаде с просьбой представить Комитету информацию в рамках ускоренных последующих действий, учитывая, что это государство-участник все еще не сообщило информацию, запрошенную в рамках процедуры выполнения заключительных замечаний в отношении семнадцатого и восемнадцатого периодических докладов (</w:t>
      </w:r>
      <w:r>
        <w:t>CERD</w:t>
      </w:r>
      <w:r>
        <w:rPr>
          <w:lang w:val="ru-RU"/>
        </w:rPr>
        <w:t>/</w:t>
      </w:r>
      <w:r>
        <w:t>C</w:t>
      </w:r>
      <w:r>
        <w:rPr>
          <w:lang w:val="ru-RU"/>
        </w:rPr>
        <w:t>/</w:t>
      </w:r>
      <w:r>
        <w:t>CAN</w:t>
      </w:r>
      <w:r>
        <w:rPr>
          <w:lang w:val="ru-RU"/>
        </w:rPr>
        <w:t>/</w:t>
      </w:r>
      <w:r>
        <w:t>CO</w:t>
      </w:r>
      <w:r>
        <w:rPr>
          <w:lang w:val="ru-RU"/>
        </w:rPr>
        <w:t>/18).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5.</w:t>
      </w:r>
      <w:r>
        <w:rPr>
          <w:lang w:val="ru-RU"/>
        </w:rPr>
        <w:tab/>
        <w:t>Рабочая группа также подготовила проект письма для Чешской Республики, в котором этому государству-участнику предлагается представить ответы в рамках выполнения заключительных замечаний (</w:t>
      </w:r>
      <w:r>
        <w:t>CERD</w:t>
      </w:r>
      <w:r>
        <w:rPr>
          <w:lang w:val="ru-RU"/>
        </w:rPr>
        <w:t>/</w:t>
      </w:r>
      <w:r>
        <w:t>C</w:t>
      </w:r>
      <w:r>
        <w:rPr>
          <w:lang w:val="ru-RU"/>
        </w:rPr>
        <w:t>/</w:t>
      </w:r>
      <w:r>
        <w:t>CZE</w:t>
      </w:r>
      <w:r>
        <w:rPr>
          <w:lang w:val="ru-RU"/>
        </w:rPr>
        <w:t>/</w:t>
      </w:r>
      <w:r>
        <w:t>CO</w:t>
      </w:r>
      <w:r>
        <w:rPr>
          <w:lang w:val="ru-RU"/>
        </w:rPr>
        <w:t>/7, пункт</w:t>
      </w:r>
      <w:r>
        <w:t> </w:t>
      </w:r>
      <w:r>
        <w:rPr>
          <w:lang w:val="ru-RU"/>
        </w:rPr>
        <w:t>27) и, в частности, дать подробную информацию о положении многих семей рома, проживающих в городе Нови-Йичин и подвергающихся риску быть выселенными из своих жилищ и остаться без крова.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6.</w:t>
      </w:r>
      <w:r>
        <w:rPr>
          <w:lang w:val="ru-RU"/>
        </w:rPr>
        <w:tab/>
        <w:t>В случае с Италией, Рабочая группа сама взяла на себя инициативу по принятию мер раннего предупреждения и незамедлительных действий. Поступив таким образом, она откликнулась на обширную информацию, появившуюся в прессе, об открытых расистских заявлениях в отношении рома, имевших место в политических кругах и итальянских средствах массовой информации при принятии нового Закона о безопасности, так называемого «пакета мер безопасности», а также на информацию о погромах таборов рома итальянцами. В письме, адресованном итальянскому правительству, говорится, что Комитет поддерживает совместное заявление от 15</w:t>
      </w:r>
      <w:r>
        <w:t> </w:t>
      </w:r>
      <w:r>
        <w:rPr>
          <w:lang w:val="ru-RU"/>
        </w:rPr>
        <w:t>июля</w:t>
      </w:r>
      <w:r>
        <w:t> </w:t>
      </w:r>
      <w:r>
        <w:rPr>
          <w:lang w:val="ru-RU"/>
        </w:rPr>
        <w:t>2008 года, сделанное Специальным докладчиком по вопросу о современных формах расизма, расовой дискриминации, ксенофобии и связанной с ними нетерпимости и Специальным докладчиком по вопросу о правах человека мигрантов; и что Комитет изучил положение в Италии в рамках своей процедуры раннего предупреждения и незамедлительных действий, а также, что государству-участнику предлагается направить в Комитет запрашиваемую информацию до 30</w:t>
      </w:r>
      <w:r>
        <w:t> </w:t>
      </w:r>
      <w:r>
        <w:rPr>
          <w:lang w:val="ru-RU"/>
        </w:rPr>
        <w:t>октября</w:t>
      </w:r>
      <w:r>
        <w:t> </w:t>
      </w:r>
      <w:r>
        <w:rPr>
          <w:lang w:val="ru-RU"/>
        </w:rPr>
        <w:t>2008 года.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7.</w:t>
      </w:r>
      <w:r>
        <w:rPr>
          <w:lang w:val="ru-RU"/>
        </w:rPr>
        <w:tab/>
        <w:t>В письме, направляемом в Панаму, говорится о положении коренного народа нгобе, то есть его общины в муниципалитете Шарко-ла-Пава, которая может быть произвольно переселена в связи со строительством плотины. Так, 8 августа 2008 года Специальный докладчик по вопросу о положении в области прав человека и основных свобод коренных народов обратил внимание панамского правительства на этот вопрос. Рабочая группа сочла уместным указать в этом письме, что Комитет поддерживает Докладчика, и что она предлагает государству-участнику сообщить в Комитет информацию о положении нгобе, а также она напомнила государству-участнику, что если оно не представит свои пятнадцатый-девятнадцатый периодические доклады, которые уже чрезмерно задержаны, Комитет будет рассматривать сложившееся в Панаме положение в рамках своей процедуры проведения обзоров. Рабочая группа предлагает, чтобы экземпляр этого письма был направлен Специальному докладчику по вопросу о положении в области прав человека и основных свобод коренных народов.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8.</w:t>
      </w:r>
      <w:r>
        <w:rPr>
          <w:lang w:val="ru-RU"/>
        </w:rPr>
        <w:tab/>
        <w:t>Что касается письма, предназначенного для Бразилии, то г-н Торнберри напоминает, что 7</w:t>
      </w:r>
      <w:r>
        <w:t> </w:t>
      </w:r>
      <w:r>
        <w:rPr>
          <w:lang w:val="ru-RU"/>
        </w:rPr>
        <w:t>марта</w:t>
      </w:r>
      <w:r>
        <w:t> </w:t>
      </w:r>
      <w:r>
        <w:rPr>
          <w:lang w:val="ru-RU"/>
        </w:rPr>
        <w:t xml:space="preserve">2008 года Председатель Комитета направила этому государству-участнику письмо с просьбой представить информацию о Президентском декрете от 15 апреля 2005 года, на основании которого все лица, незаконно поселившиеся на территории коренных народов в </w:t>
      </w:r>
      <w:r>
        <w:rPr>
          <w:szCs w:val="24"/>
          <w:lang w:val="ru-RU"/>
        </w:rPr>
        <w:t xml:space="preserve">Рапоса-Серра-ду-Сол, подлежат выселению. Рабочая группа предлагает, чтобы Председатель вновь повторила запрос о предоставлении информации, сформулированный </w:t>
      </w:r>
      <w:r>
        <w:rPr>
          <w:lang w:val="ru-RU"/>
        </w:rPr>
        <w:t>в письме от 7</w:t>
      </w:r>
      <w:r>
        <w:t> </w:t>
      </w:r>
      <w:r>
        <w:rPr>
          <w:lang w:val="ru-RU"/>
        </w:rPr>
        <w:t>марта</w:t>
      </w:r>
      <w:r>
        <w:t> </w:t>
      </w:r>
      <w:r>
        <w:rPr>
          <w:lang w:val="ru-RU"/>
        </w:rPr>
        <w:t xml:space="preserve">2008 года, и попросила государство-участника ответить на новые заявления неправительственных организаций, касающиеся положения в </w:t>
      </w:r>
      <w:r>
        <w:rPr>
          <w:szCs w:val="24"/>
          <w:lang w:val="ru-RU"/>
        </w:rPr>
        <w:t>Рапоса-Серра-ду-Сол</w:t>
      </w:r>
      <w:r>
        <w:rPr>
          <w:lang w:val="ru-RU"/>
        </w:rPr>
        <w:t xml:space="preserve">.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9.</w:t>
      </w:r>
      <w:r>
        <w:rPr>
          <w:lang w:val="ru-RU"/>
        </w:rPr>
        <w:tab/>
        <w:t>Предметом письма, предназначенного для Индии, стало положение коренного населения, проживающего на севере страны. На них может повлиять строительство плотины Типаймук в штате Манипур, решение о котором было принято без предварительного осознанного согласия заинтересованных общин. В проекте письма правительству Индии предлагается выполнить рекомендации, сформулированные Комитетом в его заключительных замечаниях по пятнадцатому-девятнадцатому периодическим докладам Индии, особенно те, которые касаются отмены Закона об особых полномочиях вооруженных сил 1958 года (</w:t>
      </w:r>
      <w:r>
        <w:t>CERD</w:t>
      </w:r>
      <w:r>
        <w:rPr>
          <w:lang w:val="ru-RU"/>
        </w:rPr>
        <w:t>/</w:t>
      </w:r>
      <w:r>
        <w:t>C</w:t>
      </w:r>
      <w:r>
        <w:rPr>
          <w:lang w:val="ru-RU"/>
        </w:rPr>
        <w:t>/</w:t>
      </w:r>
      <w:r>
        <w:t>IND</w:t>
      </w:r>
      <w:r>
        <w:rPr>
          <w:lang w:val="ru-RU"/>
        </w:rPr>
        <w:t>/</w:t>
      </w:r>
      <w:r>
        <w:t>CO</w:t>
      </w:r>
      <w:r>
        <w:rPr>
          <w:lang w:val="ru-RU"/>
        </w:rPr>
        <w:t>/19, пункт</w:t>
      </w:r>
      <w:r>
        <w:t> </w:t>
      </w:r>
      <w:r>
        <w:rPr>
          <w:lang w:val="ru-RU"/>
        </w:rPr>
        <w:t xml:space="preserve">12) и получения осознанного согласия общин, затрагиваемых строительством плотин в северо-восточном регионе Индии (там же, пункт 19).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10.</w:t>
      </w:r>
      <w:r>
        <w:rPr>
          <w:lang w:val="ru-RU"/>
        </w:rPr>
        <w:tab/>
        <w:t>Что касается Перу, то г-н Торнберри напоминает, что Комитет планировал изучить положение с осуществлением Конвенции в этой стране в рамках процедуры проведения обзоров в ходе своей семьдесят третьей сессии. Однако, благодаря встрече с делегацией государства-участника на этой сессии, ему была предоставлена последняя дополнительная отсрочка. В ходе диалога с Комитетом перуанская делегация предоставила ему информацию о положении коренного народа  ачуар, затронутого проектами по разведке и добыче углеводородов, осуществляемых частными компаниями на их исконных землях. Комитет, оставаясь обеспокоенным тем фактом, что с общиной ачуар не проводилось консультаций до начала реализации этих проектов, считает уместным предложить государству-участнику представить свои комментарии по некоторой вызывающей тревогу информации, недавно полученной Комитетом, в своих четырнадцатом-восемнадцатом периодических докладах, которые оно обязалось представить до 31</w:t>
      </w:r>
      <w:r>
        <w:t> </w:t>
      </w:r>
      <w:r>
        <w:rPr>
          <w:lang w:val="ru-RU"/>
        </w:rPr>
        <w:t>декабря 2008 года.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11.</w:t>
      </w:r>
      <w:r>
        <w:rPr>
          <w:lang w:val="ru-RU"/>
        </w:rPr>
        <w:tab/>
        <w:t xml:space="preserve">Говоря о положении племени субанон, проживающего у подножья горы Канатуан (Сиокон, Северная Замбоанга), коренного народа Филиппин, о котором Комитет был информирован уже довольно давно, г-н Торнберри напоминает, что дело состоит в том, что компаниям были предоставлены горные концессии без получения предварительного осознанного согласия заинтересованных общин. Комитет провел брифинг с участием неправительственных организаций и встретился с сотрудниками Постоянного представительства Филиппин в Женеве, с которыми он обсудил этот вопрос. Учитывая противоречивый характер информации, полученной по этой проблеме, Комитету было бы уместно запросить у государства-участника более подробные сведения о положении племени субанон и других коренных народов, проживающих на Филиппинах, указав при этом, что он принял к сведению представление в июне 2008 года пятнадцатого-двадцатого периодических докладов.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12.</w:t>
      </w:r>
      <w:r>
        <w:rPr>
          <w:lang w:val="ru-RU"/>
        </w:rPr>
        <w:tab/>
        <w:t xml:space="preserve">Дело, которое является предметом письма, предназначенного для отправки в Белиз, касается приватизации земель майя без согласия заинтересованных общин. Рабочая группа решила, учитывая ход развития этого дела, что оно больше не будет рассматриваться в рамках процедуры раннего предупреждения и незамедлительных действий. Тем не менее, она сочла необходимым направить правительству Белиза письмо, в котором она информирует его, что рассмотрение сложившейся в Белизе ситуации в рамках процедуры проведения обзоров переносится на более позднюю дату, и запрашивает у него информацию о выполнении решения Верховного суда, принятого в октябре 2007 года по делу, связанному с земельными правами майя.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13.</w:t>
      </w:r>
      <w:r>
        <w:rPr>
          <w:lang w:val="ru-RU"/>
        </w:rPr>
        <w:tab/>
        <w:t>Рабочая группа рекомендует Комитету утвердить вышеупомянутые письма, чтобы Председатель могла от своего имени направить их соответствующим правительствам.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14.</w:t>
      </w:r>
      <w:r>
        <w:rPr>
          <w:lang w:val="ru-RU"/>
        </w:rPr>
        <w:tab/>
      </w:r>
      <w:r>
        <w:rPr>
          <w:u w:val="single"/>
          <w:lang w:val="ru-RU"/>
        </w:rPr>
        <w:t>ПРЕДСЕДАТЕЛЬ</w:t>
      </w:r>
      <w:r>
        <w:rPr>
          <w:lang w:val="ru-RU"/>
        </w:rPr>
        <w:t xml:space="preserve"> сообщает членам Комитета, что Бюро приняло решение о том, что, в случае непредставления Перу четырнадцатого-восемнадцатого периодических докладов до 31</w:t>
      </w:r>
      <w:r>
        <w:t> </w:t>
      </w:r>
      <w:r>
        <w:rPr>
          <w:lang w:val="ru-RU"/>
        </w:rPr>
        <w:t>декабря</w:t>
      </w:r>
      <w:r>
        <w:t> </w:t>
      </w:r>
      <w:r>
        <w:rPr>
          <w:lang w:val="ru-RU"/>
        </w:rPr>
        <w:t>2008 года, Комитет рассмотрит положение в этой стране в рамках процедуры проведения обзоров на своей семьдесят четвертой сессии.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15.</w:t>
      </w:r>
      <w:r>
        <w:rPr>
          <w:lang w:val="ru-RU"/>
        </w:rPr>
        <w:tab/>
      </w:r>
      <w:r>
        <w:rPr>
          <w:u w:val="single"/>
          <w:lang w:val="ru-RU"/>
        </w:rPr>
        <w:t>Г-н ЛИНДГРЕН АЛВИС</w:t>
      </w:r>
      <w:r>
        <w:rPr>
          <w:lang w:val="ru-RU"/>
        </w:rPr>
        <w:t xml:space="preserve"> хотел бы знать, на каких именно критериях основывается Рабочая группа при принятии решения о том, что положение должно рассматриваться в рамках процедуры по раннему предупреждению и незамедлительным действиям. По его мнению, такая процедура должна применяться Комитетом исключительно по инициативе его членов, а не на основании информации, исходящей от неправительственных организаций.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16.</w:t>
      </w:r>
      <w:r>
        <w:rPr>
          <w:lang w:val="ru-RU"/>
        </w:rPr>
        <w:tab/>
      </w:r>
      <w:r>
        <w:rPr>
          <w:u w:val="single"/>
          <w:lang w:val="ru-RU"/>
        </w:rPr>
        <w:t>Г-н ТОРНБЕРРИ</w:t>
      </w:r>
      <w:r>
        <w:rPr>
          <w:lang w:val="ru-RU"/>
        </w:rPr>
        <w:t xml:space="preserve"> отмечает, что Рабочая группа опирается на показатели, определенные в новых руководящих принципах, касающихся процедур раннего предупреждения и незамедлительных действий (</w:t>
      </w:r>
      <w:r>
        <w:t>A</w:t>
      </w:r>
      <w:r>
        <w:rPr>
          <w:lang w:val="ru-RU"/>
        </w:rPr>
        <w:t>/62/18, приложение</w:t>
      </w:r>
      <w:r>
        <w:t> III</w:t>
      </w:r>
      <w:r>
        <w:rPr>
          <w:lang w:val="ru-RU"/>
        </w:rPr>
        <w:t xml:space="preserve">). Степень значимости этих показателей неизбежно зависит от их толкования, но Рабочая группа предпринимает все усилия, чтобы быть максимально объективной в своей оценке. Иногда Рабочая группа принимает решение о том, чтобы не рассматривать ту или иную ситуацию в рамках процедуры раннего предупреждения и незамедлительных действий, когда она считает, что необходимо применение другой процедуры.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17.</w:t>
      </w:r>
      <w:r>
        <w:rPr>
          <w:lang w:val="ru-RU"/>
        </w:rPr>
        <w:tab/>
      </w:r>
      <w:r>
        <w:rPr>
          <w:u w:val="single"/>
          <w:lang w:val="ru-RU"/>
        </w:rPr>
        <w:t>Г-н АВТОНОМОВ</w:t>
      </w:r>
      <w:r>
        <w:rPr>
          <w:lang w:val="ru-RU"/>
        </w:rPr>
        <w:t xml:space="preserve"> спрашивает, если в рамках своих контактов с государствами-участниками и неправительственными организациями (НПО), Рабочая группа отныне опирается на показатели, на основании которых применяются процедуры раннего предупреждения и незамедлительных действий, изложенные в руководящих принципах, принятых в 2007 году. В этой связи, было бы полезным, если бы документ, озаглавленный «Руководящие принципы, касающиеся процедур раннего предупреждения и незамедлительных действий», стал бы официальным документом Организации Объединенных Наций, поскольку это позволило бы государствам-участникам и НПО лучше ознакомиться с вышеупомянутыми показателями. 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18.</w:t>
      </w:r>
      <w:r>
        <w:rPr>
          <w:lang w:val="ru-RU"/>
        </w:rPr>
        <w:tab/>
        <w:t xml:space="preserve">Далее г-н Автономов просит представить дополнительную информацию о положении представителей племени субанон на Филиппинах. Он хотел бы знать, если Рабочая группа подготовила проект решения по этому вопросу.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19.</w:t>
      </w:r>
      <w:r>
        <w:rPr>
          <w:lang w:val="ru-RU"/>
        </w:rPr>
        <w:tab/>
      </w:r>
      <w:r>
        <w:rPr>
          <w:u w:val="single"/>
          <w:lang w:val="ru-RU"/>
        </w:rPr>
        <w:t>Г-н де ГУТТ</w:t>
      </w:r>
      <w:r>
        <w:rPr>
          <w:lang w:val="ru-RU"/>
        </w:rPr>
        <w:t xml:space="preserve"> говорит, что Комитет в некотором роде является заложником успеха своих процедур раннего предупреждения и незамедлительных действий, поскольку Рабочая группа получает все больше и больше сообщений. Тем не менее, он считает, что это не должно помешать Комитету сохранить свою способность проявлять инициативу и самому браться за дело, когда он считает, что тяжесть положения в той или иной стране этого требует. 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20.</w:t>
      </w:r>
      <w:r>
        <w:rPr>
          <w:lang w:val="ru-RU"/>
        </w:rPr>
        <w:tab/>
      </w:r>
      <w:r>
        <w:rPr>
          <w:u w:val="single"/>
          <w:lang w:val="ru-RU"/>
        </w:rPr>
        <w:t>Г-н ТОРНБЕРРИ</w:t>
      </w:r>
      <w:r>
        <w:rPr>
          <w:lang w:val="ru-RU"/>
        </w:rPr>
        <w:t xml:space="preserve"> говорит, что Рабочая группа систематически обращается к показателям применения процедур раннего предупреждения и незамедлительных действий, закрепленным в руководящих принципах 2007 года. Он также констатирует, что НПО все чаще и чаще ссылаются на эти руководящие принципы, а не на руководящие принципы 2003 года.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21.</w:t>
      </w:r>
      <w:r>
        <w:rPr>
          <w:lang w:val="ru-RU"/>
        </w:rPr>
        <w:tab/>
        <w:t xml:space="preserve">Что касается упомянутых показателей, то, похоже, что тяжесть и масштабы ситуации не всегда воспринимаются одинаково всеми сторонами: действительно, ситуация, которая в глазах одной группы населения не выглядит угрожающей, может, напротив, иметь разрушительные последствия для другой группы, или даже повлиять на ее выживание. 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22.</w:t>
      </w:r>
      <w:r>
        <w:rPr>
          <w:lang w:val="ru-RU"/>
        </w:rPr>
        <w:tab/>
        <w:t xml:space="preserve">Г-н Торнберри отмечает, что многие сообщения имеют отношение к исконным территориям коренных народов и к эксплуатации их ресурсов, против которой соответствующие коренные народы зачастую и не выступали, и с ними проводились предварительные консультации, то есть они дали на это свое свободное и осознанное согласие. При вынесении решений по такому типу сообщений Рабочая группа руководствуется положениями Конвенции № 169 МОТ о коренных народах и народах, ведущих племенной образ жизни, а также Декларации ООН о правах коренных народов.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23.</w:t>
      </w:r>
      <w:r>
        <w:rPr>
          <w:lang w:val="ru-RU"/>
        </w:rPr>
        <w:tab/>
        <w:t xml:space="preserve">Что касается положения на Филиппинах, то Рабочая группа в своем письме государству-участнику ограничилась указанием того, что она получила из различных, вполне заслуживающих доверия, источников информацию, полностью отличную от той, которая была представлена делегацией в ходе рассмотрения периодического доклада государства-участника, и ему хотелось бы получить дополнительные сведения по этому вопросу. 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24.</w:t>
      </w:r>
      <w:r>
        <w:rPr>
          <w:lang w:val="ru-RU"/>
        </w:rPr>
        <w:tab/>
        <w:t xml:space="preserve">Г-н Торнберри вполне согласен с тем, что Комитет должен сохранить свою способность проявлять инициативу. В этой связи он уточняет, что, за исключением всего лишь нескольких случаев, когда Рабочая группа была оповещена НПО, именно сами члены Рабочей группы принимали решение об изучении ситуации в той или иной стране, которую ни считали критической. 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25.</w:t>
      </w:r>
      <w:r>
        <w:rPr>
          <w:lang w:val="ru-RU"/>
        </w:rPr>
        <w:tab/>
        <w:t xml:space="preserve">И, наконец, г-н Торнберри поясняет, что Комитет всегда имеет возможность сделать заявление, когда он считает, что положение в какой-либо из стран вызывает особую обеспокоенность, однако возникает вопрос о том, что именно добавит это заявление к решениям других органов ООН.  В связи с этим, он напоминает, что Комитет всегда отдает предпочтение установлению конструктивного диалога с государствами-участниками.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26.</w:t>
      </w:r>
      <w:r>
        <w:rPr>
          <w:lang w:val="ru-RU"/>
        </w:rPr>
        <w:tab/>
      </w:r>
      <w:r>
        <w:rPr>
          <w:u w:val="single"/>
          <w:lang w:val="ru-RU"/>
        </w:rPr>
        <w:t>Г-н ЛИНДГРЕН АЛВИС</w:t>
      </w:r>
      <w:r>
        <w:rPr>
          <w:lang w:val="ru-RU"/>
        </w:rPr>
        <w:t xml:space="preserve">, которого поддерживает </w:t>
      </w:r>
      <w:r>
        <w:rPr>
          <w:u w:val="single"/>
          <w:lang w:val="ru-RU"/>
        </w:rPr>
        <w:t>г-н ЛАХИРИ</w:t>
      </w:r>
      <w:r>
        <w:rPr>
          <w:lang w:val="ru-RU"/>
        </w:rPr>
        <w:t>, приветствует тот факт, что коренные народы могут теперь направлять свои жалобы в Постоянный форум по вопросам коренных народов, что позволит разгрузить Рабочую группу по раннему предупреждению и незамедлительным действиям. Действительно, в целом, Комитет посвящает почти 70</w:t>
      </w:r>
      <w:r>
        <w:t> </w:t>
      </w:r>
      <w:r>
        <w:rPr>
          <w:lang w:val="ru-RU"/>
        </w:rPr>
        <w:t xml:space="preserve">% своего времени, что слишком много, защите прав отдельных меньшинств, что является отступлением от его основного мандата, заключающегося в борьбе против расовой дискриминации. 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27.</w:t>
      </w:r>
      <w:r>
        <w:rPr>
          <w:lang w:val="ru-RU"/>
        </w:rPr>
        <w:tab/>
      </w:r>
      <w:r>
        <w:rPr>
          <w:u w:val="single"/>
          <w:lang w:val="ru-RU"/>
        </w:rPr>
        <w:t>Г-н ДЬЯКОНУ</w:t>
      </w:r>
      <w:r>
        <w:rPr>
          <w:lang w:val="ru-RU"/>
        </w:rPr>
        <w:t xml:space="preserve"> говорит, что Рабочая группа неоднократно задавалась вопросом о том, каким является наилучший подход по отношению к ситуациям, жалобы на которые она получает, в частности, должна ли она ограничиваться направлением соответствующим государствам писем с просьбами о предоставлении дополнительной информации по ситуациям, которые она считает тревожными, или же она должна идти дальше, принимая решения, в соответствии с которыми данным государствам предлагается исправить ситуацию, или же она должна обратиться в другие органы ООН, например, в Совет по правам человека или к Специальному докладчику по вопросу о современных формах расизма, расовой дискриминации, ксенофобии и связанной с ними нетерпимости или, возможно, в региональные межправительственные организации. В конечном итоге, Рабочая группа решила в отношении случаев, представленных ее Координатором, г-н Торнберри, сначала предложить соответствующим государствам в течение одного года  представить ей дополнительную информацию, за исключением Италии, для которой, с учетом тяжести сложившейся ситуации, был установлен конечный срок - 30</w:t>
      </w:r>
      <w:r>
        <w:t> </w:t>
      </w:r>
      <w:r>
        <w:rPr>
          <w:lang w:val="ru-RU"/>
        </w:rPr>
        <w:t>октября</w:t>
      </w:r>
      <w:r>
        <w:t> </w:t>
      </w:r>
      <w:r>
        <w:rPr>
          <w:lang w:val="ru-RU"/>
        </w:rPr>
        <w:t xml:space="preserve">2008 года. Напротив, Рабочая группа решила не направлять писем в страны с тревожной ситуацией, которые должны представить периодические доклады в 2009 году.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28.</w:t>
      </w:r>
      <w:r>
        <w:rPr>
          <w:lang w:val="ru-RU"/>
        </w:rPr>
        <w:tab/>
      </w:r>
      <w:r>
        <w:rPr>
          <w:u w:val="single"/>
          <w:lang w:val="ru-RU"/>
        </w:rPr>
        <w:t>Г-н СИСИЛИАНОС</w:t>
      </w:r>
      <w:r>
        <w:rPr>
          <w:lang w:val="ru-RU"/>
        </w:rPr>
        <w:t xml:space="preserve"> понимает точку зрения г-на Линдгрена Алвиса и г-на Лахири, которые считают, что Комитет посвящает слишком много времени вопросам, относящимся к правам коренных народов в государствах-участниках, но отмечает, что Комитет не может абстрагироваться от информации, представляемой группами коренного населения, сообщающих о ситуациях, последствия которых могут быть для них зачастую  </w:t>
      </w:r>
      <w:r>
        <w:rPr>
          <w:lang w:val="fr-FR"/>
        </w:rPr>
        <w:t>«</w:t>
      </w:r>
      <w:r>
        <w:rPr>
          <w:lang w:val="ru-RU"/>
        </w:rPr>
        <w:t>катастрофическими</w:t>
      </w:r>
      <w:r>
        <w:rPr>
          <w:lang w:val="fr-FR"/>
        </w:rPr>
        <w:t xml:space="preserve">». </w:t>
      </w:r>
      <w:r>
        <w:rPr>
          <w:lang w:val="ru-RU"/>
        </w:rPr>
        <w:t xml:space="preserve">Именно по этой причине Рабочая группа в своих руководящих принципах 2007 года определила целый ряд показателей, на основании которых Комитет может принимать меры по просьбе коренных народов, и не только в случаях геноцида. Тем не менее, г-н Сисилианос напоминает, что задачей Комитета является сотрудничество с государствами и оказание им помощи для предотвращения возможной эскалации насилия на их территории. И, наконец, в случаях, представленных г-ном Торнберри, Рабочая группа как раз поступила благоразумно, отказавшись применить процедуру раннего предупреждения и незамедлительных действий и решив запросить дополнительную информацию. Таким образом, нельзя говорить о том, что Комитет вышел за рамки своего мандата. 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29.</w:t>
      </w:r>
      <w:r>
        <w:rPr>
          <w:lang w:val="ru-RU"/>
        </w:rPr>
        <w:tab/>
      </w:r>
      <w:r>
        <w:rPr>
          <w:u w:val="single"/>
          <w:lang w:val="ru-RU"/>
        </w:rPr>
        <w:t>Г-н ЛИНДГРЕН АЛВИС</w:t>
      </w:r>
      <w:r>
        <w:rPr>
          <w:lang w:val="ru-RU"/>
        </w:rPr>
        <w:t xml:space="preserve"> говорит, что он не стремится критиковать деятельность Рабочей группы, но считает, что, в рамках рассмотрения периодических докладов Комитетом, время, которое он затрачивает на пленарных заседаниях, задавая делегациям вопросы о положении меньшинств в их странах, является временем, которое он мог бы посвятить изучению мер, принимаемых соответствующими государствами-участниками в области предупреждения расовой дискриминации и борьбы с ней. 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30.</w:t>
      </w:r>
      <w:r>
        <w:rPr>
          <w:lang w:val="ru-RU"/>
        </w:rPr>
        <w:tab/>
      </w:r>
      <w:r>
        <w:rPr>
          <w:u w:val="single"/>
          <w:lang w:val="ru-RU"/>
        </w:rPr>
        <w:t>Г-н ПРОСПЕР</w:t>
      </w:r>
      <w:r>
        <w:rPr>
          <w:lang w:val="ru-RU"/>
        </w:rPr>
        <w:t xml:space="preserve"> отмечает, что каждый раз, когда Комитет собирается на свои заседания, мир потрясают многочисленные конфликты, сопровождаемые элементами расовой дискриминации, в ходе которых полностью нарушаются принципы, закрепленные в Конвенции. Он спрашивает, нельзя ли предусмотреть процедуру, позволяющую привлекать внимание членов Комитета к ситуациям, которые заслуживают углубленного изучения, после которого, Комитет мог бы сделать заявление.  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31.</w:t>
      </w:r>
      <w:r>
        <w:rPr>
          <w:lang w:val="ru-RU"/>
        </w:rPr>
        <w:tab/>
      </w:r>
      <w:r>
        <w:rPr>
          <w:u w:val="single"/>
          <w:lang w:val="ru-RU"/>
        </w:rPr>
        <w:t>Г-н ТОРНБЕРРИ</w:t>
      </w:r>
      <w:r>
        <w:rPr>
          <w:lang w:val="ru-RU"/>
        </w:rPr>
        <w:t xml:space="preserve"> говорит, что помимо Постоянного форума по вопросам коренных народов был создан новый механизм – </w:t>
      </w:r>
      <w:r>
        <w:rPr>
          <w:rFonts w:ascii="sans-serif" w:hAnsi="sans-serif"/>
          <w:bCs/>
          <w:szCs w:val="24"/>
          <w:lang w:val="ru-RU"/>
        </w:rPr>
        <w:t>Экспертный механизм</w:t>
      </w:r>
      <w:r>
        <w:rPr>
          <w:rFonts w:ascii="sans-serif" w:hAnsi="sans-serif"/>
          <w:b/>
          <w:bCs/>
          <w:sz w:val="20"/>
          <w:lang w:val="ru-RU"/>
        </w:rPr>
        <w:t xml:space="preserve"> </w:t>
      </w:r>
      <w:r>
        <w:rPr>
          <w:lang w:val="ru-RU"/>
        </w:rPr>
        <w:t xml:space="preserve">по правам коренных народов, который должен взять на себя рассмотрение ряда вопросов, ранее направлявшихся в Комитет.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32.</w:t>
      </w:r>
      <w:r>
        <w:rPr>
          <w:lang w:val="ru-RU"/>
        </w:rPr>
        <w:tab/>
        <w:t xml:space="preserve">Г-н Торнберри признает, что в ходе последних лет Комитет посвящал много времени судьбе меньшинств и коренных народов, но подчеркивает, что Комитет также много интересовался судьбой неграждан, вопросами двойной дискриминации и родовым происхождением. Поэтому деятельность Комитета ему представляется вполне сбалансированной, и он не выходил за рамки своего мандата. Кроме того, некоторые вопросы, кажущиеся незначительными, могут на деле представлять реальную угрозу для коренных общин, причем иногда речь идет о их выживании. 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33.</w:t>
      </w:r>
      <w:r>
        <w:rPr>
          <w:lang w:val="ru-RU"/>
        </w:rPr>
        <w:tab/>
        <w:t xml:space="preserve">Что касается предложения г-на Проспера о создании процедуры уведомления членов Комитета в случае конфликтов в мире, то г-н Торнберри отмечает, что в случае новых конфликтов дискуссии в Комитете начинаются практически спонтанно, как правило, по инициативе одного из его членов.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34.</w:t>
      </w:r>
      <w:r>
        <w:rPr>
          <w:lang w:val="ru-RU"/>
        </w:rPr>
        <w:tab/>
      </w:r>
      <w:r>
        <w:rPr>
          <w:u w:val="single"/>
          <w:lang w:val="ru-RU"/>
        </w:rPr>
        <w:t>ПРЕДСЕДАТЕЛЬ</w:t>
      </w:r>
      <w:r>
        <w:rPr>
          <w:lang w:val="ru-RU"/>
        </w:rPr>
        <w:t xml:space="preserve"> говорит, что при отсутствии возражений она будет считать, что Комитет принял проекты писем, представленные Координатором Рабочей группы, и что эти письма будут направлены соответствующим государствам. </w:t>
      </w:r>
    </w:p>
    <w:p w:rsidR="00000000" w:rsidRDefault="00000000">
      <w:pPr>
        <w:spacing w:after="240"/>
      </w:pPr>
      <w:r>
        <w:t>35.</w:t>
      </w:r>
      <w:r>
        <w:tab/>
      </w:r>
      <w:r>
        <w:rPr>
          <w:i/>
          <w:lang w:val="ru-RU"/>
        </w:rPr>
        <w:t>Решение принимается</w:t>
      </w:r>
      <w:r>
        <w:t xml:space="preserve">.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РАССМОТРЕНИЕ ПЕТИЦИЙ, ДОКЛАДОВ И ДРУГИХ ИНФОРМАЦИОННЫХ МАТЕРИАЛОВ, ОТНОСЯЩИХСЯ К ПОДОПЕЧНЫМ И НЕСАМОУПРАВЛЯЮЩИМСЯ ТЕРРИТОРИЯМ И КО ВСЕМ ДРУГИМ ТЕРРИТОРИЯМ, НА КОТОРЫЕ РАСПРОСТРАНЯЮТСЯ ПОЛОЖЕНИЯ РЕЗОЛЮЦИИ 1514 (</w:t>
      </w:r>
      <w:r>
        <w:t>XV</w:t>
      </w:r>
      <w:r>
        <w:rPr>
          <w:lang w:val="ru-RU"/>
        </w:rPr>
        <w:t xml:space="preserve">) ГЕНЕРАЛЬНОЙ АССАМБЛЕИ, В СООТВЕТСТВИИ СО СТАТЬЕЙ 15 КОНВЕНЦИИ </w:t>
      </w:r>
      <w:r>
        <w:rPr>
          <w:szCs w:val="24"/>
          <w:lang w:val="ru-RU"/>
        </w:rPr>
        <w:t>(пункт 8 повестки дня)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36.</w:t>
      </w:r>
      <w:r>
        <w:rPr>
          <w:lang w:val="ru-RU"/>
        </w:rPr>
        <w:tab/>
      </w:r>
      <w:r>
        <w:rPr>
          <w:u w:val="single"/>
          <w:lang w:val="ru-RU"/>
        </w:rPr>
        <w:t>ПРЕДСЕДАТЕЛЬ</w:t>
      </w:r>
      <w:r>
        <w:rPr>
          <w:lang w:val="ru-RU"/>
        </w:rPr>
        <w:t xml:space="preserve"> обращает внимание членов Комитета на проект решения, в котором Комитет указывает, что он получил от неправительственной организации, Коалиции коренных народов, сообщение от 14</w:t>
      </w:r>
      <w:r>
        <w:t> </w:t>
      </w:r>
      <w:r>
        <w:rPr>
          <w:lang w:val="ru-RU"/>
        </w:rPr>
        <w:t>августа</w:t>
      </w:r>
      <w:r>
        <w:t> </w:t>
      </w:r>
      <w:r>
        <w:rPr>
          <w:lang w:val="ru-RU"/>
        </w:rPr>
        <w:t>2008 года о положении на Аляске и Гавайях  в соответствии со статьей 15 Конвенции. В рассматриваемом проекте решения Комитет отмечает, что этот вопрос не относится к его компетенции и постановляет направить это сообщение в орган ООН, компетентный решать такие вопросы, а именно: в  Специальный комитет по вопросу о ходе осуществления Декларации о предоставлении независимости колон</w:t>
      </w:r>
      <w:r>
        <w:rPr>
          <w:lang w:val="ru-RU"/>
        </w:rPr>
        <w:t>и</w:t>
      </w:r>
      <w:r>
        <w:rPr>
          <w:lang w:val="ru-RU"/>
        </w:rPr>
        <w:t xml:space="preserve">альным странам и народам.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37.</w:t>
      </w:r>
      <w:r>
        <w:rPr>
          <w:lang w:val="ru-RU"/>
        </w:rPr>
        <w:tab/>
        <w:t xml:space="preserve">После обмена мнениями, в котором участвуют  </w:t>
      </w:r>
      <w:r>
        <w:rPr>
          <w:u w:val="single"/>
          <w:lang w:val="ru-RU"/>
        </w:rPr>
        <w:t>г-н АМИР</w:t>
      </w:r>
      <w:r>
        <w:rPr>
          <w:lang w:val="ru-RU"/>
        </w:rPr>
        <w:t xml:space="preserve">, </w:t>
      </w:r>
      <w:r>
        <w:rPr>
          <w:u w:val="single"/>
          <w:lang w:val="ru-RU"/>
        </w:rPr>
        <w:t>г-н ДЬЯКОНУ</w:t>
      </w:r>
      <w:r>
        <w:rPr>
          <w:caps/>
          <w:lang w:val="ru-RU"/>
        </w:rPr>
        <w:t xml:space="preserve">, </w:t>
      </w:r>
      <w:r>
        <w:rPr>
          <w:u w:val="single"/>
          <w:lang w:val="ru-RU"/>
        </w:rPr>
        <w:t>г-н</w:t>
      </w:r>
      <w:r>
        <w:rPr>
          <w:caps/>
          <w:u w:val="single"/>
          <w:lang w:val="ru-RU"/>
        </w:rPr>
        <w:t>. ЛАХИРИ</w:t>
      </w:r>
      <w:r>
        <w:rPr>
          <w:caps/>
          <w:lang w:val="ru-RU"/>
        </w:rPr>
        <w:t xml:space="preserve">, </w:t>
      </w:r>
      <w:r>
        <w:rPr>
          <w:u w:val="single"/>
          <w:lang w:val="ru-RU"/>
        </w:rPr>
        <w:t>г-н</w:t>
      </w:r>
      <w:r>
        <w:rPr>
          <w:caps/>
          <w:u w:val="single"/>
          <w:lang w:val="ru-RU"/>
        </w:rPr>
        <w:t xml:space="preserve"> ЛИНДГРЕН АЛВИС</w:t>
      </w:r>
      <w:r>
        <w:rPr>
          <w:lang w:val="ru-RU"/>
        </w:rPr>
        <w:t xml:space="preserve"> и </w:t>
      </w:r>
      <w:r>
        <w:rPr>
          <w:u w:val="single"/>
          <w:lang w:val="ru-RU"/>
        </w:rPr>
        <w:t>г-н де ГУТТ</w:t>
      </w:r>
      <w:r>
        <w:rPr>
          <w:lang w:val="ru-RU"/>
        </w:rPr>
        <w:t xml:space="preserve">,  </w:t>
      </w:r>
      <w:r>
        <w:rPr>
          <w:u w:val="single"/>
          <w:lang w:val="ru-RU"/>
        </w:rPr>
        <w:t>ПРЕДСЕДАТЕЛЬ</w:t>
      </w:r>
      <w:r>
        <w:rPr>
          <w:lang w:val="ru-RU"/>
        </w:rPr>
        <w:t xml:space="preserve"> говорит, что, насколько она понимает, члены Комитета решают не рассматривать вышеуказанное сообщение на том основании, что оно не входит в сферу компетенции Комитета, а также в связи с тем, что в функции Комитета не входит принятие решений об определении органа, компетентного в данной области. </w:t>
      </w:r>
    </w:p>
    <w:p w:rsidR="00000000" w:rsidRDefault="00000000">
      <w:pPr>
        <w:spacing w:after="240"/>
        <w:rPr>
          <w:lang w:val="ru-RU"/>
        </w:rPr>
      </w:pPr>
      <w:r>
        <w:rPr>
          <w:lang w:val="ru-RU"/>
        </w:rPr>
        <w:t>38.</w:t>
      </w:r>
      <w:r>
        <w:rPr>
          <w:lang w:val="ru-RU"/>
        </w:rPr>
        <w:tab/>
      </w:r>
      <w:r>
        <w:rPr>
          <w:i/>
          <w:lang w:val="ru-RU"/>
        </w:rPr>
        <w:t>Решение принимается</w:t>
      </w:r>
      <w:r>
        <w:rPr>
          <w:lang w:val="ru-RU"/>
        </w:rPr>
        <w:t>.</w:t>
      </w:r>
    </w:p>
    <w:p w:rsidR="00000000" w:rsidRDefault="00000000">
      <w:pPr>
        <w:spacing w:after="240"/>
        <w:jc w:val="center"/>
        <w:rPr>
          <w:i/>
          <w:lang w:val="ru-RU"/>
        </w:rPr>
      </w:pPr>
      <w:r>
        <w:rPr>
          <w:i/>
          <w:lang w:val="ru-RU"/>
        </w:rPr>
        <w:t>Первая (открытая) часть заседания завершается в 11 час. 55 мин.</w:t>
      </w:r>
    </w:p>
    <w:p w:rsidR="00000000" w:rsidRDefault="00000000">
      <w:pPr>
        <w:spacing w:after="240"/>
        <w:jc w:val="center"/>
        <w:rPr>
          <w:lang w:val="ru-RU"/>
        </w:rPr>
      </w:pPr>
      <w:r>
        <w:rPr>
          <w:lang w:val="ru-RU"/>
        </w:rPr>
        <w:t>-----</w:t>
      </w:r>
    </w:p>
    <w:sectPr w:rsidR="00000000">
      <w:headerReference w:type="even" r:id="rId9"/>
      <w:headerReference w:type="default" r:id="rId10"/>
      <w:footerReference w:type="first" r:id="rId11"/>
      <w:pgSz w:w="11906" w:h="16838"/>
      <w:pgMar w:top="1134" w:right="851" w:bottom="1985" w:left="1701" w:header="851" w:footer="170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00000">
      <w:r>
        <w:separator/>
      </w:r>
    </w:p>
  </w:endnote>
  <w:endnote w:type="continuationSeparator" w:id="0">
    <w:p w:rsidR="00000000" w:rsidRDefault="00000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0000">
    <w:pPr>
      <w:pStyle w:val="FootnoteText"/>
      <w:rPr>
        <w:lang w:val="ru-RU"/>
      </w:rPr>
    </w:pPr>
    <w:r>
      <w:rPr>
        <w:lang w:val="ru-RU"/>
      </w:rPr>
      <w:t>_______________</w:t>
    </w:r>
  </w:p>
  <w:p w:rsidR="00000000" w:rsidRDefault="00000000">
    <w:pPr>
      <w:rPr>
        <w:lang w:val="ru-RU"/>
      </w:rPr>
    </w:pPr>
    <w:r>
      <w:rPr>
        <w:lang w:val="ru-RU"/>
      </w:rPr>
      <w:t>*</w:t>
    </w:r>
    <w:r>
      <w:rPr>
        <w:lang w:val="ru-RU"/>
      </w:rPr>
      <w:tab/>
    </w:r>
    <w:r>
      <w:rPr>
        <w:szCs w:val="24"/>
        <w:lang w:val="ru-RU"/>
      </w:rPr>
      <w:t>Краткий отчёт о второй (закрытой) части заседания содержится в документе</w:t>
    </w:r>
    <w:r>
      <w:rPr>
        <w:lang w:val="ru-RU"/>
      </w:rPr>
      <w:t xml:space="preserve"> </w:t>
    </w:r>
    <w:r>
      <w:t>CERD</w:t>
    </w:r>
    <w:r>
      <w:rPr>
        <w:lang w:val="ru-RU"/>
      </w:rPr>
      <w:t>/</w:t>
    </w:r>
    <w:r>
      <w:t>C</w:t>
    </w:r>
    <w:r>
      <w:rPr>
        <w:lang w:val="ru-RU"/>
      </w:rPr>
      <w:t>/</w:t>
    </w:r>
    <w:r>
      <w:t>SR</w:t>
    </w:r>
    <w:r>
      <w:rPr>
        <w:lang w:val="ru-RU"/>
      </w:rPr>
      <w:t>.1901/</w:t>
    </w:r>
    <w:r>
      <w:t>Add</w:t>
    </w:r>
    <w:r>
      <w:rPr>
        <w:lang w:val="ru-RU"/>
      </w:rPr>
      <w:t>.1.</w:t>
    </w:r>
  </w:p>
  <w:p w:rsidR="00000000" w:rsidRDefault="00000000">
    <w:pPr>
      <w:pStyle w:val="FootnoteText"/>
      <w:spacing w:after="120"/>
      <w:rPr>
        <w:lang w:val="ru-RU"/>
      </w:rPr>
    </w:pPr>
    <w:r>
      <w:rPr>
        <w:lang w:val="ru-RU"/>
      </w:rPr>
      <w:t>_______________</w:t>
    </w:r>
  </w:p>
  <w:p w:rsidR="00000000" w:rsidRDefault="00000000">
    <w:pPr>
      <w:tabs>
        <w:tab w:val="left" w:pos="567"/>
      </w:tabs>
      <w:spacing w:after="120"/>
      <w:rPr>
        <w:szCs w:val="24"/>
        <w:lang w:val="ru-RU"/>
      </w:rPr>
    </w:pPr>
    <w:r>
      <w:rPr>
        <w:lang w:val="ru-RU"/>
      </w:rPr>
      <w:tab/>
    </w:r>
    <w:r>
      <w:rPr>
        <w:szCs w:val="24"/>
        <w:lang w:val="ru-RU"/>
      </w:rPr>
      <w:t>В настоящий отчет могут вноситься поправки.</w:t>
    </w:r>
  </w:p>
  <w:p w:rsidR="00000000" w:rsidRDefault="00000000">
    <w:pPr>
      <w:tabs>
        <w:tab w:val="left" w:pos="567"/>
      </w:tabs>
      <w:spacing w:after="120"/>
      <w:rPr>
        <w:szCs w:val="24"/>
        <w:lang w:val="ru-RU"/>
      </w:rPr>
    </w:pPr>
    <w:r>
      <w:rPr>
        <w:szCs w:val="24"/>
        <w:lang w:val="ru-RU"/>
      </w:rPr>
      <w:tab/>
      <w:t xml:space="preserve">Поправки должны представляться на одном из рабочих языков.  Они должны быть изложены в пояснительной записке, а также внесены в один из экземпляров отчета. Поправки должны направляться </w:t>
    </w:r>
    <w:r>
      <w:rPr>
        <w:szCs w:val="24"/>
        <w:u w:val="single"/>
        <w:lang w:val="ru-RU"/>
      </w:rPr>
      <w:t>в течение одной недели с момента выпуска настоящего документа</w:t>
    </w:r>
    <w:r>
      <w:rPr>
        <w:szCs w:val="24"/>
        <w:lang w:val="ru-RU"/>
      </w:rPr>
      <w:t xml:space="preserve"> в Секцию редактирования официальных отчетов, комната</w:t>
    </w:r>
    <w:r>
      <w:rPr>
        <w:szCs w:val="24"/>
        <w:lang w:val="en-US"/>
      </w:rPr>
      <w:t> E</w:t>
    </w:r>
    <w:r>
      <w:rPr>
        <w:szCs w:val="24"/>
        <w:lang w:val="ru-RU"/>
      </w:rPr>
      <w:t>.4108, Дворец Наций, Женева.</w:t>
    </w:r>
  </w:p>
  <w:p w:rsidR="00000000" w:rsidRDefault="00000000">
    <w:pPr>
      <w:spacing w:after="120"/>
      <w:rPr>
        <w:lang w:val="ru-RU"/>
      </w:rPr>
    </w:pPr>
    <w:r>
      <w:rPr>
        <w:szCs w:val="24"/>
        <w:lang w:val="ru-RU"/>
      </w:rPr>
      <w:tab/>
      <w:t>Любые поправки к отчетам об открытых заседаниях Комитета на данной сессии будут сведены в единое исправление, которое будет издано вскоре после окончания сессии</w:t>
    </w:r>
    <w:r>
      <w:rPr>
        <w:lang w:val="ru-RU"/>
      </w:rPr>
      <w:t>.</w:t>
    </w:r>
  </w:p>
  <w:p w:rsidR="00000000" w:rsidRDefault="00000000">
    <w:pPr>
      <w:pStyle w:val="Footer"/>
    </w:pPr>
    <w:r>
      <w:t>GE.08-43735  (EXT</w:t>
    </w:r>
    <w:r>
      <w:rPr>
        <w:lang w:val="fr-FR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00000">
      <w:r>
        <w:separator/>
      </w:r>
    </w:p>
  </w:footnote>
  <w:footnote w:type="continuationSeparator" w:id="0">
    <w:p w:rsidR="00000000" w:rsidRDefault="000000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0000">
    <w:pPr>
      <w:pStyle w:val="Header"/>
    </w:pPr>
    <w:r>
      <w:t>CERD/C/SR.1901</w:t>
    </w:r>
  </w:p>
  <w:p w:rsidR="00000000" w:rsidRDefault="00000000">
    <w:pPr>
      <w:pStyle w:val="Head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8</w:t>
    </w:r>
    <w:r>
      <w:fldChar w:fldCharType="end"/>
    </w:r>
  </w:p>
  <w:p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0000">
    <w:pPr>
      <w:pStyle w:val="Header"/>
      <w:tabs>
        <w:tab w:val="clear" w:pos="6804"/>
        <w:tab w:val="left" w:pos="6803"/>
      </w:tabs>
    </w:pPr>
    <w:r>
      <w:tab/>
      <w:t>CERD/C/SR.1901</w:t>
    </w:r>
  </w:p>
  <w:p w:rsidR="00000000" w:rsidRDefault="00000000">
    <w:pPr>
      <w:pStyle w:val="Header"/>
      <w:tabs>
        <w:tab w:val="clear" w:pos="6804"/>
        <w:tab w:val="left" w:pos="6803"/>
      </w:tabs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7</w:t>
    </w:r>
    <w:r>
      <w:fldChar w:fldCharType="end"/>
    </w:r>
  </w:p>
  <w:p w:rsidR="00000000" w:rsidRDefault="00000000">
    <w:pPr>
      <w:pStyle w:val="Header"/>
      <w:tabs>
        <w:tab w:val="clear" w:pos="6804"/>
        <w:tab w:val="left" w:pos="680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F49C6"/>
    <w:multiLevelType w:val="singleLevel"/>
    <w:tmpl w:val="9A9A8064"/>
    <w:lvl w:ilvl="0">
      <w:start w:val="1"/>
      <w:numFmt w:val="lowerRoman"/>
      <w:lvlText w:val="%1)"/>
      <w:lvlJc w:val="right"/>
      <w:pPr>
        <w:tabs>
          <w:tab w:val="num" w:pos="927"/>
        </w:tabs>
        <w:ind w:left="567" w:firstLine="0"/>
      </w:pPr>
    </w:lvl>
  </w:abstractNum>
  <w:abstractNum w:abstractNumId="1">
    <w:nsid w:val="3CB061AB"/>
    <w:multiLevelType w:val="singleLevel"/>
    <w:tmpl w:val="AD4CE75A"/>
    <w:lvl w:ilvl="0">
      <w:start w:val="1"/>
      <w:numFmt w:val="decimal"/>
      <w:lvlText w:val="%1."/>
      <w:lvlJc w:val="left"/>
      <w:pPr>
        <w:tabs>
          <w:tab w:val="num" w:pos="360"/>
        </w:tabs>
        <w:ind w:left="-1" w:firstLine="1"/>
      </w:pPr>
      <w:rPr>
        <w:rFonts w:hint="default"/>
      </w:rPr>
    </w:lvl>
  </w:abstractNum>
  <w:abstractNum w:abstractNumId="2">
    <w:nsid w:val="7CF349BD"/>
    <w:multiLevelType w:val="singleLevel"/>
    <w:tmpl w:val="0274947A"/>
    <w:lvl w:ilvl="0">
      <w:start w:val="1"/>
      <w:numFmt w:val="lowerRoman"/>
      <w:lvlText w:val="%1)"/>
      <w:lvlJc w:val="right"/>
      <w:pPr>
        <w:tabs>
          <w:tab w:val="num" w:pos="504"/>
        </w:tabs>
        <w:ind w:left="504" w:hanging="216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ttachedTemplate r:id="rId1"/>
  <w:doNotTrackMoves/>
  <w:defaultTabStop w:val="567"/>
  <w:hyphenationZone w:val="425"/>
  <w:evenAndOddHeaders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fr-FR"/>
    </w:rPr>
  </w:style>
  <w:style w:type="paragraph" w:styleId="Heading1">
    <w:name w:val="heading 1"/>
    <w:basedOn w:val="Normal"/>
    <w:next w:val="Normal"/>
    <w:qFormat/>
    <w:pPr>
      <w:keepNext/>
      <w:spacing w:after="240"/>
      <w:outlineLvl w:val="0"/>
    </w:pPr>
    <w:rPr>
      <w:rFonts w:cs="Arial"/>
      <w:b/>
      <w:bCs/>
      <w:szCs w:val="32"/>
    </w:rPr>
  </w:style>
  <w:style w:type="paragraph" w:styleId="Heading2">
    <w:name w:val="heading 2"/>
    <w:basedOn w:val="Normal"/>
    <w:next w:val="Normal"/>
    <w:qFormat/>
    <w:pPr>
      <w:keepNext/>
      <w:spacing w:after="240"/>
      <w:outlineLvl w:val="1"/>
    </w:pPr>
    <w:rPr>
      <w:snapToGrid w:val="0"/>
    </w:rPr>
  </w:style>
  <w:style w:type="paragraph" w:styleId="Heading3">
    <w:name w:val="heading 3"/>
    <w:basedOn w:val="Normal"/>
    <w:next w:val="Normal"/>
    <w:qFormat/>
    <w:pPr>
      <w:keepNext/>
      <w:spacing w:after="240"/>
      <w:outlineLvl w:val="2"/>
    </w:pPr>
    <w:rPr>
      <w:snapToGrid w:val="0"/>
    </w:rPr>
  </w:style>
  <w:style w:type="paragraph" w:styleId="Heading4">
    <w:name w:val="heading 4"/>
    <w:basedOn w:val="Normal"/>
    <w:next w:val="Normal"/>
    <w:qFormat/>
    <w:pPr>
      <w:keepNext/>
      <w:spacing w:after="240"/>
      <w:outlineLvl w:val="3"/>
    </w:pPr>
  </w:style>
  <w:style w:type="paragraph" w:styleId="Heading5">
    <w:name w:val="heading 5"/>
    <w:basedOn w:val="Normal"/>
    <w:next w:val="Normal"/>
    <w:qFormat/>
    <w:pPr>
      <w:keepNext/>
      <w:spacing w:after="240"/>
      <w:outlineLvl w:val="4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semiHidden/>
    <w:rPr>
      <w:rFonts w:ascii="Times New Roman" w:hAnsi="Times New Roman"/>
      <w:b/>
      <w:sz w:val="24"/>
      <w:vertAlign w:val="superscript"/>
    </w:rPr>
  </w:style>
  <w:style w:type="character" w:styleId="FootnoteReference">
    <w:name w:val="footnote reference"/>
    <w:semiHidden/>
    <w:rPr>
      <w:rFonts w:ascii="Times New Roman" w:hAnsi="Times New Roman"/>
      <w:b/>
      <w:sz w:val="24"/>
      <w:vertAlign w:val="superscript"/>
    </w:rPr>
  </w:style>
  <w:style w:type="paragraph" w:styleId="FootnoteText">
    <w:name w:val="footnote text"/>
    <w:basedOn w:val="Normal"/>
    <w:semiHidden/>
  </w:style>
  <w:style w:type="paragraph" w:styleId="EndnoteText">
    <w:name w:val="endnote text"/>
    <w:basedOn w:val="Normal"/>
    <w:semiHidden/>
  </w:style>
  <w:style w:type="paragraph" w:customStyle="1" w:styleId="a">
    <w:name w:val="название"/>
    <w:basedOn w:val="Normal"/>
    <w:pPr>
      <w:widowControl w:val="0"/>
    </w:pPr>
    <w:rPr>
      <w:rFonts w:ascii="Courier" w:hAnsi="Courier"/>
      <w:snapToGrid w:val="0"/>
      <w:lang w:val="ru-RU" w:eastAsia="ru-RU"/>
    </w:rPr>
  </w:style>
  <w:style w:type="paragraph" w:styleId="Header">
    <w:name w:val="header"/>
    <w:basedOn w:val="Normal"/>
    <w:semiHidden/>
    <w:pPr>
      <w:tabs>
        <w:tab w:val="left" w:pos="6804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Q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Q5</Template>
  <TotalTime>0</TotalTime>
  <Pages>1</Pages>
  <Words>3205</Words>
  <Characters>18269</Characters>
  <Application>Microsoft Office Word</Application>
  <DocSecurity>4</DocSecurity>
  <Lines>152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CERD/C/SR.1901</vt:lpstr>
    </vt:vector>
  </TitlesOfParts>
  <Company>ONU</Company>
  <LinksUpToDate>false</LinksUpToDate>
  <CharactersWithSpaces>22435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CERD/C/SR.1901</dc:title>
  <dc:subject>FINAL</dc:subject>
  <dc:creator>Nath Vittoz</dc:creator>
  <cp:keywords/>
  <dc:description/>
  <cp:lastModifiedBy>csd</cp:lastModifiedBy>
  <cp:revision>2</cp:revision>
  <cp:lastPrinted>2009-07-30T09:06:00Z</cp:lastPrinted>
  <dcterms:created xsi:type="dcterms:W3CDTF">2009-07-30T09:06:00Z</dcterms:created>
  <dcterms:modified xsi:type="dcterms:W3CDTF">2009-07-30T09:06:00Z</dcterms:modified>
</cp:coreProperties>
</file>