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16D50" w14:textId="77777777" w:rsidR="00C070E5" w:rsidRPr="00C070E5" w:rsidRDefault="00C070E5" w:rsidP="00C070E5">
      <w:pPr>
        <w:pStyle w:val="Heading1"/>
        <w:jc w:val="center"/>
        <w:rPr>
          <w:rFonts w:ascii="Times New Roman" w:hAnsi="Times New Roman" w:cs="Times New Roman"/>
          <w:color w:val="000000" w:themeColor="text1"/>
        </w:rPr>
      </w:pPr>
      <w:r w:rsidRPr="00C070E5">
        <w:rPr>
          <w:rFonts w:ascii="Times New Roman" w:hAnsi="Times New Roman" w:cs="Times New Roman"/>
          <w:noProof/>
          <w:color w:val="000000" w:themeColor="text1"/>
        </w:rPr>
        <w:drawing>
          <wp:inline distT="0" distB="0" distL="0" distR="0" wp14:anchorId="6E56185F" wp14:editId="77F1E20E">
            <wp:extent cx="2164080" cy="825768"/>
            <wp:effectExtent l="0" t="0" r="7620" b="0"/>
            <wp:docPr id="300285050" name="Picture 1">
              <a:extLst xmlns:a="http://schemas.openxmlformats.org/drawingml/2006/main">
                <a:ext uri="{FF2B5EF4-FFF2-40B4-BE49-F238E27FC236}">
                  <a16:creationId xmlns:a16="http://schemas.microsoft.com/office/drawing/2014/main" id="{C3DC96FF-29C2-4E3B-A06C-ABBF6712B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5050" name=""/>
                    <pic:cNvPicPr/>
                  </pic:nvPicPr>
                  <pic:blipFill>
                    <a:blip r:embed="rId8"/>
                    <a:stretch>
                      <a:fillRect/>
                    </a:stretch>
                  </pic:blipFill>
                  <pic:spPr>
                    <a:xfrm>
                      <a:off x="0" y="0"/>
                      <a:ext cx="2173536" cy="829376"/>
                    </a:xfrm>
                    <a:prstGeom prst="rect">
                      <a:avLst/>
                    </a:prstGeom>
                  </pic:spPr>
                </pic:pic>
              </a:graphicData>
            </a:graphic>
          </wp:inline>
        </w:drawing>
      </w:r>
      <w:r w:rsidRPr="00C070E5">
        <w:rPr>
          <w:rFonts w:ascii="Times New Roman" w:hAnsi="Times New Roman" w:cs="Times New Roman"/>
          <w:color w:val="000000" w:themeColor="text1"/>
        </w:rPr>
        <w:br/>
      </w:r>
      <w:r w:rsidRPr="00C070E5">
        <w:rPr>
          <w:rFonts w:ascii="Times New Roman" w:eastAsiaTheme="minorEastAsia" w:hAnsi="Times New Roman" w:cs="Times New Roman"/>
          <w:color w:val="000000" w:themeColor="text1"/>
        </w:rPr>
        <w:t>MAJOR PROJECT</w:t>
      </w:r>
    </w:p>
    <w:p w14:paraId="540B7A3E" w14:textId="2A2BB462" w:rsidR="00C070E5" w:rsidRPr="00C070E5" w:rsidRDefault="00C070E5" w:rsidP="00C070E5">
      <w:pPr>
        <w:pStyle w:val="Heading1"/>
        <w:ind w:left="2880"/>
        <w:rPr>
          <w:rFonts w:ascii="Times New Roman" w:eastAsiaTheme="minorEastAsia" w:hAnsi="Times New Roman" w:cs="Times New Roman"/>
          <w:color w:val="000000" w:themeColor="text1"/>
        </w:rPr>
      </w:pPr>
      <w:r w:rsidRPr="00C070E5">
        <w:rPr>
          <w:rFonts w:ascii="Times New Roman" w:eastAsiaTheme="minorEastAsia" w:hAnsi="Times New Roman" w:cs="Times New Roman"/>
          <w:color w:val="000000" w:themeColor="text1"/>
        </w:rPr>
        <w:t>MID - SEMESTER REPORT</w:t>
      </w:r>
    </w:p>
    <w:p w14:paraId="575D70BE" w14:textId="77777777" w:rsidR="00C070E5" w:rsidRPr="00C070E5" w:rsidRDefault="00C070E5" w:rsidP="00C070E5">
      <w:pPr>
        <w:spacing w:before="240" w:after="120"/>
        <w:jc w:val="center"/>
        <w:rPr>
          <w:rFonts w:ascii="Times New Roman" w:hAnsi="Times New Roman" w:cs="Times New Roman"/>
          <w:color w:val="000000" w:themeColor="text1"/>
        </w:rPr>
      </w:pPr>
      <w:r w:rsidRPr="00C070E5">
        <w:rPr>
          <w:rFonts w:ascii="Times New Roman" w:hAnsi="Times New Roman" w:cs="Times New Roman"/>
          <w:color w:val="000000" w:themeColor="text1"/>
        </w:rPr>
        <w:t>For</w:t>
      </w:r>
    </w:p>
    <w:p w14:paraId="36BB0928" w14:textId="77777777" w:rsidR="00C070E5" w:rsidRPr="00C070E5" w:rsidRDefault="00C070E5" w:rsidP="00C070E5">
      <w:pPr>
        <w:spacing w:after="240"/>
        <w:jc w:val="center"/>
        <w:rPr>
          <w:rFonts w:ascii="Times New Roman" w:hAnsi="Times New Roman" w:cs="Times New Roman"/>
          <w:color w:val="000000" w:themeColor="text1"/>
        </w:rPr>
      </w:pPr>
      <w:r w:rsidRPr="00C070E5">
        <w:rPr>
          <w:rFonts w:ascii="Times New Roman" w:hAnsi="Times New Roman" w:cs="Times New Roman"/>
          <w:b/>
          <w:bCs/>
          <w:color w:val="000000" w:themeColor="text1"/>
          <w:sz w:val="28"/>
          <w:szCs w:val="28"/>
        </w:rPr>
        <w:t>Autonomous Research Report Agent: A Multi-Agent AI System for Automated Research</w:t>
      </w:r>
    </w:p>
    <w:p w14:paraId="405B1F18" w14:textId="77777777" w:rsidR="00C070E5" w:rsidRPr="00C070E5" w:rsidRDefault="00C070E5" w:rsidP="00C070E5">
      <w:pPr>
        <w:spacing w:before="120" w:after="120"/>
        <w:jc w:val="center"/>
        <w:rPr>
          <w:rFonts w:ascii="Times New Roman" w:hAnsi="Times New Roman" w:cs="Times New Roman"/>
          <w:color w:val="000000" w:themeColor="text1"/>
        </w:rPr>
      </w:pPr>
      <w:r w:rsidRPr="00C070E5">
        <w:rPr>
          <w:rFonts w:ascii="Times New Roman" w:hAnsi="Times New Roman" w:cs="Times New Roman"/>
          <w:b/>
          <w:bCs/>
          <w:color w:val="000000" w:themeColor="text1"/>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070E5" w:rsidRPr="00C070E5" w14:paraId="2F5BF2BF" w14:textId="77777777" w:rsidTr="00D04A3B">
        <w:tc>
          <w:tcPr>
            <w:tcW w:w="3120" w:type="dxa"/>
            <w:shd w:val="clear" w:color="auto" w:fill="D5E8F0"/>
            <w:tcMar>
              <w:top w:w="80" w:type="dxa"/>
              <w:left w:w="120" w:type="dxa"/>
              <w:bottom w:w="80" w:type="dxa"/>
              <w:right w:w="120" w:type="dxa"/>
            </w:tcMar>
          </w:tcPr>
          <w:p w14:paraId="02C4B437"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b/>
                <w:bCs/>
                <w:color w:val="000000" w:themeColor="text1"/>
              </w:rPr>
              <w:t>Specialization/Batch</w:t>
            </w:r>
          </w:p>
        </w:tc>
        <w:tc>
          <w:tcPr>
            <w:tcW w:w="3120" w:type="dxa"/>
            <w:shd w:val="clear" w:color="auto" w:fill="D5E8F0"/>
            <w:tcMar>
              <w:top w:w="80" w:type="dxa"/>
              <w:left w:w="120" w:type="dxa"/>
              <w:bottom w:w="80" w:type="dxa"/>
              <w:right w:w="120" w:type="dxa"/>
            </w:tcMar>
          </w:tcPr>
          <w:p w14:paraId="4F4242F3"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b/>
                <w:bCs/>
                <w:color w:val="000000" w:themeColor="text1"/>
              </w:rPr>
              <w:t>SAP ID</w:t>
            </w:r>
          </w:p>
        </w:tc>
        <w:tc>
          <w:tcPr>
            <w:tcW w:w="3120" w:type="dxa"/>
            <w:shd w:val="clear" w:color="auto" w:fill="D5E8F0"/>
            <w:tcMar>
              <w:top w:w="80" w:type="dxa"/>
              <w:left w:w="120" w:type="dxa"/>
              <w:bottom w:w="80" w:type="dxa"/>
              <w:right w:w="120" w:type="dxa"/>
            </w:tcMar>
          </w:tcPr>
          <w:p w14:paraId="3C0F3B1F"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b/>
                <w:bCs/>
                <w:color w:val="000000" w:themeColor="text1"/>
              </w:rPr>
              <w:t>Name</w:t>
            </w:r>
          </w:p>
        </w:tc>
      </w:tr>
      <w:tr w:rsidR="00C070E5" w:rsidRPr="00C070E5" w14:paraId="226530AD" w14:textId="77777777" w:rsidTr="00D04A3B">
        <w:tc>
          <w:tcPr>
            <w:tcW w:w="3120" w:type="dxa"/>
            <w:tcMar>
              <w:top w:w="80" w:type="dxa"/>
              <w:left w:w="120" w:type="dxa"/>
              <w:bottom w:w="80" w:type="dxa"/>
              <w:right w:w="120" w:type="dxa"/>
            </w:tcMar>
          </w:tcPr>
          <w:p w14:paraId="757C6519"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AIML, B8</w:t>
            </w:r>
          </w:p>
        </w:tc>
        <w:tc>
          <w:tcPr>
            <w:tcW w:w="3120" w:type="dxa"/>
            <w:tcMar>
              <w:top w:w="80" w:type="dxa"/>
              <w:left w:w="120" w:type="dxa"/>
              <w:bottom w:w="80" w:type="dxa"/>
              <w:right w:w="120" w:type="dxa"/>
            </w:tcMar>
          </w:tcPr>
          <w:p w14:paraId="403F5682"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500119031</w:t>
            </w:r>
          </w:p>
        </w:tc>
        <w:tc>
          <w:tcPr>
            <w:tcW w:w="3120" w:type="dxa"/>
            <w:tcMar>
              <w:top w:w="80" w:type="dxa"/>
              <w:left w:w="120" w:type="dxa"/>
              <w:bottom w:w="80" w:type="dxa"/>
              <w:right w:w="120" w:type="dxa"/>
            </w:tcMar>
          </w:tcPr>
          <w:p w14:paraId="58E69EC1"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Devansh Saini</w:t>
            </w:r>
          </w:p>
        </w:tc>
      </w:tr>
      <w:tr w:rsidR="00C070E5" w:rsidRPr="00C070E5" w14:paraId="63B15D25" w14:textId="77777777" w:rsidTr="00D04A3B">
        <w:tc>
          <w:tcPr>
            <w:tcW w:w="3120" w:type="dxa"/>
            <w:tcMar>
              <w:top w:w="80" w:type="dxa"/>
              <w:left w:w="120" w:type="dxa"/>
              <w:bottom w:w="80" w:type="dxa"/>
              <w:right w:w="120" w:type="dxa"/>
            </w:tcMar>
          </w:tcPr>
          <w:p w14:paraId="1F09192B"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AIML, B8</w:t>
            </w:r>
          </w:p>
        </w:tc>
        <w:tc>
          <w:tcPr>
            <w:tcW w:w="3120" w:type="dxa"/>
            <w:tcMar>
              <w:top w:w="80" w:type="dxa"/>
              <w:left w:w="120" w:type="dxa"/>
              <w:bottom w:w="80" w:type="dxa"/>
              <w:right w:w="120" w:type="dxa"/>
            </w:tcMar>
          </w:tcPr>
          <w:p w14:paraId="3B174290"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500119592</w:t>
            </w:r>
          </w:p>
        </w:tc>
        <w:tc>
          <w:tcPr>
            <w:tcW w:w="3120" w:type="dxa"/>
            <w:tcMar>
              <w:top w:w="80" w:type="dxa"/>
              <w:left w:w="120" w:type="dxa"/>
              <w:bottom w:w="80" w:type="dxa"/>
              <w:right w:w="120" w:type="dxa"/>
            </w:tcMar>
          </w:tcPr>
          <w:p w14:paraId="06617425"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Yash Thakur</w:t>
            </w:r>
          </w:p>
        </w:tc>
      </w:tr>
      <w:tr w:rsidR="00C070E5" w:rsidRPr="00C070E5" w14:paraId="3F71D624" w14:textId="77777777" w:rsidTr="00D04A3B">
        <w:tc>
          <w:tcPr>
            <w:tcW w:w="3120" w:type="dxa"/>
            <w:tcMar>
              <w:top w:w="80" w:type="dxa"/>
              <w:left w:w="120" w:type="dxa"/>
              <w:bottom w:w="80" w:type="dxa"/>
              <w:right w:w="120" w:type="dxa"/>
            </w:tcMar>
          </w:tcPr>
          <w:p w14:paraId="264F4D01"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AIML, B7</w:t>
            </w:r>
          </w:p>
        </w:tc>
        <w:tc>
          <w:tcPr>
            <w:tcW w:w="3120" w:type="dxa"/>
            <w:tcMar>
              <w:top w:w="80" w:type="dxa"/>
              <w:left w:w="120" w:type="dxa"/>
              <w:bottom w:w="80" w:type="dxa"/>
              <w:right w:w="120" w:type="dxa"/>
            </w:tcMar>
          </w:tcPr>
          <w:p w14:paraId="4B49DCCE"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500121743</w:t>
            </w:r>
          </w:p>
        </w:tc>
        <w:tc>
          <w:tcPr>
            <w:tcW w:w="3120" w:type="dxa"/>
            <w:tcMar>
              <w:top w:w="80" w:type="dxa"/>
              <w:left w:w="120" w:type="dxa"/>
              <w:bottom w:w="80" w:type="dxa"/>
              <w:right w:w="120" w:type="dxa"/>
            </w:tcMar>
          </w:tcPr>
          <w:p w14:paraId="6BA8A293"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Kanishk Vikram Singh</w:t>
            </w:r>
          </w:p>
        </w:tc>
      </w:tr>
      <w:tr w:rsidR="00C070E5" w:rsidRPr="00C070E5" w14:paraId="576AC430" w14:textId="77777777" w:rsidTr="00D04A3B">
        <w:tc>
          <w:tcPr>
            <w:tcW w:w="3120" w:type="dxa"/>
            <w:tcMar>
              <w:top w:w="80" w:type="dxa"/>
              <w:left w:w="120" w:type="dxa"/>
              <w:bottom w:w="80" w:type="dxa"/>
              <w:right w:w="120" w:type="dxa"/>
            </w:tcMar>
          </w:tcPr>
          <w:p w14:paraId="0D30FCEC"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AIML, B7</w:t>
            </w:r>
          </w:p>
        </w:tc>
        <w:tc>
          <w:tcPr>
            <w:tcW w:w="3120" w:type="dxa"/>
            <w:tcMar>
              <w:top w:w="80" w:type="dxa"/>
              <w:left w:w="120" w:type="dxa"/>
              <w:bottom w:w="80" w:type="dxa"/>
              <w:right w:w="120" w:type="dxa"/>
            </w:tcMar>
          </w:tcPr>
          <w:p w14:paraId="2B63950B"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500119644</w:t>
            </w:r>
          </w:p>
        </w:tc>
        <w:tc>
          <w:tcPr>
            <w:tcW w:w="3120" w:type="dxa"/>
            <w:tcMar>
              <w:top w:w="80" w:type="dxa"/>
              <w:left w:w="120" w:type="dxa"/>
              <w:bottom w:w="80" w:type="dxa"/>
              <w:right w:w="120" w:type="dxa"/>
            </w:tcMar>
          </w:tcPr>
          <w:p w14:paraId="2659A063" w14:textId="77777777" w:rsidR="00C070E5" w:rsidRPr="00C070E5" w:rsidRDefault="00C070E5" w:rsidP="00D04A3B">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Sumit Kumar</w:t>
            </w:r>
          </w:p>
        </w:tc>
      </w:tr>
    </w:tbl>
    <w:p w14:paraId="35F5578E" w14:textId="77777777" w:rsidR="00C070E5" w:rsidRPr="00C070E5" w:rsidRDefault="00C070E5" w:rsidP="00C070E5">
      <w:pPr>
        <w:spacing w:before="120"/>
        <w:rPr>
          <w:rFonts w:ascii="Times New Roman" w:hAnsi="Times New Roman" w:cs="Times New Roman"/>
          <w:color w:val="000000" w:themeColor="text1"/>
        </w:rPr>
      </w:pPr>
    </w:p>
    <w:p w14:paraId="202CAE91" w14:textId="77777777" w:rsidR="00C070E5" w:rsidRPr="00C070E5" w:rsidRDefault="00C070E5" w:rsidP="00C070E5">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b/>
          <w:bCs/>
          <w:color w:val="000000" w:themeColor="text1"/>
        </w:rPr>
        <w:t>School Of Computer Science</w:t>
      </w:r>
    </w:p>
    <w:p w14:paraId="6D31AB31" w14:textId="77777777" w:rsidR="00C070E5" w:rsidRPr="00C070E5" w:rsidRDefault="00C070E5" w:rsidP="00C070E5">
      <w:pPr>
        <w:spacing w:after="120"/>
        <w:jc w:val="center"/>
        <w:rPr>
          <w:rFonts w:ascii="Times New Roman" w:hAnsi="Times New Roman" w:cs="Times New Roman"/>
          <w:color w:val="000000" w:themeColor="text1"/>
        </w:rPr>
      </w:pPr>
      <w:r w:rsidRPr="00C070E5">
        <w:rPr>
          <w:rFonts w:ascii="Times New Roman" w:hAnsi="Times New Roman" w:cs="Times New Roman"/>
          <w:color w:val="000000" w:themeColor="text1"/>
        </w:rPr>
        <w:t>UNIVERSITY OF PETROLEUM &amp; ENERGY STUDIES,</w:t>
      </w:r>
    </w:p>
    <w:p w14:paraId="258171AF" w14:textId="77777777" w:rsidR="00C070E5" w:rsidRPr="00C070E5" w:rsidRDefault="00C070E5" w:rsidP="00C070E5">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DEHRADUN- 248007. Uttarakhand</w:t>
      </w:r>
    </w:p>
    <w:p w14:paraId="71F31C37" w14:textId="77777777" w:rsidR="00C070E5" w:rsidRPr="00C070E5" w:rsidRDefault="00C070E5" w:rsidP="00C070E5">
      <w:pPr>
        <w:spacing w:before="240"/>
        <w:jc w:val="center"/>
        <w:rPr>
          <w:rFonts w:ascii="Times New Roman" w:hAnsi="Times New Roman" w:cs="Times New Roman"/>
          <w:color w:val="000000" w:themeColor="text1"/>
        </w:rPr>
      </w:pPr>
      <w:r w:rsidRPr="00C070E5">
        <w:rPr>
          <w:rFonts w:ascii="Times New Roman" w:hAnsi="Times New Roman" w:cs="Times New Roman"/>
          <w:b/>
          <w:bCs/>
          <w:color w:val="000000" w:themeColor="text1"/>
        </w:rPr>
        <w:t>Dr. Anish Kumar Vishwakarma</w:t>
      </w:r>
    </w:p>
    <w:p w14:paraId="168E5B6D" w14:textId="77777777" w:rsidR="00C070E5" w:rsidRPr="00C070E5" w:rsidRDefault="00C070E5" w:rsidP="00C070E5">
      <w:pPr>
        <w:spacing w:before="20" w:after="20" w:line="240" w:lineRule="auto"/>
        <w:jc w:val="center"/>
        <w:rPr>
          <w:rFonts w:ascii="Times New Roman" w:hAnsi="Times New Roman" w:cs="Times New Roman"/>
          <w:color w:val="000000" w:themeColor="text1"/>
        </w:rPr>
      </w:pPr>
      <w:r w:rsidRPr="00C070E5">
        <w:rPr>
          <w:rFonts w:ascii="Times New Roman" w:hAnsi="Times New Roman" w:cs="Times New Roman"/>
          <w:color w:val="000000" w:themeColor="text1"/>
        </w:rPr>
        <w:t>Project Mentor</w:t>
      </w:r>
    </w:p>
    <w:p w14:paraId="7704F42C" w14:textId="77777777" w:rsidR="002E6041" w:rsidRPr="00C070E5" w:rsidRDefault="00000000">
      <w:pPr>
        <w:rPr>
          <w:rFonts w:ascii="Times New Roman" w:hAnsi="Times New Roman" w:cs="Times New Roman"/>
          <w:color w:val="000000" w:themeColor="text1"/>
        </w:rPr>
      </w:pPr>
      <w:r w:rsidRPr="00C070E5">
        <w:rPr>
          <w:rFonts w:ascii="Times New Roman" w:hAnsi="Times New Roman" w:cs="Times New Roman"/>
          <w:color w:val="000000" w:themeColor="text1"/>
        </w:rPr>
        <w:br w:type="page"/>
      </w:r>
    </w:p>
    <w:p w14:paraId="14182A6F" w14:textId="77777777" w:rsidR="002E6041" w:rsidRPr="00C070E5" w:rsidRDefault="00000000" w:rsidP="005D69FF">
      <w:pPr>
        <w:keepNext/>
        <w:spacing w:before="320" w:after="12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30"/>
        </w:rPr>
        <w:lastRenderedPageBreak/>
        <w:t>Table of Contents</w:t>
      </w:r>
    </w:p>
    <w:p w14:paraId="7E208DE8" w14:textId="77777777" w:rsidR="002E6041" w:rsidRPr="00C070E5" w:rsidRDefault="00000000" w:rsidP="005D69FF">
      <w:pPr>
        <w:spacing w:after="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1. Introduction</w:t>
      </w:r>
    </w:p>
    <w:p w14:paraId="41F0F637"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1.1 Technical Background &amp; Concepts</w:t>
      </w:r>
    </w:p>
    <w:p w14:paraId="54227C6A"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1.2 Motivation</w:t>
      </w:r>
    </w:p>
    <w:p w14:paraId="4A0BBF94"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1.3 Problem Statement</w:t>
      </w:r>
    </w:p>
    <w:p w14:paraId="3FC17F23"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1.4 Areas of Application</w:t>
      </w:r>
    </w:p>
    <w:p w14:paraId="7D372A8B"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1.5 Dynamic Dataset and Input Specifications</w:t>
      </w:r>
    </w:p>
    <w:p w14:paraId="4868059D" w14:textId="77777777" w:rsidR="002E6041" w:rsidRPr="00C070E5" w:rsidRDefault="00000000" w:rsidP="005D69FF">
      <w:pPr>
        <w:spacing w:after="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2. Literature Review</w:t>
      </w:r>
    </w:p>
    <w:p w14:paraId="59AC4042"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2.1 Related Works &amp; Foundational Literature</w:t>
      </w:r>
    </w:p>
    <w:p w14:paraId="402A1737"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2.2 SWOT Analysis</w:t>
      </w:r>
    </w:p>
    <w:p w14:paraId="29C980C2"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2.3 Identified Research Gaps &amp; Proposed Contribution</w:t>
      </w:r>
    </w:p>
    <w:p w14:paraId="325D5BE8" w14:textId="77777777" w:rsidR="002E6041" w:rsidRPr="00C070E5" w:rsidRDefault="00000000" w:rsidP="005D69FF">
      <w:pPr>
        <w:spacing w:after="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3. Project Objectives</w:t>
      </w:r>
    </w:p>
    <w:p w14:paraId="429BAD6C"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3.1 Main Objective</w:t>
      </w:r>
    </w:p>
    <w:p w14:paraId="6958CF6A"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3.2 Phase-Wise Sub-Objectives (Mid-Term vs. End-Term Scope)</w:t>
      </w:r>
    </w:p>
    <w:p w14:paraId="0F1A04C8" w14:textId="77777777" w:rsidR="002E6041" w:rsidRPr="00C070E5" w:rsidRDefault="00000000" w:rsidP="005D69FF">
      <w:pPr>
        <w:spacing w:after="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4. Methodology &amp; </w:t>
      </w:r>
      <w:r w:rsidRPr="00C070E5">
        <w:rPr>
          <w:rFonts w:ascii="Times New Roman" w:hAnsi="Times New Roman" w:cs="Times New Roman"/>
          <w:b/>
          <w:bCs/>
          <w:color w:val="000000" w:themeColor="text1"/>
        </w:rPr>
        <w:t>System</w:t>
      </w:r>
      <w:r w:rsidRPr="00C070E5">
        <w:rPr>
          <w:rFonts w:ascii="Times New Roman" w:hAnsi="Times New Roman" w:cs="Times New Roman"/>
          <w:b/>
          <w:color w:val="000000" w:themeColor="text1"/>
        </w:rPr>
        <w:t xml:space="preserve"> Architecture</w:t>
      </w:r>
    </w:p>
    <w:p w14:paraId="74361604"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4.1 Software Engineering Process Model</w:t>
      </w:r>
    </w:p>
    <w:p w14:paraId="59F77B7B"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4.2 System Architecture Overview</w:t>
      </w:r>
    </w:p>
    <w:p w14:paraId="06490A69"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4.3 Phase 1: Planning &amp; Schema Contract (Completed)</w:t>
      </w:r>
    </w:p>
    <w:p w14:paraId="3B2100C3"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4.4 Phase 2: Tri-Source Discovery &amp; 6-Step Semantic Indexing (Completed)</w:t>
      </w:r>
    </w:p>
    <w:p w14:paraId="7C270F87"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4.5 Phase 3: Evidence Validation &amp; Iterative Feedback (Planned)</w:t>
      </w:r>
    </w:p>
    <w:p w14:paraId="018BB452"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4.6 Phase 4: Calibrated Synthesis &amp; Report Generation (Planned)</w:t>
      </w:r>
    </w:p>
    <w:p w14:paraId="67914E15" w14:textId="2D841011" w:rsidR="002E6041" w:rsidRPr="00C070E5" w:rsidRDefault="00000000" w:rsidP="005D69FF">
      <w:pPr>
        <w:spacing w:after="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5. Working Model</w:t>
      </w:r>
    </w:p>
    <w:p w14:paraId="4C6D607C"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5.1 Implemented Software Modules</w:t>
      </w:r>
    </w:p>
    <w:p w14:paraId="0074DA3D" w14:textId="4DAACF80"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5.2 Interactive Verification CLI</w:t>
      </w:r>
    </w:p>
    <w:p w14:paraId="1DE4FE06" w14:textId="77777777" w:rsidR="002E6041" w:rsidRPr="00C070E5" w:rsidRDefault="00000000" w:rsidP="005D69FF">
      <w:pPr>
        <w:spacing w:after="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6. Experimental Results &amp; Performance Analysis</w:t>
      </w:r>
    </w:p>
    <w:p w14:paraId="74F1F7EE"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6.1 Empirical Retrieval &amp; Deduplication Precision</w:t>
      </w:r>
    </w:p>
    <w:p w14:paraId="01C1634F"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6.2 Two-Stage Optimization Benchmarks</w:t>
      </w:r>
    </w:p>
    <w:p w14:paraId="730B708A" w14:textId="77777777" w:rsidR="002E6041" w:rsidRPr="00C070E5" w:rsidRDefault="00000000" w:rsidP="005D69FF">
      <w:pPr>
        <w:spacing w:after="40" w:line="360" w:lineRule="auto"/>
        <w:ind w:left="432"/>
        <w:rPr>
          <w:rFonts w:ascii="Times New Roman" w:hAnsi="Times New Roman" w:cs="Times New Roman"/>
          <w:color w:val="000000" w:themeColor="text1"/>
        </w:rPr>
      </w:pPr>
      <w:r w:rsidRPr="00C070E5">
        <w:rPr>
          <w:rFonts w:ascii="Times New Roman" w:hAnsi="Times New Roman" w:cs="Times New Roman"/>
          <w:color w:val="000000" w:themeColor="text1"/>
        </w:rPr>
        <w:t>6.3 Comparative Analysis: Naive RAG vs. Proposed Architecture</w:t>
      </w:r>
    </w:p>
    <w:p w14:paraId="18E949BC" w14:textId="77777777" w:rsidR="002E6041" w:rsidRPr="00C070E5" w:rsidRDefault="00000000" w:rsidP="005D69FF">
      <w:pPr>
        <w:spacing w:after="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7. Conclusion &amp; Future Roadmap (Phases 3 &amp; 4)</w:t>
      </w:r>
    </w:p>
    <w:p w14:paraId="48BE758E" w14:textId="77777777" w:rsidR="002E6041" w:rsidRPr="00C070E5" w:rsidRDefault="00000000" w:rsidP="005D69FF">
      <w:pPr>
        <w:spacing w:after="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8. References</w:t>
      </w:r>
    </w:p>
    <w:p w14:paraId="0F0E81D9" w14:textId="56792F5D"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br w:type="page"/>
      </w:r>
      <w:r w:rsidRPr="00C070E5">
        <w:rPr>
          <w:rFonts w:ascii="Times New Roman" w:hAnsi="Times New Roman" w:cs="Times New Roman"/>
          <w:b/>
          <w:color w:val="000000" w:themeColor="text1"/>
          <w:sz w:val="30"/>
        </w:rPr>
        <w:lastRenderedPageBreak/>
        <w:t>1. Introduction</w:t>
      </w:r>
    </w:p>
    <w:p w14:paraId="3A9810E3"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1.1 Technical Background &amp; Concepts</w:t>
      </w:r>
    </w:p>
    <w:p w14:paraId="76CCB100"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Autonomous Research Report Agent (ARA) is an evidence-grounded multi-agent system designed to automate scientific inquiry, literature synthesis, and factual verification using Large Language Models (LLMs). Rather than deploying an LLM as a single-turn question-answering tool, the system coordinates specialized software agents across decoupled phases: inquiry planning, multi-provider academic discovery, semantic candidate indexing, deep full-text passage chunking, and verifiable evidence extraction.</w:t>
      </w:r>
    </w:p>
    <w:p w14:paraId="25AF335B"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core technical foundation of the system rests upon the following algorithmic implementations:</w:t>
      </w:r>
    </w:p>
    <w:p w14:paraId="4D51E254"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Multi-Agent Orchestration: </w:t>
      </w:r>
      <w:r w:rsidRPr="00C070E5">
        <w:rPr>
          <w:rFonts w:ascii="Times New Roman" w:hAnsi="Times New Roman" w:cs="Times New Roman"/>
          <w:color w:val="000000" w:themeColor="text1"/>
        </w:rPr>
        <w:t>Dividing the research workflow into role-specialized agents (Planner, Researcher, Validator, Synthesizer) governed by formal schema contracts rather than unconstrained prompt chaining.</w:t>
      </w:r>
    </w:p>
    <w:p w14:paraId="59649A2A" w14:textId="5FC7872B"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Information Retrieval Engine: </w:t>
      </w:r>
      <w:r w:rsidRPr="00C070E5">
        <w:rPr>
          <w:rFonts w:ascii="Times New Roman" w:hAnsi="Times New Roman" w:cs="Times New Roman"/>
          <w:color w:val="000000" w:themeColor="text1"/>
        </w:rPr>
        <w:t xml:space="preserve">A </w:t>
      </w:r>
      <w:proofErr w:type="gramStart"/>
      <w:r w:rsidRPr="00C070E5">
        <w:rPr>
          <w:rFonts w:ascii="Times New Roman" w:hAnsi="Times New Roman" w:cs="Times New Roman"/>
          <w:color w:val="000000" w:themeColor="text1"/>
        </w:rPr>
        <w:t>pur</w:t>
      </w:r>
      <w:r w:rsidR="00862152">
        <w:rPr>
          <w:rFonts w:ascii="Times New Roman" w:hAnsi="Times New Roman" w:cs="Times New Roman"/>
          <w:color w:val="000000" w:themeColor="text1"/>
        </w:rPr>
        <w:t>e</w:t>
      </w:r>
      <w:proofErr w:type="gramEnd"/>
      <w:r w:rsidRPr="00C070E5">
        <w:rPr>
          <w:rFonts w:ascii="Times New Roman" w:hAnsi="Times New Roman" w:cs="Times New Roman"/>
          <w:color w:val="000000" w:themeColor="text1"/>
        </w:rPr>
        <w:t>-Python retrieval pipeline combining tokenization, stop-word removal, 5-stage Porter stemming, inverted keyword indexing, Robertson–Spärck Jones BM25 probabilistic term scoring, dense vector embeddings (via Google Gemini text-embedding-004 / gemini-embedding-001), and cosine similarity ranking.</w:t>
      </w:r>
    </w:p>
    <w:p w14:paraId="037B1B72"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Two-Stage Candidate Filtering: </w:t>
      </w:r>
      <w:r w:rsidRPr="00C070E5">
        <w:rPr>
          <w:rFonts w:ascii="Times New Roman" w:hAnsi="Times New Roman" w:cs="Times New Roman"/>
          <w:color w:val="000000" w:themeColor="text1"/>
        </w:rPr>
        <w:t>A hybrid cascade mechanism that processes hundreds of raw academic candidates discovered across external APIs. Fast, localized BM25 scoring narrows the gross candidate pool (~500 sources) down to the top 35 candidates within 20 milliseconds, reducing vector embedding API calls by over 90% and eliminating rate-limit bottlenecks.</w:t>
      </w:r>
    </w:p>
    <w:p w14:paraId="24D8A441"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Deep PDF Passage Chunking: </w:t>
      </w:r>
      <w:r w:rsidRPr="00C070E5">
        <w:rPr>
          <w:rFonts w:ascii="Times New Roman" w:hAnsi="Times New Roman" w:cs="Times New Roman"/>
          <w:color w:val="000000" w:themeColor="text1"/>
        </w:rPr>
        <w:t>An automated sliding-window segmentation algorithm (350 words with a 50-word overlap) tailored for arXiv and open-access scientific PDFs parsed via pypdf. By extracting the top 5 high-density empirical passages rather than ingesting entire 15-page documents into LLM prompts, the system mitigates context dilution and eliminates "Lost in the Middle" degradation.</w:t>
      </w:r>
    </w:p>
    <w:p w14:paraId="2622222A"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Multi-Key Deduplication &amp; Canonicalization: </w:t>
      </w:r>
      <w:r w:rsidRPr="00C070E5">
        <w:rPr>
          <w:rFonts w:ascii="Times New Roman" w:hAnsi="Times New Roman" w:cs="Times New Roman"/>
          <w:color w:val="000000" w:themeColor="text1"/>
        </w:rPr>
        <w:t>A hierarchical resolution engine that canonicalizes academic literature across Digital Object Identifiers (DOIs), arXiv identifiers, normalized URLs, and fuzzy title matching.</w:t>
      </w:r>
    </w:p>
    <w:p w14:paraId="068562DA"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Logarithmic Citation Authority Scaling: </w:t>
      </w:r>
      <w:r w:rsidRPr="00C070E5">
        <w:rPr>
          <w:rFonts w:ascii="Times New Roman" w:hAnsi="Times New Roman" w:cs="Times New Roman"/>
          <w:color w:val="000000" w:themeColor="text1"/>
        </w:rPr>
        <w:t>An authority dampening function that transforms citation counts to compute normalized credibility scores without allowing seminal papers with tens of thousands of citations to eclipse contemporary preprint breakthroughs.</w:t>
      </w:r>
    </w:p>
    <w:p w14:paraId="462E0482"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lastRenderedPageBreak/>
        <w:t>1.2 Motivation</w:t>
      </w:r>
    </w:p>
    <w:p w14:paraId="6E6FDBB8"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Academic and technical researchers spend substantial time exploring literature, cross-referencing contradictory empirical results, and verifying the provenance of cited claims. While contemporary frontier LLMs produce convincing, fluent text, their standalone application to scientific synthesis is undermined by well-documented failure modes: hallucination of non-existent citations, confirmation bias (retrieving only evidence that supports the prompt), uncritical acceptance of flawed data, and context degradation over long contexts.</w:t>
      </w:r>
    </w:p>
    <w:p w14:paraId="544D22A5"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motivation of this project is to address these vulnerabilities by engineering an autonomous, transparent, and auditable research pipeline. By coupling academic discovery with localized BM25 indexing, dense vector re-ranking, and passage-level evidence grounding, the framework enables exhaustive scientific inquiry while maintaining deterministic source traceability.</w:t>
      </w:r>
    </w:p>
    <w:p w14:paraId="2E36F713"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1.3 Problem Statement</w:t>
      </w:r>
    </w:p>
    <w:p w14:paraId="0DB1534C"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Conventional Retrieval-Augmented Generation (RAG) architectures exhibit critical shortcomings when applied to complex academic inquiry:</w:t>
      </w:r>
    </w:p>
    <w:p w14:paraId="66D53158"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 Superficial Context Stuffing: </w:t>
      </w:r>
      <w:r w:rsidRPr="00C070E5">
        <w:rPr>
          <w:rFonts w:ascii="Times New Roman" w:hAnsi="Times New Roman" w:cs="Times New Roman"/>
          <w:color w:val="000000" w:themeColor="text1"/>
        </w:rPr>
        <w:t>Standard systems either retrieve short, unverified web snippets or dump complete 15-page PDF transcripts directly into the LLM prompt. As demonstrated in literature, large context windows suffer severe middle-context attention decay, causing language models to omit critical quantitative data buried within experimental sections.</w:t>
      </w:r>
    </w:p>
    <w:p w14:paraId="1BD2F9A7"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2. Confirmation Bias &amp; Absence of Counter-Evidence: </w:t>
      </w:r>
      <w:r w:rsidRPr="00C070E5">
        <w:rPr>
          <w:rFonts w:ascii="Times New Roman" w:hAnsi="Times New Roman" w:cs="Times New Roman"/>
          <w:color w:val="000000" w:themeColor="text1"/>
        </w:rPr>
        <w:t>Naive search routines query search engines with leading prompts, retrieving solely confirmatory data and ignoring dissenting academic literature.</w:t>
      </w:r>
    </w:p>
    <w:p w14:paraId="07C038BD"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3. API Inefficiency &amp; Rate Limiting: </w:t>
      </w:r>
      <w:r w:rsidRPr="00C070E5">
        <w:rPr>
          <w:rFonts w:ascii="Times New Roman" w:hAnsi="Times New Roman" w:cs="Times New Roman"/>
          <w:color w:val="000000" w:themeColor="text1"/>
        </w:rPr>
        <w:t>Computing dense vector embeddings across hundreds of uncurated candidate documents induces severe latency spikes and triggers HTTP 429 rate-limit errors on production endpoints.</w:t>
      </w:r>
    </w:p>
    <w:p w14:paraId="744D5F8F"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4. Citation Fabrication: </w:t>
      </w:r>
      <w:r w:rsidRPr="00C070E5">
        <w:rPr>
          <w:rFonts w:ascii="Times New Roman" w:hAnsi="Times New Roman" w:cs="Times New Roman"/>
          <w:color w:val="000000" w:themeColor="text1"/>
        </w:rPr>
        <w:t>Conventional LLMs frequently generate fabricated references or associate claims with disconnected URLs.</w:t>
      </w:r>
    </w:p>
    <w:p w14:paraId="5757D3EE"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objective of this research is to construct an autonomous multi-source system that overcomes these limitations through disciplined planning, hybrid two-stage indexing, and passage-level evidence extraction.</w:t>
      </w:r>
    </w:p>
    <w:p w14:paraId="5F6A295A"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lastRenderedPageBreak/>
        <w:t>1.4 Areas of Application</w:t>
      </w:r>
    </w:p>
    <w:p w14:paraId="06C13E03"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Scientific Literature Reviews: </w:t>
      </w:r>
      <w:r w:rsidRPr="00C070E5">
        <w:rPr>
          <w:rFonts w:ascii="Times New Roman" w:hAnsi="Times New Roman" w:cs="Times New Roman"/>
          <w:color w:val="000000" w:themeColor="text1"/>
        </w:rPr>
        <w:t>Systematic synthesis of peer-reviewed articles and preprints across computer science, biomedicine, and engineering.</w:t>
      </w:r>
    </w:p>
    <w:p w14:paraId="3E74A42D"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Evidence-Based Prior Art Discovery: </w:t>
      </w:r>
      <w:r w:rsidRPr="00C070E5">
        <w:rPr>
          <w:rFonts w:ascii="Times New Roman" w:hAnsi="Times New Roman" w:cs="Times New Roman"/>
          <w:color w:val="000000" w:themeColor="text1"/>
        </w:rPr>
        <w:t>Automated discovery of foundational algorithmic literature, patents, and technical standards.</w:t>
      </w:r>
    </w:p>
    <w:p w14:paraId="1BCB16D6"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Technical Due Diligence: </w:t>
      </w:r>
      <w:r w:rsidRPr="00C070E5">
        <w:rPr>
          <w:rFonts w:ascii="Times New Roman" w:hAnsi="Times New Roman" w:cs="Times New Roman"/>
          <w:color w:val="000000" w:themeColor="text1"/>
        </w:rPr>
        <w:t>Deep analysis of conflicting engineering benchmarks and factual claims.</w:t>
      </w:r>
    </w:p>
    <w:p w14:paraId="5937C3F7"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Academic Research Assistance: </w:t>
      </w:r>
      <w:r w:rsidRPr="00C070E5">
        <w:rPr>
          <w:rFonts w:ascii="Times New Roman" w:hAnsi="Times New Roman" w:cs="Times New Roman"/>
          <w:color w:val="000000" w:themeColor="text1"/>
        </w:rPr>
        <w:t>Rapid hypothesis generation and contradiction mapping for graduate and doctoral scholars.</w:t>
      </w:r>
    </w:p>
    <w:p w14:paraId="4B65CBB9"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1.5 Dynamic Dataset and Input Specifications</w:t>
      </w:r>
    </w:p>
    <w:p w14:paraId="1B454EC0"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Unlike conventional machine learning models that require static training datasets (such as labeled image corpora or static CSV tables), ARA operates upon a dynamically harvested scientific corpus.</w:t>
      </w:r>
    </w:p>
    <w:p w14:paraId="4CEAEDB9"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System Input: </w:t>
      </w:r>
      <w:r w:rsidRPr="00C070E5">
        <w:rPr>
          <w:rFonts w:ascii="Times New Roman" w:hAnsi="Times New Roman" w:cs="Times New Roman"/>
          <w:color w:val="000000" w:themeColor="text1"/>
        </w:rPr>
        <w:t>An open scientific research prompt (e.g., "Under what conditions does retrieval-augmented generation reduce hallucination in large language models, and when can retrieval degrade factual accuracy?").</w:t>
      </w:r>
    </w:p>
    <w:p w14:paraId="6BAEA11B"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Intermediate Data Artifacts: </w:t>
      </w:r>
      <w:r w:rsidRPr="00C070E5">
        <w:rPr>
          <w:rFonts w:ascii="Times New Roman" w:hAnsi="Times New Roman" w:cs="Times New Roman"/>
          <w:color w:val="000000" w:themeColor="text1"/>
        </w:rPr>
        <w:t>Machine-readable JSON specifications including data/research_plan.json (hypotheses, quality criteria, sub-queries), candidate pools from OpenAlex, Semantic Scholar, and Tavily, and data/research_evidence.json (structured passages, verbatim quotes, and confidence scores).</w:t>
      </w:r>
    </w:p>
    <w:p w14:paraId="25676CEA"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Final Deliverable: </w:t>
      </w:r>
      <w:r w:rsidRPr="00C070E5">
        <w:rPr>
          <w:rFonts w:ascii="Times New Roman" w:hAnsi="Times New Roman" w:cs="Times New Roman"/>
          <w:color w:val="000000" w:themeColor="text1"/>
        </w:rPr>
        <w:t>An academic report artifact (HTML, Markdown, and JSON) featuring deterministic numerical citation links and comparative evidence matrices.</w:t>
      </w:r>
    </w:p>
    <w:p w14:paraId="0BCA1A43" w14:textId="77777777" w:rsidR="002E6041" w:rsidRPr="00C070E5" w:rsidRDefault="00000000" w:rsidP="005D69FF">
      <w:pPr>
        <w:keepNext/>
        <w:spacing w:before="320" w:after="12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30"/>
        </w:rPr>
        <w:t>2. Literature Review</w:t>
      </w:r>
    </w:p>
    <w:p w14:paraId="635E3A3B"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2.1 Related Works &amp; Foundational Literature</w:t>
      </w:r>
    </w:p>
    <w:p w14:paraId="30ECC49F"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design and implementation of ARA build directly upon foundational breakthroughs in information retrieval, agentic workflows, and long-context transformer behavior:</w:t>
      </w:r>
    </w:p>
    <w:p w14:paraId="063FE3C7"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Retrieval-Augmented Generation (Lewis et al., 2020): </w:t>
      </w:r>
      <w:r w:rsidRPr="00C070E5">
        <w:rPr>
          <w:rFonts w:ascii="Times New Roman" w:hAnsi="Times New Roman" w:cs="Times New Roman"/>
          <w:color w:val="000000" w:themeColor="text1"/>
        </w:rPr>
        <w:t>Demonstrated that parametric language models achieve higher factual precision when coupled with non-parametric retrieval memory. This established the theoretical foundation for grounding LLM generation in external knowledge bases.</w:t>
      </w:r>
    </w:p>
    <w:p w14:paraId="5C11FEDE"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The Probabilistic Relevance Framework &amp; BM25 (Robertson &amp; Zaragoza, 2009): </w:t>
      </w:r>
      <w:r w:rsidRPr="00C070E5">
        <w:rPr>
          <w:rFonts w:ascii="Times New Roman" w:hAnsi="Times New Roman" w:cs="Times New Roman"/>
          <w:color w:val="000000" w:themeColor="text1"/>
        </w:rPr>
        <w:t xml:space="preserve">Formalized the BM25 probabilistic term-weighting algorithm, accounting for term frequency saturation and </w:t>
      </w:r>
      <w:r w:rsidRPr="00C070E5">
        <w:rPr>
          <w:rFonts w:ascii="Times New Roman" w:hAnsi="Times New Roman" w:cs="Times New Roman"/>
          <w:color w:val="000000" w:themeColor="text1"/>
        </w:rPr>
        <w:lastRenderedPageBreak/>
        <w:t>document length normalization (k1, b). BM25 serves as the sparse indexing foundation in Phase 2 of our system.</w:t>
      </w:r>
    </w:p>
    <w:p w14:paraId="396B5F9E"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Context Degradation in Long Contexts (Liu et al., 2024 — "Lost in the Middle"): </w:t>
      </w:r>
      <w:r w:rsidRPr="00C070E5">
        <w:rPr>
          <w:rFonts w:ascii="Times New Roman" w:hAnsi="Times New Roman" w:cs="Times New Roman"/>
          <w:color w:val="000000" w:themeColor="text1"/>
        </w:rPr>
        <w:t>Proved empirically that language model retrieval accuracy drops precipitously when relevant information is positioned within the middle 40%–60% of an input context. This benchmark validates our implementation of sliding-window passage chunking rather than full-document ingestion.</w:t>
      </w:r>
    </w:p>
    <w:p w14:paraId="6740097C"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ReAct: Synergizing Reasoning and Acting (Yao et al., 2023): </w:t>
      </w:r>
      <w:r w:rsidRPr="00C070E5">
        <w:rPr>
          <w:rFonts w:ascii="Times New Roman" w:hAnsi="Times New Roman" w:cs="Times New Roman"/>
          <w:color w:val="000000" w:themeColor="text1"/>
        </w:rPr>
        <w:t>Introduced the interleaved execution of reasoning traces and environmental tool actions, establishing the multi-step operational logic implemented in our planning and retrieval agents.</w:t>
      </w:r>
    </w:p>
    <w:p w14:paraId="1EB8D921"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Autonomous Agent Surveys (Wang et al., 2024; Singh et al., 2025): </w:t>
      </w:r>
      <w:r w:rsidRPr="00C070E5">
        <w:rPr>
          <w:rFonts w:ascii="Times New Roman" w:hAnsi="Times New Roman" w:cs="Times New Roman"/>
          <w:color w:val="000000" w:themeColor="text1"/>
        </w:rPr>
        <w:t>Cataloged state-of-the-art architectures in Agentic RAG, underscoring the necessity of reflection, multi-source diversification, and structured validation.</w:t>
      </w:r>
    </w:p>
    <w:p w14:paraId="346E7CDD"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2.2 SWOT Analysis</w:t>
      </w:r>
    </w:p>
    <w:tbl>
      <w:tblPr>
        <w:tblStyle w:val="TableGrid"/>
        <w:tblW w:w="0" w:type="auto"/>
        <w:tblLook w:val="04A0" w:firstRow="1" w:lastRow="0" w:firstColumn="1" w:lastColumn="0" w:noHBand="0" w:noVBand="1"/>
      </w:tblPr>
      <w:tblGrid>
        <w:gridCol w:w="4680"/>
        <w:gridCol w:w="4680"/>
      </w:tblGrid>
      <w:tr w:rsidR="002E6041" w:rsidRPr="00C070E5" w14:paraId="19A19E6A" w14:textId="77777777" w:rsidTr="00C070E5">
        <w:tc>
          <w:tcPr>
            <w:tcW w:w="4680" w:type="dxa"/>
          </w:tcPr>
          <w:p w14:paraId="0DB8F4C4"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1"/>
              </w:rPr>
              <w:t>Strengths</w:t>
            </w:r>
          </w:p>
        </w:tc>
        <w:tc>
          <w:tcPr>
            <w:tcW w:w="4680" w:type="dxa"/>
          </w:tcPr>
          <w:p w14:paraId="0B92CBD0"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1"/>
              </w:rPr>
              <w:t>Weaknesses</w:t>
            </w:r>
          </w:p>
        </w:tc>
      </w:tr>
      <w:tr w:rsidR="002E6041" w:rsidRPr="00C070E5" w14:paraId="6488B2CF" w14:textId="77777777" w:rsidTr="00C070E5">
        <w:tc>
          <w:tcPr>
            <w:tcW w:w="4680" w:type="dxa"/>
          </w:tcPr>
          <w:p w14:paraId="684716A8"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9"/>
              </w:rPr>
              <w:t>• Modular, decoupled multi-agent architecture.</w:t>
            </w:r>
            <w:r w:rsidRPr="00C070E5">
              <w:rPr>
                <w:rFonts w:ascii="Times New Roman" w:hAnsi="Times New Roman" w:cs="Times New Roman"/>
                <w:color w:val="000000" w:themeColor="text1"/>
                <w:sz w:val="19"/>
              </w:rPr>
              <w:br/>
              <w:t>• Tri-provider discovery (OpenAlex + Semantic Scholar + Tavily).</w:t>
            </w:r>
            <w:r w:rsidRPr="00C070E5">
              <w:rPr>
                <w:rFonts w:ascii="Times New Roman" w:hAnsi="Times New Roman" w:cs="Times New Roman"/>
                <w:color w:val="000000" w:themeColor="text1"/>
                <w:sz w:val="19"/>
              </w:rPr>
              <w:br/>
              <w:t>• Two-stage hybrid indexing achieving &gt;90% API reduction.</w:t>
            </w:r>
            <w:r w:rsidRPr="00C070E5">
              <w:rPr>
                <w:rFonts w:ascii="Times New Roman" w:hAnsi="Times New Roman" w:cs="Times New Roman"/>
                <w:color w:val="000000" w:themeColor="text1"/>
                <w:sz w:val="19"/>
              </w:rPr>
              <w:br/>
              <w:t>• Sliding-window passage chunking avoiding context degradation.</w:t>
            </w:r>
            <w:r w:rsidRPr="00C070E5">
              <w:rPr>
                <w:rFonts w:ascii="Times New Roman" w:hAnsi="Times New Roman" w:cs="Times New Roman"/>
                <w:color w:val="000000" w:themeColor="text1"/>
                <w:sz w:val="19"/>
              </w:rPr>
              <w:br/>
              <w:t>• Pure-Python implementation with zero C-extension dependencies.</w:t>
            </w:r>
          </w:p>
        </w:tc>
        <w:tc>
          <w:tcPr>
            <w:tcW w:w="4680" w:type="dxa"/>
          </w:tcPr>
          <w:p w14:paraId="0A3D162F"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9"/>
              </w:rPr>
              <w:t>• Dependent upon external upstream search API availability.</w:t>
            </w:r>
            <w:r w:rsidRPr="00C070E5">
              <w:rPr>
                <w:rFonts w:ascii="Times New Roman" w:hAnsi="Times New Roman" w:cs="Times New Roman"/>
                <w:color w:val="000000" w:themeColor="text1"/>
                <w:sz w:val="19"/>
              </w:rPr>
              <w:br/>
              <w:t>• Variable quality and OCR noise across parsed PDF preprints.</w:t>
            </w:r>
            <w:r w:rsidRPr="00C070E5">
              <w:rPr>
                <w:rFonts w:ascii="Times New Roman" w:hAnsi="Times New Roman" w:cs="Times New Roman"/>
                <w:color w:val="000000" w:themeColor="text1"/>
                <w:sz w:val="19"/>
              </w:rPr>
              <w:br/>
              <w:t>• Unauthenticated rate limits on academic graph endpoints.</w:t>
            </w:r>
          </w:p>
        </w:tc>
      </w:tr>
      <w:tr w:rsidR="002E6041" w:rsidRPr="00C070E5" w14:paraId="779D5811" w14:textId="77777777" w:rsidTr="00C070E5">
        <w:tc>
          <w:tcPr>
            <w:tcW w:w="4680" w:type="dxa"/>
          </w:tcPr>
          <w:p w14:paraId="6B408FB4"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1"/>
              </w:rPr>
              <w:t>Opportunities</w:t>
            </w:r>
          </w:p>
        </w:tc>
        <w:tc>
          <w:tcPr>
            <w:tcW w:w="4680" w:type="dxa"/>
          </w:tcPr>
          <w:p w14:paraId="26D5EACC"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1"/>
              </w:rPr>
              <w:t>Threats</w:t>
            </w:r>
          </w:p>
        </w:tc>
      </w:tr>
      <w:tr w:rsidR="002E6041" w:rsidRPr="00C070E5" w14:paraId="6A697DE1" w14:textId="77777777" w:rsidTr="00C070E5">
        <w:tc>
          <w:tcPr>
            <w:tcW w:w="4680" w:type="dxa"/>
          </w:tcPr>
          <w:p w14:paraId="6A487AB6"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9"/>
              </w:rPr>
              <w:t>• Integration of multi-hop citation graph traversal.</w:t>
            </w:r>
            <w:r w:rsidRPr="00C070E5">
              <w:rPr>
                <w:rFonts w:ascii="Times New Roman" w:hAnsi="Times New Roman" w:cs="Times New Roman"/>
                <w:color w:val="000000" w:themeColor="text1"/>
                <w:sz w:val="19"/>
              </w:rPr>
              <w:br/>
              <w:t>• Automated Natural Language Inference (NLI) contradiction audits.</w:t>
            </w:r>
            <w:r w:rsidRPr="00C070E5">
              <w:rPr>
                <w:rFonts w:ascii="Times New Roman" w:hAnsi="Times New Roman" w:cs="Times New Roman"/>
                <w:color w:val="000000" w:themeColor="text1"/>
                <w:sz w:val="19"/>
              </w:rPr>
              <w:br/>
              <w:t>• Native headless PDF report compilation via WeasyPrint.</w:t>
            </w:r>
          </w:p>
        </w:tc>
        <w:tc>
          <w:tcPr>
            <w:tcW w:w="4680" w:type="dxa"/>
          </w:tcPr>
          <w:p w14:paraId="79987FBD"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9"/>
              </w:rPr>
              <w:t>• Transient network timeouts during multi-page arXiv downloads.</w:t>
            </w:r>
            <w:r w:rsidRPr="00C070E5">
              <w:rPr>
                <w:rFonts w:ascii="Times New Roman" w:hAnsi="Times New Roman" w:cs="Times New Roman"/>
                <w:color w:val="000000" w:themeColor="text1"/>
                <w:sz w:val="19"/>
              </w:rPr>
              <w:br/>
              <w:t>• Subtle academic confirmation bias in published preprints.</w:t>
            </w:r>
            <w:r w:rsidRPr="00C070E5">
              <w:rPr>
                <w:rFonts w:ascii="Times New Roman" w:hAnsi="Times New Roman" w:cs="Times New Roman"/>
                <w:color w:val="000000" w:themeColor="text1"/>
                <w:sz w:val="19"/>
              </w:rPr>
              <w:br/>
              <w:t>• Evolving API schemas across scholarly data providers.</w:t>
            </w:r>
          </w:p>
        </w:tc>
      </w:tr>
    </w:tbl>
    <w:p w14:paraId="6C0F0344" w14:textId="77777777" w:rsidR="002E6041" w:rsidRPr="00C070E5" w:rsidRDefault="002E6041" w:rsidP="005D69FF">
      <w:pPr>
        <w:spacing w:line="360" w:lineRule="auto"/>
        <w:rPr>
          <w:rFonts w:ascii="Times New Roman" w:hAnsi="Times New Roman" w:cs="Times New Roman"/>
          <w:color w:val="000000" w:themeColor="text1"/>
        </w:rPr>
      </w:pPr>
    </w:p>
    <w:p w14:paraId="16FD4270"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2.3 Identified Research Gaps &amp; Proposed Contribution</w:t>
      </w:r>
    </w:p>
    <w:p w14:paraId="0CEA8A8C"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Current implementations of LLM-based research assistants exhibit several distinct gaps:</w:t>
      </w:r>
    </w:p>
    <w:p w14:paraId="1CD1D7C1"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lastRenderedPageBreak/>
        <w:t xml:space="preserve">1. Single-Source Dependency: </w:t>
      </w:r>
      <w:r w:rsidRPr="00C070E5">
        <w:rPr>
          <w:rFonts w:ascii="Times New Roman" w:hAnsi="Times New Roman" w:cs="Times New Roman"/>
          <w:color w:val="000000" w:themeColor="text1"/>
        </w:rPr>
        <w:t>The vast majority of search agents rely exclusively on a single commercial web search API, omitting structured scholarly indexes.</w:t>
      </w:r>
    </w:p>
    <w:p w14:paraId="394ED81D"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2. Lack of Local Hybrid Indexing: </w:t>
      </w:r>
      <w:r w:rsidRPr="00C070E5">
        <w:rPr>
          <w:rFonts w:ascii="Times New Roman" w:hAnsi="Times New Roman" w:cs="Times New Roman"/>
          <w:color w:val="000000" w:themeColor="text1"/>
        </w:rPr>
        <w:t>Few systems combine localized lexical BM25 indexing with dense semantic vector search, leading to either poor keyword precision or excessive embedding API expenses.</w:t>
      </w:r>
    </w:p>
    <w:p w14:paraId="20C59193"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3. Context Dilution: </w:t>
      </w:r>
      <w:r w:rsidRPr="00C070E5">
        <w:rPr>
          <w:rFonts w:ascii="Times New Roman" w:hAnsi="Times New Roman" w:cs="Times New Roman"/>
          <w:color w:val="000000" w:themeColor="text1"/>
        </w:rPr>
        <w:t>Ingesting complete 15-page academic papers violates optimal transformer attention distributions.</w:t>
      </w:r>
    </w:p>
    <w:p w14:paraId="566E815A"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Our Proposed Contribution: ARA introduces an integrated, two-stage hybrid retrieval framework that dynamically decomposes research topics, queries heterogeneous scholarly APIs, applies pure-Python BM25 and dense vector ranking, segments PDFs into high-signal empirical passages, and preserves exact character-level quote provenance.</w:t>
      </w:r>
    </w:p>
    <w:p w14:paraId="68654870" w14:textId="77777777" w:rsidR="002E6041" w:rsidRPr="00C070E5" w:rsidRDefault="00000000" w:rsidP="005D69FF">
      <w:pPr>
        <w:keepNext/>
        <w:spacing w:before="320" w:after="12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30"/>
        </w:rPr>
        <w:t>3. Project Objectives</w:t>
      </w:r>
    </w:p>
    <w:p w14:paraId="1098DC5D"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3.1 Main Objective</w:t>
      </w:r>
    </w:p>
    <w:p w14:paraId="534A8FEF"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To develop an autonomous, evidence-driven multi-agent research agent that systematically plans academic inquiries, retrieves and indexes scientific literature across heterogeneous providers, segments and re-ranks empirical passages, and validates findings to generate structured, citation-grounded research reports.</w:t>
      </w:r>
    </w:p>
    <w:p w14:paraId="6E80ADD8"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3.2 Phase-Wise Sub-Objectives (Mid-Term vs. End-Term Scope)</w:t>
      </w:r>
    </w:p>
    <w:p w14:paraId="599A387E" w14:textId="77777777" w:rsidR="002E6041" w:rsidRPr="00C070E5" w:rsidRDefault="00000000" w:rsidP="005D69FF">
      <w:pPr>
        <w:keepNext/>
        <w:spacing w:before="180"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3"/>
        </w:rPr>
        <w:t>Mid-Term Evaluation Objectives (Completed &amp; Implemented)</w:t>
      </w:r>
    </w:p>
    <w:p w14:paraId="0C7631E3"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 Inquiry Decomposition &amp; Planning (Phase 1): </w:t>
      </w:r>
      <w:r w:rsidRPr="00C070E5">
        <w:rPr>
          <w:rFonts w:ascii="Times New Roman" w:hAnsi="Times New Roman" w:cs="Times New Roman"/>
          <w:color w:val="000000" w:themeColor="text1"/>
        </w:rPr>
        <w:t>Develop an autonomous planning agent that parses broad user topics into domain classifications (Technical, Biomedical, Legal), structured sub-questions, working hypotheses, competing hypotheses, and falsification criteria.</w:t>
      </w:r>
    </w:p>
    <w:p w14:paraId="2D648B76"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2. Tri-Provider Academic Discovery (Phase 2A): </w:t>
      </w:r>
      <w:r w:rsidRPr="00C070E5">
        <w:rPr>
          <w:rFonts w:ascii="Times New Roman" w:hAnsi="Times New Roman" w:cs="Times New Roman"/>
          <w:color w:val="000000" w:themeColor="text1"/>
        </w:rPr>
        <w:t>Engineer concurrent search connectors across Tavily (Web), OpenAlex (Scholarly Works), and Semantic Scholar (Academic Graph) with automatic rate-limit resilience.</w:t>
      </w:r>
    </w:p>
    <w:p w14:paraId="0546F7FA"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3. Multi-Key Deduplication Engine (Phase 2B): </w:t>
      </w:r>
      <w:r w:rsidRPr="00C070E5">
        <w:rPr>
          <w:rFonts w:ascii="Times New Roman" w:hAnsi="Times New Roman" w:cs="Times New Roman"/>
          <w:color w:val="000000" w:themeColor="text1"/>
        </w:rPr>
        <w:t>Build a canonicalization engine that resolves duplicate preprints and journal articles across DOIs, arXiv IDs, normalized URLs, and fuzzy title matching.</w:t>
      </w:r>
    </w:p>
    <w:p w14:paraId="0EA3D796" w14:textId="7B34AA81"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lastRenderedPageBreak/>
        <w:t xml:space="preserve">4. Semantic Indexing &amp; Two-Stage Filtering (Phase 2B): </w:t>
      </w:r>
      <w:r w:rsidRPr="00C070E5">
        <w:rPr>
          <w:rFonts w:ascii="Times New Roman" w:hAnsi="Times New Roman" w:cs="Times New Roman"/>
          <w:color w:val="000000" w:themeColor="text1"/>
        </w:rPr>
        <w:t>Implement a pure-Python Information Retrieval pipeline (stop words, 5-stage Porter stemmer, BM25 inverted index, dense vector embeddings via Gemini, and cosine similarity) that filters ~500 candidates down to 35, dropping embedding API calls by &gt;90%.</w:t>
      </w:r>
    </w:p>
    <w:p w14:paraId="3E925DF3"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5. Sliding-Window PDF Passage Chunking (Phase 2C): </w:t>
      </w:r>
      <w:r w:rsidRPr="00C070E5">
        <w:rPr>
          <w:rFonts w:ascii="Times New Roman" w:hAnsi="Times New Roman" w:cs="Times New Roman"/>
          <w:color w:val="000000" w:themeColor="text1"/>
        </w:rPr>
        <w:t>Build an automated document segmentation algorithm (350-word window, 50-word overlap) for arXiv PDFs that extracts the top 5 high-density empirical paragraphs to prevent context dilution.</w:t>
      </w:r>
    </w:p>
    <w:p w14:paraId="5C9AC0FA" w14:textId="77777777" w:rsidR="002E6041" w:rsidRPr="00C070E5" w:rsidRDefault="00000000" w:rsidP="005D69FF">
      <w:pPr>
        <w:keepNext/>
        <w:spacing w:before="180"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3"/>
        </w:rPr>
        <w:t>End-Term Evaluation Objectives (Planned for Major Project Part 2)</w:t>
      </w:r>
    </w:p>
    <w:p w14:paraId="37EA2138" w14:textId="352E0599" w:rsidR="002E6041" w:rsidRPr="00C070E5" w:rsidRDefault="00BF25F8" w:rsidP="005D69FF">
      <w:pPr>
        <w:spacing w:line="360" w:lineRule="auto"/>
        <w:ind w:left="360"/>
        <w:rPr>
          <w:rFonts w:ascii="Times New Roman" w:hAnsi="Times New Roman" w:cs="Times New Roman"/>
          <w:color w:val="000000" w:themeColor="text1"/>
        </w:rPr>
      </w:pPr>
      <w:r>
        <w:rPr>
          <w:rFonts w:ascii="Times New Roman" w:hAnsi="Times New Roman" w:cs="Times New Roman"/>
          <w:b/>
          <w:color w:val="000000" w:themeColor="text1"/>
        </w:rPr>
        <w:t>6</w:t>
      </w:r>
      <w:r w:rsidRPr="00C070E5">
        <w:rPr>
          <w:rFonts w:ascii="Times New Roman" w:hAnsi="Times New Roman" w:cs="Times New Roman"/>
          <w:b/>
          <w:color w:val="000000" w:themeColor="text1"/>
        </w:rPr>
        <w:t xml:space="preserve">. Evidence Validation Layer (Phase 3): </w:t>
      </w:r>
      <w:r w:rsidRPr="00C070E5">
        <w:rPr>
          <w:rFonts w:ascii="Times New Roman" w:hAnsi="Times New Roman" w:cs="Times New Roman"/>
          <w:color w:val="000000" w:themeColor="text1"/>
        </w:rPr>
        <w:t>Implement sentence-level Natural Language Inference (NLI) to audit extracted claims against raw source text and detect empirical contradictions between opposing studies.</w:t>
      </w:r>
    </w:p>
    <w:p w14:paraId="2C09387D" w14:textId="4F110648" w:rsidR="002E6041" w:rsidRPr="00C070E5" w:rsidRDefault="00BF25F8" w:rsidP="005D69FF">
      <w:pPr>
        <w:spacing w:line="360" w:lineRule="auto"/>
        <w:ind w:left="360"/>
        <w:rPr>
          <w:rFonts w:ascii="Times New Roman" w:hAnsi="Times New Roman" w:cs="Times New Roman"/>
          <w:color w:val="000000" w:themeColor="text1"/>
        </w:rPr>
      </w:pPr>
      <w:r>
        <w:rPr>
          <w:rFonts w:ascii="Times New Roman" w:hAnsi="Times New Roman" w:cs="Times New Roman"/>
          <w:b/>
          <w:color w:val="000000" w:themeColor="text1"/>
        </w:rPr>
        <w:t>7.</w:t>
      </w:r>
      <w:r w:rsidRPr="00C070E5">
        <w:rPr>
          <w:rFonts w:ascii="Times New Roman" w:hAnsi="Times New Roman" w:cs="Times New Roman"/>
          <w:b/>
          <w:color w:val="000000" w:themeColor="text1"/>
        </w:rPr>
        <w:t xml:space="preserve"> Autonomous Iterative Re-Search Loop (Phase 3): </w:t>
      </w:r>
      <w:r w:rsidRPr="00C070E5">
        <w:rPr>
          <w:rFonts w:ascii="Times New Roman" w:hAnsi="Times New Roman" w:cs="Times New Roman"/>
          <w:color w:val="000000" w:themeColor="text1"/>
        </w:rPr>
        <w:t>Build an evidence sufficiency scorecard that automatically detects gaps in quantitative data or counter-evidence and initiates targeted query rounds.</w:t>
      </w:r>
    </w:p>
    <w:p w14:paraId="78C8D066" w14:textId="13FADE7E" w:rsidR="002E6041" w:rsidRPr="00C070E5" w:rsidRDefault="00BF25F8" w:rsidP="005D69FF">
      <w:pPr>
        <w:spacing w:line="360" w:lineRule="auto"/>
        <w:ind w:left="360"/>
        <w:rPr>
          <w:rFonts w:ascii="Times New Roman" w:hAnsi="Times New Roman" w:cs="Times New Roman"/>
          <w:color w:val="000000" w:themeColor="text1"/>
        </w:rPr>
      </w:pPr>
      <w:r>
        <w:rPr>
          <w:rFonts w:ascii="Times New Roman" w:hAnsi="Times New Roman" w:cs="Times New Roman"/>
          <w:b/>
          <w:color w:val="000000" w:themeColor="text1"/>
        </w:rPr>
        <w:t>8</w:t>
      </w:r>
      <w:r w:rsidRPr="00C070E5">
        <w:rPr>
          <w:rFonts w:ascii="Times New Roman" w:hAnsi="Times New Roman" w:cs="Times New Roman"/>
          <w:b/>
          <w:color w:val="000000" w:themeColor="text1"/>
        </w:rPr>
        <w:t xml:space="preserve">. Calibrated Epistemic Report Synthesis (Phase 4): </w:t>
      </w:r>
      <w:r w:rsidRPr="00C070E5">
        <w:rPr>
          <w:rFonts w:ascii="Times New Roman" w:hAnsi="Times New Roman" w:cs="Times New Roman"/>
          <w:color w:val="000000" w:themeColor="text1"/>
        </w:rPr>
        <w:t>Develop a calibrated synthesis engine that assigns explicit confidence scores (High, Moderate, Inconclusive) and deterministic citations [1], [2].</w:t>
      </w:r>
    </w:p>
    <w:p w14:paraId="4AEFD3B6" w14:textId="198B9DAF" w:rsidR="002E6041" w:rsidRPr="00C070E5" w:rsidRDefault="00BF25F8" w:rsidP="005D69FF">
      <w:pPr>
        <w:spacing w:line="360" w:lineRule="auto"/>
        <w:ind w:left="360"/>
        <w:rPr>
          <w:rFonts w:ascii="Times New Roman" w:hAnsi="Times New Roman" w:cs="Times New Roman"/>
          <w:color w:val="000000" w:themeColor="text1"/>
        </w:rPr>
      </w:pPr>
      <w:r>
        <w:rPr>
          <w:rFonts w:ascii="Times New Roman" w:hAnsi="Times New Roman" w:cs="Times New Roman"/>
          <w:b/>
          <w:color w:val="000000" w:themeColor="text1"/>
        </w:rPr>
        <w:t>9</w:t>
      </w:r>
      <w:r w:rsidRPr="00C070E5">
        <w:rPr>
          <w:rFonts w:ascii="Times New Roman" w:hAnsi="Times New Roman" w:cs="Times New Roman"/>
          <w:b/>
          <w:color w:val="000000" w:themeColor="text1"/>
        </w:rPr>
        <w:t xml:space="preserve">. Headless PDF Compilation (Phase 4): </w:t>
      </w:r>
      <w:r w:rsidRPr="00C070E5">
        <w:rPr>
          <w:rFonts w:ascii="Times New Roman" w:hAnsi="Times New Roman" w:cs="Times New Roman"/>
          <w:color w:val="000000" w:themeColor="text1"/>
        </w:rPr>
        <w:t>Integrate WeasyPrint to directly compile publication-ready PDF documents from generated HTML reports.</w:t>
      </w:r>
    </w:p>
    <w:p w14:paraId="6D99D44A" w14:textId="77777777" w:rsidR="002E6041" w:rsidRPr="00C070E5" w:rsidRDefault="00000000" w:rsidP="005D69FF">
      <w:pPr>
        <w:keepNext/>
        <w:spacing w:before="320" w:after="12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30"/>
        </w:rPr>
        <w:t>4. Methodology &amp; System Architecture</w:t>
      </w:r>
    </w:p>
    <w:p w14:paraId="41721FA8"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4.1 Software Engineering Process Model</w:t>
      </w:r>
    </w:p>
    <w:p w14:paraId="523544C6"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project adheres to an Agile / Iterative Software Development Model. Because multi-agent LLM systems involve complex interactions between heuristic algorithms, external network APIs, and non-deterministic model completions, an iterative lifecycle allows isolated unit testing and algorithmic benchmarking of individual pipeline stages. Phases 1 and 2 were engineered, verified with automated unit tests, and integrated sequentially.</w:t>
      </w:r>
    </w:p>
    <w:p w14:paraId="609C4A7A"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4.2 System Architecture Overview</w:t>
      </w:r>
    </w:p>
    <w:p w14:paraId="66E20F66"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complete end-to-end architecture is divided into four distinct phases, clearly delineating our completed Mid-Term deliverables from our planned End-Term modules:</w:t>
      </w:r>
    </w:p>
    <w:p w14:paraId="345956D1" w14:textId="73CB3036" w:rsidR="002E6041" w:rsidRPr="00C070E5" w:rsidRDefault="00D82DB2" w:rsidP="005D69FF">
      <w:pPr>
        <w:spacing w:after="120" w:line="360" w:lineRule="auto"/>
        <w:rPr>
          <w:rFonts w:ascii="Times New Roman" w:hAnsi="Times New Roman" w:cs="Times New Roman"/>
          <w:color w:val="000000" w:themeColor="text1"/>
        </w:rPr>
      </w:pPr>
      <w:r>
        <w:rPr>
          <w:noProof/>
        </w:rPr>
        <w:lastRenderedPageBreak/>
        <w:drawing>
          <wp:inline distT="0" distB="0" distL="0" distR="0" wp14:anchorId="68E5EAE2" wp14:editId="4FA428C2">
            <wp:extent cx="5943600" cy="3962400"/>
            <wp:effectExtent l="0" t="0" r="0" b="0"/>
            <wp:docPr id="62947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26464AB"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4.3 Phase 1: Planning &amp; Schema Contract (Completed)</w:t>
      </w:r>
    </w:p>
    <w:p w14:paraId="4076DEAB"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Research Planner (planner/planner.py) accepts open-ended user inquiries and structures them into actionable research contracts. Using temperature-controlled prompting against Gemini, the planner performs:</w:t>
      </w:r>
    </w:p>
    <w:p w14:paraId="2B492B33"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 Domain Classification: </w:t>
      </w:r>
      <w:r w:rsidRPr="00C070E5">
        <w:rPr>
          <w:rFonts w:ascii="Times New Roman" w:hAnsi="Times New Roman" w:cs="Times New Roman"/>
          <w:color w:val="000000" w:themeColor="text1"/>
        </w:rPr>
        <w:t>Maps the topic into domain categories (Technical, Biomedical, Legal, General) to calibrate retrieval parameters.</w:t>
      </w:r>
    </w:p>
    <w:p w14:paraId="310B1EA4"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2. Sub-Question Decomposition: </w:t>
      </w:r>
      <w:r w:rsidRPr="00C070E5">
        <w:rPr>
          <w:rFonts w:ascii="Times New Roman" w:hAnsi="Times New Roman" w:cs="Times New Roman"/>
          <w:color w:val="000000" w:themeColor="text1"/>
        </w:rPr>
        <w:t>Formulates 3–5 orthogonal sub-questions addressing distinct facets of the inquiry (foundations, architectural mechanisms, empirical benchmarks, and trade-offs).</w:t>
      </w:r>
    </w:p>
    <w:p w14:paraId="12A34EA0"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3. Hypothesis &amp; Falsification Specification: </w:t>
      </w:r>
      <w:r w:rsidRPr="00C070E5">
        <w:rPr>
          <w:rFonts w:ascii="Times New Roman" w:hAnsi="Times New Roman" w:cs="Times New Roman"/>
          <w:color w:val="000000" w:themeColor="text1"/>
        </w:rPr>
        <w:t>Formulates both a primary working hypothesis and competing counter-hypotheses, specifying unambiguous empirical falsification criteria.</w:t>
      </w:r>
    </w:p>
    <w:p w14:paraId="1E0C09D2"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4. Formal Contract Output: </w:t>
      </w:r>
      <w:r w:rsidRPr="00C070E5">
        <w:rPr>
          <w:rFonts w:ascii="Times New Roman" w:hAnsi="Times New Roman" w:cs="Times New Roman"/>
          <w:color w:val="000000" w:themeColor="text1"/>
        </w:rPr>
        <w:t>Serializes the planning specifications to data/research_plan.json, establishing strict execution bounds for subsequent retrieval.</w:t>
      </w:r>
    </w:p>
    <w:p w14:paraId="4EE191E2" w14:textId="08FBDCD5"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lastRenderedPageBreak/>
        <w:t>4.4 Phase 2: Tri-Source Discovery &amp; Semantic Indexing (Completed)</w:t>
      </w:r>
    </w:p>
    <w:p w14:paraId="3EA667B7"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Phase 2 executes multi-source discovery, filtering, and localized document re-ranking. Rather than relying solely on naive web search, the retrieval engine coordinates three independent source providers:</w:t>
      </w:r>
    </w:p>
    <w:p w14:paraId="10E59E71"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Tavily Search API: </w:t>
      </w:r>
      <w:r w:rsidRPr="00C070E5">
        <w:rPr>
          <w:rFonts w:ascii="Times New Roman" w:hAnsi="Times New Roman" w:cs="Times New Roman"/>
          <w:color w:val="000000" w:themeColor="text1"/>
        </w:rPr>
        <w:t>Performs web exploration, gathering preprints, engineering technical whitepapers, and contemporary benchmarks.</w:t>
      </w:r>
    </w:p>
    <w:p w14:paraId="53FC090D"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OpenAlex Scientific Index: </w:t>
      </w:r>
      <w:r w:rsidRPr="00C070E5">
        <w:rPr>
          <w:rFonts w:ascii="Times New Roman" w:hAnsi="Times New Roman" w:cs="Times New Roman"/>
          <w:color w:val="000000" w:themeColor="text1"/>
        </w:rPr>
        <w:t>Queries scholarly records, harvesting paper abstracts, publication venues, open-access full-text URLs, and citation statistics.</w:t>
      </w:r>
    </w:p>
    <w:p w14:paraId="06F413D0"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Semantic Scholar Graph API: </w:t>
      </w:r>
      <w:r w:rsidRPr="00C070E5">
        <w:rPr>
          <w:rFonts w:ascii="Times New Roman" w:hAnsi="Times New Roman" w:cs="Times New Roman"/>
          <w:color w:val="000000" w:themeColor="text1"/>
        </w:rPr>
        <w:t>Accesses academic paper metadata and citation graphs, equipped with automatic fallback to web discovery under unauthenticated rate limits.</w:t>
      </w:r>
    </w:p>
    <w:p w14:paraId="5CA8CF1A" w14:textId="7908ACB3" w:rsidR="002E6041" w:rsidRPr="00C070E5" w:rsidRDefault="00000000" w:rsidP="005D69FF">
      <w:pPr>
        <w:keepNext/>
        <w:spacing w:before="180"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3"/>
        </w:rPr>
        <w:t>The Semantic Indexing Pipeline</w:t>
      </w:r>
    </w:p>
    <w:p w14:paraId="531E0FA8"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To guarantee high retrieval precision while optimizing API costs, all discovered candidates pass through our localized Information Retrieval pipeline (search_agent/semantic_indexer.py):</w:t>
      </w:r>
    </w:p>
    <w:p w14:paraId="434B797F"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 Step 1: Stop-Word Removal: </w:t>
      </w:r>
      <w:r w:rsidRPr="00C070E5">
        <w:rPr>
          <w:rFonts w:ascii="Times New Roman" w:hAnsi="Times New Roman" w:cs="Times New Roman"/>
          <w:color w:val="000000" w:themeColor="text1"/>
        </w:rPr>
        <w:t>Eliminates non-informative grammatical tokens from candidate titles and abstracts using a tailored stop-word lexicon.</w:t>
      </w:r>
    </w:p>
    <w:p w14:paraId="4180D255"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2. Step 2: Pure-Python Porter Stemming: </w:t>
      </w:r>
      <w:r w:rsidRPr="00C070E5">
        <w:rPr>
          <w:rFonts w:ascii="Times New Roman" w:hAnsi="Times New Roman" w:cs="Times New Roman"/>
          <w:color w:val="000000" w:themeColor="text1"/>
        </w:rPr>
        <w:t>Executes a 5-stage algorithmic morphological suffix-stripping routine (conforming strictly to Porter, 1980) without requiring external compiled C-libraries (such as NLTK), ensuring 100% portable execution.</w:t>
      </w:r>
    </w:p>
    <w:p w14:paraId="0611CE84"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3. Step 3: Inverted Index &amp; BM25 Scoring: </w:t>
      </w:r>
      <w:r w:rsidRPr="00C070E5">
        <w:rPr>
          <w:rFonts w:ascii="Times New Roman" w:hAnsi="Times New Roman" w:cs="Times New Roman"/>
          <w:color w:val="000000" w:themeColor="text1"/>
        </w:rPr>
        <w:t>Constructs an in-memory inverted index mapping stemmed terms to document posting lists. It computes probabilistic BM25 scores parameterized with standard saturation (k1 = 1.5) and document length normalization (b = 0.75).</w:t>
      </w:r>
    </w:p>
    <w:p w14:paraId="742C43F0"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4. Step 4: Two-Stage Filtering &amp; Dense Vector Embedding: </w:t>
      </w:r>
      <w:r w:rsidRPr="00C070E5">
        <w:rPr>
          <w:rFonts w:ascii="Times New Roman" w:hAnsi="Times New Roman" w:cs="Times New Roman"/>
          <w:color w:val="000000" w:themeColor="text1"/>
        </w:rPr>
        <w:t>Instead of embedding all ~500 discovered candidates, BM25 coarse filtering instantly narrows the candidate pool down to the top 35 candidates. Only these 35 high-probability candidates are embedded into 768/3072-dimensional vector representations via Gemini (text-embedding-004).</w:t>
      </w:r>
    </w:p>
    <w:p w14:paraId="613751E9"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5. Step 5: Cosine Similarity Matching: </w:t>
      </w:r>
      <w:r w:rsidRPr="00C070E5">
        <w:rPr>
          <w:rFonts w:ascii="Times New Roman" w:hAnsi="Times New Roman" w:cs="Times New Roman"/>
          <w:color w:val="000000" w:themeColor="text1"/>
        </w:rPr>
        <w:t>Calculates the normalized dot product between the dense embedding of the Planner's sub-question and candidate vectors.</w:t>
      </w:r>
    </w:p>
    <w:p w14:paraId="224E3E13"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6. Step 6: Prompt-Aligned Re-ranking: </w:t>
      </w:r>
      <w:r w:rsidRPr="00C070E5">
        <w:rPr>
          <w:rFonts w:ascii="Times New Roman" w:hAnsi="Times New Roman" w:cs="Times New Roman"/>
          <w:color w:val="000000" w:themeColor="text1"/>
        </w:rPr>
        <w:t>Combines lexical BM25 scores (35% weight) and dense semantic cosine similarity (65% weight) to produce the final Top 10 candidate sources.</w:t>
      </w:r>
    </w:p>
    <w:p w14:paraId="2EB01DFE" w14:textId="77777777" w:rsidR="002E6041" w:rsidRPr="00C070E5" w:rsidRDefault="00000000" w:rsidP="005D69FF">
      <w:pPr>
        <w:keepNext/>
        <w:spacing w:before="180"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3"/>
        </w:rPr>
        <w:t>Deep PDF Passage Chunking</w:t>
      </w:r>
    </w:p>
    <w:p w14:paraId="357B70DE"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 xml:space="preserve">When full-text arXiv scientific preprints are parsed via pypdf, documents frequently span 10,000 to 15,000 words. Ingesting full documents directly into language models leads to catastrophic attention </w:t>
      </w:r>
      <w:r w:rsidRPr="00C070E5">
        <w:rPr>
          <w:rFonts w:ascii="Times New Roman" w:hAnsi="Times New Roman" w:cs="Times New Roman"/>
          <w:color w:val="000000" w:themeColor="text1"/>
        </w:rPr>
        <w:lastRenderedPageBreak/>
        <w:t>decay (Liu et al., 2024). To eliminate this failure mode, Phase 2 implements sliding-window passage chunking:</w:t>
      </w:r>
    </w:p>
    <w:p w14:paraId="5BA5B516"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Full-text documents ≥ 3,500 characters are segmented into 350-word passages with a 50-word sliding overlap, preserving contextual coherence across paragraph boundaries.</w:t>
      </w:r>
    </w:p>
    <w:p w14:paraId="7F20EEEC"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Each passage is scored against the sub-question prompt using our hybrid indexing algorithm.</w:t>
      </w:r>
    </w:p>
    <w:p w14:paraId="2D7ABD16"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Only the top 5 highest-signal passages (containing concrete empirical data, benchmark tables, and conclusions) are extracted and delivered to the evidence extractor, reducing prompt token bloat by 70%.</w:t>
      </w:r>
    </w:p>
    <w:p w14:paraId="58B4B774"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4.5 Phase 3: Evidence Validation &amp; Iterative Feedback (Planned for End-Term)</w:t>
      </w:r>
    </w:p>
    <w:p w14:paraId="27EEBB67"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Phase 3 constitutes our primary development milestone for Major Project Part 2. The Evidence Validator will enforce strict claim-to-evidence grounding by auditing extracted claims character-for-character against raw full-text papers to eliminate subtle hallucinations. It will compute an Evidence Sufficiency Scorecard checking whether counter-evidence quotas and quantitative requirements are met. When deficiencies are flagged, the agent will autonomously formulate targeted re-search queries and iterate until sufficient evidence is assembled.</w:t>
      </w:r>
    </w:p>
    <w:p w14:paraId="0C98253B"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4.6 Phase 4: Calibrated Synthesis &amp; Report Generation (Planned for End-Term)</w:t>
      </w:r>
    </w:p>
    <w:p w14:paraId="43D8EE7F"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Phase 4 will synthesize validated evidence into comprehensive academic research reports. It will implement epistemic confidence calibration (scoring conclusions from 0.0 to 1.0 based on peer-reviewed consensus and sample sizes), assign deterministic numerical citation anchors ([1], [2]), and integrate WeasyPrint for direct headless PDF compilation.</w:t>
      </w:r>
    </w:p>
    <w:p w14:paraId="74426276" w14:textId="77777777" w:rsidR="002E6041" w:rsidRPr="00C070E5" w:rsidRDefault="00000000" w:rsidP="005D69FF">
      <w:pPr>
        <w:keepNext/>
        <w:spacing w:before="320" w:after="12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30"/>
        </w:rPr>
        <w:t>5. Working Model &amp; Implementation Deliverables</w:t>
      </w:r>
    </w:p>
    <w:p w14:paraId="31C85163"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5.1 Implemented Software Modules</w:t>
      </w:r>
    </w:p>
    <w:p w14:paraId="6CE71B01"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All Phase 1 and Phase 2 modules have been fully implemented in Python and committed to the repository (branch: main). The codebase is organized as follows:</w:t>
      </w:r>
    </w:p>
    <w:tbl>
      <w:tblPr>
        <w:tblStyle w:val="TableGrid"/>
        <w:tblW w:w="0" w:type="auto"/>
        <w:tblLook w:val="04A0" w:firstRow="1" w:lastRow="0" w:firstColumn="1" w:lastColumn="0" w:noHBand="0" w:noVBand="1"/>
      </w:tblPr>
      <w:tblGrid>
        <w:gridCol w:w="3158"/>
        <w:gridCol w:w="2153"/>
        <w:gridCol w:w="4020"/>
      </w:tblGrid>
      <w:tr w:rsidR="002E6041" w:rsidRPr="00C070E5" w14:paraId="13D537AD" w14:textId="77777777" w:rsidTr="00C070E5">
        <w:trPr>
          <w:trHeight w:val="320"/>
        </w:trPr>
        <w:tc>
          <w:tcPr>
            <w:tcW w:w="3158" w:type="dxa"/>
          </w:tcPr>
          <w:p w14:paraId="7903DF9C"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0"/>
              </w:rPr>
              <w:t>Module File</w:t>
            </w:r>
          </w:p>
        </w:tc>
        <w:tc>
          <w:tcPr>
            <w:tcW w:w="2153" w:type="dxa"/>
          </w:tcPr>
          <w:p w14:paraId="24A65364"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0"/>
              </w:rPr>
              <w:t>Phase</w:t>
            </w:r>
          </w:p>
        </w:tc>
        <w:tc>
          <w:tcPr>
            <w:tcW w:w="4020" w:type="dxa"/>
          </w:tcPr>
          <w:p w14:paraId="1BD9F693"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0"/>
              </w:rPr>
              <w:t>Functional Responsibility</w:t>
            </w:r>
          </w:p>
        </w:tc>
      </w:tr>
      <w:tr w:rsidR="002E6041" w:rsidRPr="00C070E5" w14:paraId="5729EA0C" w14:textId="77777777" w:rsidTr="00C070E5">
        <w:trPr>
          <w:trHeight w:val="726"/>
        </w:trPr>
        <w:tc>
          <w:tcPr>
            <w:tcW w:w="3158" w:type="dxa"/>
          </w:tcPr>
          <w:p w14:paraId="75C5AC41"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7"/>
              </w:rPr>
              <w:t>planner/planner.py</w:t>
            </w:r>
          </w:p>
        </w:tc>
        <w:tc>
          <w:tcPr>
            <w:tcW w:w="2153" w:type="dxa"/>
          </w:tcPr>
          <w:p w14:paraId="3B6E3399"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Phase 1 (Completed)</w:t>
            </w:r>
          </w:p>
        </w:tc>
        <w:tc>
          <w:tcPr>
            <w:tcW w:w="4020" w:type="dxa"/>
          </w:tcPr>
          <w:p w14:paraId="0DBE4356"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Domain detection, sub-question decomposition, hypothesis generation, and data/research_plan.json contract formulation.</w:t>
            </w:r>
          </w:p>
        </w:tc>
      </w:tr>
      <w:tr w:rsidR="002E6041" w:rsidRPr="00C070E5" w14:paraId="366B30D6" w14:textId="77777777" w:rsidTr="00C070E5">
        <w:trPr>
          <w:trHeight w:val="726"/>
        </w:trPr>
        <w:tc>
          <w:tcPr>
            <w:tcW w:w="3158" w:type="dxa"/>
          </w:tcPr>
          <w:p w14:paraId="7E04A3D9"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7"/>
              </w:rPr>
              <w:lastRenderedPageBreak/>
              <w:t>search_agent/search_engine.py</w:t>
            </w:r>
          </w:p>
        </w:tc>
        <w:tc>
          <w:tcPr>
            <w:tcW w:w="2153" w:type="dxa"/>
          </w:tcPr>
          <w:p w14:paraId="130EC5B4"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Phase 2 (Completed)</w:t>
            </w:r>
          </w:p>
        </w:tc>
        <w:tc>
          <w:tcPr>
            <w:tcW w:w="4020" w:type="dxa"/>
          </w:tcPr>
          <w:p w14:paraId="38C34642"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Unified asynchronous discovery layer querying Tavily, OpenAlex, and Semantic Scholar with rate-limit resilience.</w:t>
            </w:r>
          </w:p>
        </w:tc>
      </w:tr>
      <w:tr w:rsidR="002E6041" w:rsidRPr="00C070E5" w14:paraId="632C890C" w14:textId="77777777" w:rsidTr="00C070E5">
        <w:trPr>
          <w:trHeight w:val="516"/>
        </w:trPr>
        <w:tc>
          <w:tcPr>
            <w:tcW w:w="3158" w:type="dxa"/>
          </w:tcPr>
          <w:p w14:paraId="493D59EF"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7"/>
              </w:rPr>
              <w:t>search_agent/sources.py</w:t>
            </w:r>
          </w:p>
        </w:tc>
        <w:tc>
          <w:tcPr>
            <w:tcW w:w="2153" w:type="dxa"/>
          </w:tcPr>
          <w:p w14:paraId="51AFF7A5"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Phase 2 (Completed)</w:t>
            </w:r>
          </w:p>
        </w:tc>
        <w:tc>
          <w:tcPr>
            <w:tcW w:w="4020" w:type="dxa"/>
          </w:tcPr>
          <w:p w14:paraId="66BC5C44"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Multi-key deduplication resolving DOIs, arXiv IDs, canonical URLs, and fuzzy title matching.</w:t>
            </w:r>
          </w:p>
        </w:tc>
      </w:tr>
      <w:tr w:rsidR="002E6041" w:rsidRPr="00C070E5" w14:paraId="7F62CF51" w14:textId="77777777" w:rsidTr="00C070E5">
        <w:trPr>
          <w:trHeight w:val="726"/>
        </w:trPr>
        <w:tc>
          <w:tcPr>
            <w:tcW w:w="3158" w:type="dxa"/>
          </w:tcPr>
          <w:p w14:paraId="3E92843A"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7"/>
              </w:rPr>
              <w:t>search_agent/semantic_indexer.py</w:t>
            </w:r>
          </w:p>
        </w:tc>
        <w:tc>
          <w:tcPr>
            <w:tcW w:w="2153" w:type="dxa"/>
          </w:tcPr>
          <w:p w14:paraId="15E76A02"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Phase 2 (Completed)</w:t>
            </w:r>
          </w:p>
        </w:tc>
        <w:tc>
          <w:tcPr>
            <w:tcW w:w="4020" w:type="dxa"/>
          </w:tcPr>
          <w:p w14:paraId="69DA8665"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6-step IR engine: stop-word filtering, Porter stemmer, BM25 inverted index, vector embeddings, cosine ranking, and PDF sliding-window chunker.</w:t>
            </w:r>
          </w:p>
        </w:tc>
      </w:tr>
      <w:tr w:rsidR="002E6041" w:rsidRPr="00C070E5" w14:paraId="4C41BBCC" w14:textId="77777777" w:rsidTr="00C070E5">
        <w:trPr>
          <w:trHeight w:val="504"/>
        </w:trPr>
        <w:tc>
          <w:tcPr>
            <w:tcW w:w="3158" w:type="dxa"/>
          </w:tcPr>
          <w:p w14:paraId="0CB85595"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7"/>
              </w:rPr>
              <w:t>search_agent/content_retriever.py</w:t>
            </w:r>
          </w:p>
        </w:tc>
        <w:tc>
          <w:tcPr>
            <w:tcW w:w="2153" w:type="dxa"/>
          </w:tcPr>
          <w:p w14:paraId="16B7F20C"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Phase 2 (Completed)</w:t>
            </w:r>
          </w:p>
        </w:tc>
        <w:tc>
          <w:tcPr>
            <w:tcW w:w="4020" w:type="dxa"/>
          </w:tcPr>
          <w:p w14:paraId="29CD83B0"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Full-text arXiv PDF download and parsing via pypdf.</w:t>
            </w:r>
          </w:p>
        </w:tc>
      </w:tr>
      <w:tr w:rsidR="002E6041" w:rsidRPr="00C070E5" w14:paraId="418442D8" w14:textId="77777777" w:rsidTr="00C070E5">
        <w:trPr>
          <w:trHeight w:val="516"/>
        </w:trPr>
        <w:tc>
          <w:tcPr>
            <w:tcW w:w="3158" w:type="dxa"/>
          </w:tcPr>
          <w:p w14:paraId="10CE582E"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7"/>
              </w:rPr>
              <w:t>search_agent/evidence_extractor.py</w:t>
            </w:r>
          </w:p>
        </w:tc>
        <w:tc>
          <w:tcPr>
            <w:tcW w:w="2153" w:type="dxa"/>
          </w:tcPr>
          <w:p w14:paraId="571992BC"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Phase 2 (Completed)</w:t>
            </w:r>
          </w:p>
        </w:tc>
        <w:tc>
          <w:tcPr>
            <w:tcW w:w="4020" w:type="dxa"/>
          </w:tcPr>
          <w:p w14:paraId="0B1F0EB7"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Passage-level empirical fact, quote, and quantitative finding extraction.</w:t>
            </w:r>
          </w:p>
        </w:tc>
      </w:tr>
    </w:tbl>
    <w:p w14:paraId="229CC8BB" w14:textId="77777777" w:rsidR="002E6041" w:rsidRPr="00C070E5" w:rsidRDefault="002E6041" w:rsidP="005D69FF">
      <w:pPr>
        <w:spacing w:line="360" w:lineRule="auto"/>
        <w:rPr>
          <w:rFonts w:ascii="Times New Roman" w:hAnsi="Times New Roman" w:cs="Times New Roman"/>
          <w:color w:val="000000" w:themeColor="text1"/>
        </w:rPr>
      </w:pPr>
    </w:p>
    <w:p w14:paraId="73CD77E3"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5.2 Interactive Verification CLI &amp; Offline Demo Harness</w:t>
      </w:r>
    </w:p>
    <w:p w14:paraId="2C7D2405" w14:textId="33627181"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To facilitate rigorous demonstration during academic evaluations, modes</w:t>
      </w:r>
    </w:p>
    <w:p w14:paraId="57DBA4AA" w14:textId="728D7E9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Interactive Live CLI (main.py): </w:t>
      </w:r>
      <w:r w:rsidRPr="00C070E5">
        <w:rPr>
          <w:rFonts w:ascii="Times New Roman" w:hAnsi="Times New Roman" w:cs="Times New Roman"/>
          <w:color w:val="000000" w:themeColor="text1"/>
        </w:rPr>
        <w:t>A terminal interface built with rich, featuring animated progress bars, live provider status indicators, and streaming search metrics.</w:t>
      </w:r>
    </w:p>
    <w:p w14:paraId="3221D720" w14:textId="77777777" w:rsidR="002E6041" w:rsidRPr="00C070E5" w:rsidRDefault="00000000" w:rsidP="005D69FF">
      <w:pPr>
        <w:keepNext/>
        <w:spacing w:before="320" w:after="12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30"/>
        </w:rPr>
        <w:t>6. Experimental Results &amp; Performance Analysis</w:t>
      </w:r>
    </w:p>
    <w:p w14:paraId="5746A710"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6.1 Empirical Retrieval &amp; Deduplication Precision</w:t>
      </w:r>
    </w:p>
    <w:p w14:paraId="4C83F2BE"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system was evaluated against complex academic research prompts. During benchmark execution on open scientific questions, the discovery engine harvested 539 gross candidate sources across Tavily, OpenAlex, and Semantic Scholar.</w:t>
      </w:r>
    </w:p>
    <w:p w14:paraId="7D044C5F"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Our multi-key deduplication module processed the gross candidate pool, matching digital object identifiers, arXiv preprint identifiers, and canonical URL strings. The algorithm merged 42 redundant records, retaining 497 unique academic sources, representing a deduplication efficiency of 92.2%.</w:t>
      </w:r>
    </w:p>
    <w:p w14:paraId="28F2C130"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6.2 Two-Stage Optimization Benchmarks</w:t>
      </w:r>
    </w:p>
    <w:p w14:paraId="03EA1ED7"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In naive vector-retrieval architectures, generating dense vector embeddings for 500 candidate documents requires 500 individual embedding API calls, inducing high latency and risking HTTP 429 rate limits. Under our two-stage filtering pipeline:</w:t>
      </w:r>
    </w:p>
    <w:p w14:paraId="47ADCDC2"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lastRenderedPageBreak/>
        <w:t xml:space="preserve">Stage 1 (BM25 Coarse Filter): </w:t>
      </w:r>
      <w:r w:rsidRPr="00C070E5">
        <w:rPr>
          <w:rFonts w:ascii="Times New Roman" w:hAnsi="Times New Roman" w:cs="Times New Roman"/>
          <w:color w:val="000000" w:themeColor="text1"/>
        </w:rPr>
        <w:t>Evaluated locally on the CPU in 0.021 seconds, reducing the 497 unique candidates to the top 35 candidates.</w:t>
      </w:r>
    </w:p>
    <w:p w14:paraId="71BB7965" w14:textId="77777777" w:rsidR="002E6041" w:rsidRPr="00C070E5" w:rsidRDefault="00000000" w:rsidP="005D69FF">
      <w:pPr>
        <w:pStyle w:val="ListBullet"/>
        <w:spacing w:after="6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Stage 2 (Dense Re-Ranking): </w:t>
      </w:r>
      <w:r w:rsidRPr="00C070E5">
        <w:rPr>
          <w:rFonts w:ascii="Times New Roman" w:hAnsi="Times New Roman" w:cs="Times New Roman"/>
          <w:color w:val="000000" w:themeColor="text1"/>
        </w:rPr>
        <w:t>Dense vector embeddings were generated solely for the top 35 candidates, reducing embedding API consumption by 93.0%.</w:t>
      </w:r>
    </w:p>
    <w:p w14:paraId="402D0370"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6.3 Comparative Analysis: Naive RAG vs. Proposed Architecture</w:t>
      </w:r>
    </w:p>
    <w:tbl>
      <w:tblPr>
        <w:tblStyle w:val="TableGrid"/>
        <w:tblW w:w="10456" w:type="dxa"/>
        <w:tblLook w:val="04A0" w:firstRow="1" w:lastRow="0" w:firstColumn="1" w:lastColumn="0" w:noHBand="0" w:noVBand="1"/>
      </w:tblPr>
      <w:tblGrid>
        <w:gridCol w:w="2592"/>
        <w:gridCol w:w="3168"/>
        <w:gridCol w:w="4696"/>
      </w:tblGrid>
      <w:tr w:rsidR="002E6041" w:rsidRPr="00C070E5" w14:paraId="05F4E854" w14:textId="77777777" w:rsidTr="00D82DB2">
        <w:tc>
          <w:tcPr>
            <w:tcW w:w="2592" w:type="dxa"/>
          </w:tcPr>
          <w:p w14:paraId="19E9C152"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0"/>
              </w:rPr>
              <w:t>Evaluation Metric</w:t>
            </w:r>
          </w:p>
        </w:tc>
        <w:tc>
          <w:tcPr>
            <w:tcW w:w="3168" w:type="dxa"/>
          </w:tcPr>
          <w:p w14:paraId="37AA3444"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0"/>
              </w:rPr>
              <w:t>Conventional RAG / Naive Search</w:t>
            </w:r>
          </w:p>
        </w:tc>
        <w:tc>
          <w:tcPr>
            <w:tcW w:w="4696" w:type="dxa"/>
          </w:tcPr>
          <w:p w14:paraId="17A3E780"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0"/>
              </w:rPr>
              <w:t>ARA Implemented Architecture (Mid-Term)</w:t>
            </w:r>
          </w:p>
        </w:tc>
      </w:tr>
      <w:tr w:rsidR="002E6041" w:rsidRPr="00C070E5" w14:paraId="7B3B4E7B" w14:textId="77777777" w:rsidTr="00D82DB2">
        <w:tc>
          <w:tcPr>
            <w:tcW w:w="2592" w:type="dxa"/>
          </w:tcPr>
          <w:p w14:paraId="1F81954A"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18"/>
              </w:rPr>
              <w:t>Data Ingestion Diversity</w:t>
            </w:r>
          </w:p>
        </w:tc>
        <w:tc>
          <w:tcPr>
            <w:tcW w:w="3168" w:type="dxa"/>
          </w:tcPr>
          <w:p w14:paraId="49490941"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Single commercial search API (Google / Bing).</w:t>
            </w:r>
          </w:p>
        </w:tc>
        <w:tc>
          <w:tcPr>
            <w:tcW w:w="4696" w:type="dxa"/>
          </w:tcPr>
          <w:p w14:paraId="11F4E67F"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Tri-Provider: Tavily (Web), OpenAlex (Scholarly Works), Semantic Scholar (Academic Graph).</w:t>
            </w:r>
          </w:p>
        </w:tc>
      </w:tr>
      <w:tr w:rsidR="002E6041" w:rsidRPr="00C070E5" w14:paraId="6D96ABBF" w14:textId="77777777" w:rsidTr="00D82DB2">
        <w:tc>
          <w:tcPr>
            <w:tcW w:w="2592" w:type="dxa"/>
          </w:tcPr>
          <w:p w14:paraId="2D3EB54D"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18"/>
              </w:rPr>
              <w:t>Candidate Deduplication</w:t>
            </w:r>
          </w:p>
        </w:tc>
        <w:tc>
          <w:tcPr>
            <w:tcW w:w="3168" w:type="dxa"/>
          </w:tcPr>
          <w:p w14:paraId="59BE251C"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Exact string matching on raw URLs only.</w:t>
            </w:r>
          </w:p>
        </w:tc>
        <w:tc>
          <w:tcPr>
            <w:tcW w:w="4696" w:type="dxa"/>
          </w:tcPr>
          <w:p w14:paraId="6EA290B7"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Multi-Key Hierarchical: DOI → arXiv ID → Normalized URL → Fuzzy Title Matching.</w:t>
            </w:r>
          </w:p>
        </w:tc>
      </w:tr>
      <w:tr w:rsidR="002E6041" w:rsidRPr="00C070E5" w14:paraId="2B435B46" w14:textId="77777777" w:rsidTr="00D82DB2">
        <w:tc>
          <w:tcPr>
            <w:tcW w:w="2592" w:type="dxa"/>
          </w:tcPr>
          <w:p w14:paraId="4847B48C"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18"/>
              </w:rPr>
              <w:t>Vector API Overhead</w:t>
            </w:r>
          </w:p>
        </w:tc>
        <w:tc>
          <w:tcPr>
            <w:tcW w:w="3168" w:type="dxa"/>
          </w:tcPr>
          <w:p w14:paraId="01E649F0"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Computes vector embeddings across all 500+ candidates (High cost / latency).</w:t>
            </w:r>
          </w:p>
        </w:tc>
        <w:tc>
          <w:tcPr>
            <w:tcW w:w="4696" w:type="dxa"/>
          </w:tcPr>
          <w:p w14:paraId="7AAF1EF3"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Two-Stage Cascade: BM25 narrows 500 to 35 on local CPU; saves &gt;90% API calls.</w:t>
            </w:r>
          </w:p>
        </w:tc>
      </w:tr>
      <w:tr w:rsidR="002E6041" w:rsidRPr="00C070E5" w14:paraId="0B87D394" w14:textId="77777777" w:rsidTr="00D82DB2">
        <w:tc>
          <w:tcPr>
            <w:tcW w:w="2592" w:type="dxa"/>
          </w:tcPr>
          <w:p w14:paraId="521154BC"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18"/>
              </w:rPr>
              <w:t>Context Degradation ("Lost in Middle")</w:t>
            </w:r>
          </w:p>
        </w:tc>
        <w:tc>
          <w:tcPr>
            <w:tcW w:w="3168" w:type="dxa"/>
          </w:tcPr>
          <w:p w14:paraId="7DEC94FF"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Stuffs entire 15-page unsegmented PDFs into LLM prompt (10k+ tokens).</w:t>
            </w:r>
          </w:p>
        </w:tc>
        <w:tc>
          <w:tcPr>
            <w:tcW w:w="4696" w:type="dxa"/>
          </w:tcPr>
          <w:p w14:paraId="781CFFA2"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Sliding-Window Chunking: 350-word window (50 overlap) extracts top 5 focused empirical passages.</w:t>
            </w:r>
          </w:p>
        </w:tc>
      </w:tr>
      <w:tr w:rsidR="002E6041" w:rsidRPr="00C070E5" w14:paraId="110BB360" w14:textId="77777777" w:rsidTr="00D82DB2">
        <w:tc>
          <w:tcPr>
            <w:tcW w:w="2592" w:type="dxa"/>
          </w:tcPr>
          <w:p w14:paraId="74CC93A1"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18"/>
              </w:rPr>
              <w:t>Portability &amp; Dependencies</w:t>
            </w:r>
          </w:p>
        </w:tc>
        <w:tc>
          <w:tcPr>
            <w:tcW w:w="3168" w:type="dxa"/>
          </w:tcPr>
          <w:p w14:paraId="67487089"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Heavy compiled dependencies (NLTK, spaCy, C++ tokenizers).</w:t>
            </w:r>
          </w:p>
        </w:tc>
        <w:tc>
          <w:tcPr>
            <w:tcW w:w="4696" w:type="dxa"/>
          </w:tcPr>
          <w:p w14:paraId="61122B15" w14:textId="77777777" w:rsidR="002E6041" w:rsidRPr="00C070E5" w:rsidRDefault="00000000" w:rsidP="005D69FF">
            <w:pPr>
              <w:spacing w:line="360" w:lineRule="auto"/>
              <w:rPr>
                <w:rFonts w:ascii="Times New Roman" w:hAnsi="Times New Roman" w:cs="Times New Roman"/>
                <w:color w:val="000000" w:themeColor="text1"/>
              </w:rPr>
            </w:pPr>
            <w:r w:rsidRPr="00C070E5">
              <w:rPr>
                <w:rFonts w:ascii="Times New Roman" w:hAnsi="Times New Roman" w:cs="Times New Roman"/>
                <w:color w:val="000000" w:themeColor="text1"/>
                <w:sz w:val="18"/>
              </w:rPr>
              <w:t>Pure-Python Portability: Custom Porter stemmer &amp; BM25 with zero native binary requirements.</w:t>
            </w:r>
          </w:p>
        </w:tc>
      </w:tr>
    </w:tbl>
    <w:p w14:paraId="4280B4FF" w14:textId="77777777" w:rsidR="002E6041" w:rsidRPr="00C070E5" w:rsidRDefault="002E6041" w:rsidP="005D69FF">
      <w:pPr>
        <w:spacing w:line="360" w:lineRule="auto"/>
        <w:rPr>
          <w:rFonts w:ascii="Times New Roman" w:hAnsi="Times New Roman" w:cs="Times New Roman"/>
          <w:color w:val="000000" w:themeColor="text1"/>
        </w:rPr>
      </w:pPr>
    </w:p>
    <w:p w14:paraId="5EAC6D0E" w14:textId="77777777" w:rsidR="002E6041" w:rsidRPr="00C070E5" w:rsidRDefault="00000000" w:rsidP="005D69FF">
      <w:pPr>
        <w:keepNext/>
        <w:spacing w:before="320" w:after="12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30"/>
        </w:rPr>
        <w:t>7. Conclusion &amp; Future Roadmap (Phases 3 &amp; 4)</w:t>
      </w:r>
    </w:p>
    <w:p w14:paraId="17E0AACC"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7.1 Conclusion of Mid-Term Milestone</w:t>
      </w:r>
    </w:p>
    <w:p w14:paraId="21051F7D"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For the Mid-Term Evaluation milestone, the foundational planning, multi-provider discovery, and semantic indexing stages (Phases 1 and 2) of the Autonomous Research Agent have been fully designed, implemented, and empirically validated. The system successfully structures open-ended research topics into formal hypothesis contracts, concurrently harvests candidates across web and scholarly repositories, eliminates redundant citations via multi-key deduplication, reduces embedding overhead by &gt;90% through two-stage BM25 filtering, and overcomes "Lost in the Middle" context degradation using deep sliding-window passage chunking. The codebase maintains high engineering standards with 170 automated unit tests passing cleanly.</w:t>
      </w:r>
    </w:p>
    <w:p w14:paraId="5C95CDE8" w14:textId="77777777" w:rsidR="002E6041" w:rsidRPr="00C070E5" w:rsidRDefault="00000000" w:rsidP="005D69FF">
      <w:pPr>
        <w:keepNext/>
        <w:spacing w:before="24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25"/>
        </w:rPr>
        <w:t>7.2 Future Roadmap for Major Project Part 2 (End-Term)</w:t>
      </w:r>
    </w:p>
    <w:p w14:paraId="7A0932C4" w14:textId="77777777" w:rsidR="002E6041" w:rsidRPr="00C070E5" w:rsidRDefault="00000000" w:rsidP="005D69FF">
      <w:pPr>
        <w:spacing w:after="100" w:line="360" w:lineRule="auto"/>
        <w:rPr>
          <w:rFonts w:ascii="Times New Roman" w:hAnsi="Times New Roman" w:cs="Times New Roman"/>
          <w:color w:val="000000" w:themeColor="text1"/>
        </w:rPr>
      </w:pPr>
      <w:r w:rsidRPr="00C070E5">
        <w:rPr>
          <w:rFonts w:ascii="Times New Roman" w:hAnsi="Times New Roman" w:cs="Times New Roman"/>
          <w:color w:val="000000" w:themeColor="text1"/>
        </w:rPr>
        <w:t>The remaining project lifecycle will focus on implementing Phases 3 and 4 to complete the autonomous research loop:</w:t>
      </w:r>
    </w:p>
    <w:p w14:paraId="4DED8236"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lastRenderedPageBreak/>
        <w:t xml:space="preserve">1. Natural Language Inference (NLI) Validation Layer (Phase 3): </w:t>
      </w:r>
      <w:r w:rsidRPr="00C070E5">
        <w:rPr>
          <w:rFonts w:ascii="Times New Roman" w:hAnsi="Times New Roman" w:cs="Times New Roman"/>
          <w:color w:val="000000" w:themeColor="text1"/>
        </w:rPr>
        <w:t>Implement an automated claim validation engine that classifies extracted claims into Entailment, Contradiction, or Neutral against raw source text, flagging contradictory findings between opposing scientific papers.</w:t>
      </w:r>
    </w:p>
    <w:p w14:paraId="2BA938F2"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2. Autonomous Iterative Re-Search Loop (Phase 3): </w:t>
      </w:r>
      <w:r w:rsidRPr="00C070E5">
        <w:rPr>
          <w:rFonts w:ascii="Times New Roman" w:hAnsi="Times New Roman" w:cs="Times New Roman"/>
          <w:color w:val="000000" w:themeColor="text1"/>
        </w:rPr>
        <w:t>Build an evidence sufficiency evaluation scorecard. If the agent detects an absence of quantitative findings or counter-evidence, it will autonomously formulate targeted queries and trigger iterative search rounds prior to synthesis.</w:t>
      </w:r>
    </w:p>
    <w:p w14:paraId="15FA61E6"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3. Calibrated Epistemic Report Synthesis (Phase 4): </w:t>
      </w:r>
      <w:r w:rsidRPr="00C070E5">
        <w:rPr>
          <w:rFonts w:ascii="Times New Roman" w:hAnsi="Times New Roman" w:cs="Times New Roman"/>
          <w:color w:val="000000" w:themeColor="text1"/>
        </w:rPr>
        <w:t>Develop a calibrated synthesis engine that assigns formal confidence metrics (High, Moderate, Inconclusive) and deterministic citations [1], [2] linking directly to the bibliography.</w:t>
      </w:r>
    </w:p>
    <w:p w14:paraId="418A810F"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4. Direct Headless PDF Compilation (Phase 4): </w:t>
      </w:r>
      <w:r w:rsidRPr="00C070E5">
        <w:rPr>
          <w:rFonts w:ascii="Times New Roman" w:hAnsi="Times New Roman" w:cs="Times New Roman"/>
          <w:color w:val="000000" w:themeColor="text1"/>
        </w:rPr>
        <w:t>Integrate WeasyPrint into the report pipeline to directly compile publication-grade, paginated PDF documents from the final synthesis.</w:t>
      </w:r>
    </w:p>
    <w:p w14:paraId="7985E161" w14:textId="77777777" w:rsidR="002E6041" w:rsidRPr="00C070E5" w:rsidRDefault="00000000" w:rsidP="005D69FF">
      <w:pPr>
        <w:spacing w:line="360" w:lineRule="auto"/>
        <w:ind w:left="360"/>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5. Multi-Hop Citation Graph Traversal: </w:t>
      </w:r>
      <w:r w:rsidRPr="00C070E5">
        <w:rPr>
          <w:rFonts w:ascii="Times New Roman" w:hAnsi="Times New Roman" w:cs="Times New Roman"/>
          <w:color w:val="000000" w:themeColor="text1"/>
        </w:rPr>
        <w:t>Leverage the Semantic Scholar Academic Graph API to traverse forward citations (newest breakthroughs) and backward references (foundational literature) from central discovered papers.</w:t>
      </w:r>
    </w:p>
    <w:p w14:paraId="20244AA4" w14:textId="77777777" w:rsidR="002E6041" w:rsidRPr="00C070E5" w:rsidRDefault="00000000" w:rsidP="005D69FF">
      <w:pPr>
        <w:keepNext/>
        <w:spacing w:before="320" w:after="120" w:line="360" w:lineRule="auto"/>
        <w:rPr>
          <w:rFonts w:ascii="Times New Roman" w:hAnsi="Times New Roman" w:cs="Times New Roman"/>
          <w:color w:val="000000" w:themeColor="text1"/>
        </w:rPr>
      </w:pPr>
      <w:r w:rsidRPr="00C070E5">
        <w:rPr>
          <w:rFonts w:ascii="Times New Roman" w:hAnsi="Times New Roman" w:cs="Times New Roman"/>
          <w:b/>
          <w:color w:val="000000" w:themeColor="text1"/>
          <w:sz w:val="30"/>
        </w:rPr>
        <w:t>8. References</w:t>
      </w:r>
    </w:p>
    <w:p w14:paraId="2B50278F"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 </w:t>
      </w:r>
      <w:r w:rsidRPr="00C070E5">
        <w:rPr>
          <w:rFonts w:ascii="Times New Roman" w:hAnsi="Times New Roman" w:cs="Times New Roman"/>
          <w:color w:val="000000" w:themeColor="text1"/>
        </w:rPr>
        <w:t>Asai, A., Wu, Z., Wang, Y., Sil, A., &amp; Hajishirzi, H. (2024). Self-RAG: Learning to retrieve, generate, and critique through self-reflection. In Proceedings of the Twelfth International Conference on Learning Representations (ICLR 2024). https://openreview.net/forum?id=hSyW5g00v8</w:t>
      </w:r>
    </w:p>
    <w:p w14:paraId="3D0A5258"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[2] </w:t>
      </w:r>
      <w:r w:rsidRPr="00C070E5">
        <w:rPr>
          <w:rFonts w:ascii="Times New Roman" w:hAnsi="Times New Roman" w:cs="Times New Roman"/>
          <w:color w:val="000000" w:themeColor="text1"/>
        </w:rPr>
        <w:t>Kinney, R., et al. (2023). The Semantic Scholar Open Research Corpus. Allen Institute for AI. arXiv:2301.10140. https://arxiv.org/abs/2301.10140</w:t>
      </w:r>
    </w:p>
    <w:p w14:paraId="5005D90D"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[3] </w:t>
      </w:r>
      <w:r w:rsidRPr="00C070E5">
        <w:rPr>
          <w:rFonts w:ascii="Times New Roman" w:hAnsi="Times New Roman" w:cs="Times New Roman"/>
          <w:color w:val="000000" w:themeColor="text1"/>
        </w:rPr>
        <w:t>Lewis, P., Perez, E., Piktus, A., Petroni, F., Karpukhin, V., Goyal, N., Küttler, H., Lewis, M., Yih, W., Rocktäschel, T., Riedel, S., &amp; Kiela, D. (2020). Retrieval-augmented generation for knowledge-intensive NLP tasks. Advances in Neural Information Processing Systems (NeurIPS 2020), 33, 9459–9474.</w:t>
      </w:r>
    </w:p>
    <w:p w14:paraId="0B64B4D2"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[4] </w:t>
      </w:r>
      <w:r w:rsidRPr="00C070E5">
        <w:rPr>
          <w:rFonts w:ascii="Times New Roman" w:hAnsi="Times New Roman" w:cs="Times New Roman"/>
          <w:color w:val="000000" w:themeColor="text1"/>
        </w:rPr>
        <w:t>Li, Y., et al. (2025). A Survey of RAG-Reasoning Systems in Large Language Models. Findings of the Association for Computational Linguistics: EMNLP 2025, 12120–12145. https://doi.org/10.18653/v1/2025.findings-emnlp.648</w:t>
      </w:r>
    </w:p>
    <w:p w14:paraId="3179A1C0"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[5] </w:t>
      </w:r>
      <w:r w:rsidRPr="00C070E5">
        <w:rPr>
          <w:rFonts w:ascii="Times New Roman" w:hAnsi="Times New Roman" w:cs="Times New Roman"/>
          <w:color w:val="000000" w:themeColor="text1"/>
        </w:rPr>
        <w:t>Liu, N. F., Gardner, M., Belinkov, Y., Peters, M. E., &amp; Koh, P. W. (2024). Lost in the Middle: How Language Models Use Long Contexts. Transactions of the Association for Computational Linguistics, 12, 157–173. https://doi.org/10.1162/tacl_a_00638</w:t>
      </w:r>
    </w:p>
    <w:p w14:paraId="223F04D7"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lastRenderedPageBreak/>
        <w:t xml:space="preserve">[6] </w:t>
      </w:r>
      <w:r w:rsidRPr="00C070E5">
        <w:rPr>
          <w:rFonts w:ascii="Times New Roman" w:hAnsi="Times New Roman" w:cs="Times New Roman"/>
          <w:color w:val="000000" w:themeColor="text1"/>
        </w:rPr>
        <w:t>Park, J. S., O’Brien, J., Cai, C. J., Morris, M. R., Liang, P., &amp; Bernstein, M. S. (2023). Generative agents: Interactive simulacra of human behavior. In Proceedings of the 36th Annual ACM Symposium on User Interface Software and Technology (UIST ’23). https://doi.org/10.1145/3586183.3606763</w:t>
      </w:r>
    </w:p>
    <w:p w14:paraId="66A96786"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[7] </w:t>
      </w:r>
      <w:r w:rsidRPr="00C070E5">
        <w:rPr>
          <w:rFonts w:ascii="Times New Roman" w:hAnsi="Times New Roman" w:cs="Times New Roman"/>
          <w:color w:val="000000" w:themeColor="text1"/>
        </w:rPr>
        <w:t>Porter, M. F. (1980). An algorithm for suffix stripping. Program: Electronic Library and Information Systems, 14(3), 130–137. https://doi.org/10.1108/eb046814</w:t>
      </w:r>
    </w:p>
    <w:p w14:paraId="0BF55B19"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[8] </w:t>
      </w:r>
      <w:r w:rsidRPr="00C070E5">
        <w:rPr>
          <w:rFonts w:ascii="Times New Roman" w:hAnsi="Times New Roman" w:cs="Times New Roman"/>
          <w:color w:val="000000" w:themeColor="text1"/>
        </w:rPr>
        <w:t>Priem, J., Piwowar, H., &amp; Orr, R. (2022). OpenAlex: A fully-open index of scholarly works, authors, venues, institutions, and concepts. arXiv:2205.01833. https://arxiv.org/abs/2205.01833</w:t>
      </w:r>
    </w:p>
    <w:p w14:paraId="5EB47245"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[9] </w:t>
      </w:r>
      <w:r w:rsidRPr="00C070E5">
        <w:rPr>
          <w:rFonts w:ascii="Times New Roman" w:hAnsi="Times New Roman" w:cs="Times New Roman"/>
          <w:color w:val="000000" w:themeColor="text1"/>
        </w:rPr>
        <w:t>Robertson, S., &amp; Zaragoza, H. (2009). The Probabilistic Relevance Framework: BM25 and Beyond. Foundations and Trends in Information Retrieval, 3(4), 333–389. https://doi.org/10.1561/1500000019</w:t>
      </w:r>
    </w:p>
    <w:p w14:paraId="4B90B701"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[10] </w:t>
      </w:r>
      <w:r w:rsidRPr="00C070E5">
        <w:rPr>
          <w:rFonts w:ascii="Times New Roman" w:hAnsi="Times New Roman" w:cs="Times New Roman"/>
          <w:color w:val="000000" w:themeColor="text1"/>
        </w:rPr>
        <w:t>Schick, T., Dwivedi-Yu, J., Dessì, R., Raileanu, R., Lomeli, M., Zettlemoyer, L., Cancedda, N., &amp; Scialom, T. (2023). Toolformer: Language models can teach themselves to use tools. Advances in Neural Information Processing Systems (NeurIPS 2023), 36.</w:t>
      </w:r>
    </w:p>
    <w:p w14:paraId="09C97776"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[11] </w:t>
      </w:r>
      <w:r w:rsidRPr="00C070E5">
        <w:rPr>
          <w:rFonts w:ascii="Times New Roman" w:hAnsi="Times New Roman" w:cs="Times New Roman"/>
          <w:color w:val="000000" w:themeColor="text1"/>
        </w:rPr>
        <w:t>Shinn, N., Cassano, F., Berman, E., Gopinath, A., Narasimhan, K., &amp; Yao, S. (2023). Reflexion: Language agents with verbal reinforcement learning. Advances in Neural Information Processing Systems (NeurIPS 2023), 36.</w:t>
      </w:r>
    </w:p>
    <w:p w14:paraId="10F89208"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[12] </w:t>
      </w:r>
      <w:r w:rsidRPr="00C070E5">
        <w:rPr>
          <w:rFonts w:ascii="Times New Roman" w:hAnsi="Times New Roman" w:cs="Times New Roman"/>
          <w:color w:val="000000" w:themeColor="text1"/>
        </w:rPr>
        <w:t>Singh, A., Ehtesham, A., Kumar, S., Khoei, T. T., &amp; Vasilakos, A. V. (2025). Agentic Retrieval-Augmented Generation: A Survey on Agentic RAG. arXiv:2501.09136. https://arxiv.org/abs/2501.09136</w:t>
      </w:r>
    </w:p>
    <w:p w14:paraId="2B06FE2C"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[13] </w:t>
      </w:r>
      <w:r w:rsidRPr="00C070E5">
        <w:rPr>
          <w:rFonts w:ascii="Times New Roman" w:hAnsi="Times New Roman" w:cs="Times New Roman"/>
          <w:color w:val="000000" w:themeColor="text1"/>
        </w:rPr>
        <w:t>Wang, L., et al. (2024). A Survey on Large Language Model Based Autonomous Agents. Frontiers of Computer Science, 18, Article 186345. https://doi.org/10.1007/s11704-024-40231-1</w:t>
      </w:r>
    </w:p>
    <w:p w14:paraId="4651997A" w14:textId="77777777" w:rsidR="002E6041" w:rsidRPr="00C070E5" w:rsidRDefault="00000000" w:rsidP="005D69FF">
      <w:pPr>
        <w:spacing w:line="360" w:lineRule="auto"/>
        <w:ind w:left="504" w:hanging="504"/>
        <w:rPr>
          <w:rFonts w:ascii="Times New Roman" w:hAnsi="Times New Roman" w:cs="Times New Roman"/>
          <w:color w:val="000000" w:themeColor="text1"/>
        </w:rPr>
      </w:pPr>
      <w:r w:rsidRPr="00C070E5">
        <w:rPr>
          <w:rFonts w:ascii="Times New Roman" w:hAnsi="Times New Roman" w:cs="Times New Roman"/>
          <w:b/>
          <w:color w:val="000000" w:themeColor="text1"/>
        </w:rPr>
        <w:t xml:space="preserve">[14] </w:t>
      </w:r>
      <w:r w:rsidRPr="00C070E5">
        <w:rPr>
          <w:rFonts w:ascii="Times New Roman" w:hAnsi="Times New Roman" w:cs="Times New Roman"/>
          <w:color w:val="000000" w:themeColor="text1"/>
        </w:rPr>
        <w:t>Yao, S., Zhao, J., Yu, D., Du, N., Shafran, I., Narasimhan, K., &amp; Cao, Y. (2023). ReAct: Synergizing reasoning and acting in language models. In Proceedings of the Eleventh International Conference on Learning Representations (ICLR 2023). https://arxiv.org/abs/2210.03629</w:t>
      </w:r>
    </w:p>
    <w:sectPr w:rsidR="002E6041" w:rsidRPr="00C070E5" w:rsidSect="00034616">
      <w:head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D8F34" w14:textId="77777777" w:rsidR="009B440D" w:rsidRDefault="009B440D">
      <w:pPr>
        <w:spacing w:after="0" w:line="240" w:lineRule="auto"/>
      </w:pPr>
      <w:r>
        <w:separator/>
      </w:r>
    </w:p>
  </w:endnote>
  <w:endnote w:type="continuationSeparator" w:id="0">
    <w:p w14:paraId="1035E971" w14:textId="77777777" w:rsidR="009B440D" w:rsidRDefault="009B4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8FD4" w14:textId="77777777" w:rsidR="009B440D" w:rsidRDefault="009B440D">
      <w:pPr>
        <w:spacing w:after="0" w:line="240" w:lineRule="auto"/>
      </w:pPr>
      <w:r>
        <w:separator/>
      </w:r>
    </w:p>
  </w:footnote>
  <w:footnote w:type="continuationSeparator" w:id="0">
    <w:p w14:paraId="63C3E476" w14:textId="77777777" w:rsidR="009B440D" w:rsidRDefault="009B4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29E5" w14:textId="3C57B3E2" w:rsidR="002E6041" w:rsidRDefault="002E604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506935">
    <w:abstractNumId w:val="8"/>
  </w:num>
  <w:num w:numId="2" w16cid:durableId="1550068643">
    <w:abstractNumId w:val="6"/>
  </w:num>
  <w:num w:numId="3" w16cid:durableId="75249044">
    <w:abstractNumId w:val="5"/>
  </w:num>
  <w:num w:numId="4" w16cid:durableId="2004773665">
    <w:abstractNumId w:val="4"/>
  </w:num>
  <w:num w:numId="5" w16cid:durableId="463667434">
    <w:abstractNumId w:val="7"/>
  </w:num>
  <w:num w:numId="6" w16cid:durableId="1401516924">
    <w:abstractNumId w:val="3"/>
  </w:num>
  <w:num w:numId="7" w16cid:durableId="347830862">
    <w:abstractNumId w:val="2"/>
  </w:num>
  <w:num w:numId="8" w16cid:durableId="122576502">
    <w:abstractNumId w:val="1"/>
  </w:num>
  <w:num w:numId="9" w16cid:durableId="71546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D9E"/>
    <w:rsid w:val="002E6041"/>
    <w:rsid w:val="00326F90"/>
    <w:rsid w:val="005D69FF"/>
    <w:rsid w:val="005F5720"/>
    <w:rsid w:val="00862152"/>
    <w:rsid w:val="009B440D"/>
    <w:rsid w:val="00AA1D8D"/>
    <w:rsid w:val="00B47730"/>
    <w:rsid w:val="00BC5BD9"/>
    <w:rsid w:val="00BF25F8"/>
    <w:rsid w:val="00C070E5"/>
    <w:rsid w:val="00CB0664"/>
    <w:rsid w:val="00D104EB"/>
    <w:rsid w:val="00D82D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35EAA"/>
  <w14:defaultImageDpi w14:val="300"/>
  <w15:docId w15:val="{21298675-23E9-48FF-8929-78AD593D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4252</Words>
  <Characters>24237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Thakur</cp:lastModifiedBy>
  <cp:revision>4</cp:revision>
  <dcterms:created xsi:type="dcterms:W3CDTF">2013-12-23T23:15:00Z</dcterms:created>
  <dcterms:modified xsi:type="dcterms:W3CDTF">2026-10-04T23:26:00Z</dcterms:modified>
  <cp:category/>
</cp:coreProperties>
</file>