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306"/>
        <w:ind w:left="0" w:right="0"/>
      </w:pPr>
    </w:p>
    <w:p>
      <w:pPr>
        <w:autoSpaceDN w:val="0"/>
        <w:autoSpaceDE w:val="0"/>
        <w:widowControl/>
        <w:spacing w:line="562" w:lineRule="exact" w:before="0" w:after="0"/>
        <w:ind w:left="20" w:right="3744" w:firstLine="0"/>
        <w:jc w:val="left"/>
      </w:pPr>
      <w:r>
        <w:rPr>
          <w:rFonts w:ascii="Helvetica" w:hAnsi="Helvetica" w:eastAsia="Helvetica"/>
          <w:b w:val="0"/>
          <w:i w:val="0"/>
          <w:color w:val="1A3380"/>
          <w:sz w:val="36"/>
        </w:rPr>
        <w:t xml:space="preserve">Annual Financial Performance Report 2026 </w:t>
      </w:r>
      <w:r>
        <w:rPr>
          <w:rFonts w:ascii="Helvetica" w:hAnsi="Helvetica" w:eastAsia="Helvetica"/>
          <w:b w:val="0"/>
          <w:i w:val="0"/>
          <w:color w:val="4D4D4D"/>
          <w:sz w:val="26"/>
        </w:rPr>
        <w:t>Executive Overview &amp; Global Summary</w:t>
      </w:r>
    </w:p>
    <w:p>
      <w:pPr>
        <w:autoSpaceDN w:val="0"/>
        <w:autoSpaceDE w:val="0"/>
        <w:widowControl/>
        <w:spacing w:line="276" w:lineRule="exact" w:before="306" w:after="82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This document contains multi-page corporate financial metrics, executive statements, and structured tabular breakdowns.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.0" w:type="dxa"/>
      </w:tblPr>
      <w:tblGrid>
        <w:gridCol w:w="10766"/>
      </w:tblGrid>
      <w:tr>
        <w:trPr>
          <w:trHeight w:hRule="exact" w:val="600"/>
        </w:trPr>
        <w:tc>
          <w:tcPr>
            <w:tcW w:type="dxa" w:w="9900"/>
            <w:tcBorders>
              <w:start w:sz="16.0" w:val="single" w:color="#B2B2B2"/>
              <w:top w:sz="16.0" w:val="single" w:color="#B2B2B2"/>
              <w:end w:sz="16.0" w:val="single" w:color="#B2B2B2"/>
              <w:bottom w:sz="16.0" w:val="single" w:color="#B2B2B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80.0" w:type="dxa"/>
            </w:tblPr>
            <w:tblGrid>
              <w:gridCol w:w="2475"/>
              <w:gridCol w:w="2475"/>
              <w:gridCol w:w="2475"/>
              <w:gridCol w:w="2475"/>
            </w:tblGrid>
            <w:tr>
              <w:trPr>
                <w:trHeight w:hRule="exact" w:val="402"/>
              </w:trPr>
              <w:tc>
                <w:tcPr>
                  <w:tcW w:type="dxa" w:w="19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02" w:lineRule="exact" w:before="60" w:after="0"/>
                    <w:ind w:left="100" w:right="0" w:firstLine="0"/>
                    <w:jc w:val="left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1A1A1A"/>
                      <w:sz w:val="22"/>
                    </w:rPr>
                    <w:t>Fiscal Quarter</w:t>
                  </w:r>
                </w:p>
              </w:tc>
              <w:tc>
                <w:tcPr>
                  <w:tcW w:type="dxa" w:w="24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02" w:lineRule="exact" w:before="60" w:after="0"/>
                    <w:ind w:left="520" w:right="0" w:firstLine="0"/>
                    <w:jc w:val="left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1A1A1A"/>
                      <w:sz w:val="22"/>
                    </w:rPr>
                    <w:t>Gross Revenue</w:t>
                  </w:r>
                </w:p>
              </w:tc>
              <w:tc>
                <w:tcPr>
                  <w:tcW w:type="dxa" w:w="26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02" w:lineRule="exact" w:before="60" w:after="0"/>
                    <w:ind w:left="440" w:right="0" w:firstLine="0"/>
                    <w:jc w:val="left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1A1A1A"/>
                      <w:sz w:val="22"/>
                    </w:rPr>
                    <w:t>Operating Expenses</w:t>
                  </w:r>
                </w:p>
              </w:tc>
              <w:tc>
                <w:tcPr>
                  <w:tcW w:type="dxa" w:w="20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02" w:lineRule="exact" w:before="60" w:after="0"/>
                    <w:ind w:left="220" w:right="0" w:firstLine="0"/>
                    <w:jc w:val="left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1A1A1A"/>
                      <w:sz w:val="22"/>
                    </w:rPr>
                    <w:t>Net Margin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600"/>
        </w:trPr>
        <w:tc>
          <w:tcPr>
            <w:tcW w:type="dxa" w:w="9900"/>
            <w:tcBorders>
              <w:start w:sz="16.0" w:val="single" w:color="#B2B2B2"/>
              <w:top w:sz="16.0" w:val="single" w:color="#B2B2B2"/>
              <w:end w:sz="16.0" w:val="single" w:color="#B2B2B2"/>
              <w:bottom w:sz="16.0" w:val="single" w:color="#B2B2B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80.0" w:type="dxa"/>
            </w:tblPr>
            <w:tblGrid>
              <w:gridCol w:w="2475"/>
              <w:gridCol w:w="2475"/>
              <w:gridCol w:w="2475"/>
              <w:gridCol w:w="2475"/>
            </w:tblGrid>
            <w:tr>
              <w:trPr>
                <w:trHeight w:hRule="exact" w:val="376"/>
              </w:trPr>
              <w:tc>
                <w:tcPr>
                  <w:tcW w:type="dxa" w:w="16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6" w:lineRule="exact" w:before="60" w:after="0"/>
                    <w:ind w:left="100" w:right="0" w:firstLine="0"/>
                    <w:jc w:val="left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333333"/>
                      <w:sz w:val="20"/>
                    </w:rPr>
                    <w:t>Q1 2026</w:t>
                  </w:r>
                </w:p>
              </w:tc>
              <w:tc>
                <w:tcPr>
                  <w:tcW w:type="dxa" w:w="25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6" w:lineRule="exact" w:before="60" w:after="0"/>
                    <w:ind w:left="0" w:right="700" w:firstLine="0"/>
                    <w:jc w:val="right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333333"/>
                      <w:sz w:val="20"/>
                    </w:rPr>
                    <w:t>$1,450,000</w:t>
                  </w:r>
                </w:p>
              </w:tc>
              <w:tc>
                <w:tcPr>
                  <w:tcW w:type="dxa" w:w="23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6" w:lineRule="exact" w:before="60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333333"/>
                      <w:sz w:val="20"/>
                    </w:rPr>
                    <w:t>$890,000</w:t>
                  </w:r>
                </w:p>
              </w:tc>
              <w:tc>
                <w:tcPr>
                  <w:tcW w:type="dxa" w:w="23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6" w:lineRule="exact" w:before="60" w:after="0"/>
                    <w:ind w:left="0" w:right="952" w:firstLine="0"/>
                    <w:jc w:val="right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333333"/>
                      <w:sz w:val="20"/>
                    </w:rPr>
                    <w:t>38.6%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600"/>
        </w:trPr>
        <w:tc>
          <w:tcPr>
            <w:tcW w:type="dxa" w:w="9900"/>
            <w:tcBorders>
              <w:start w:sz="16.0" w:val="single" w:color="#B2B2B2"/>
              <w:top w:sz="16.0" w:val="single" w:color="#B2B2B2"/>
              <w:end w:sz="16.0" w:val="single" w:color="#B2B2B2"/>
              <w:bottom w:sz="16.0" w:val="single" w:color="#B2B2B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80.0" w:type="dxa"/>
            </w:tblPr>
            <w:tblGrid>
              <w:gridCol w:w="2475"/>
              <w:gridCol w:w="2475"/>
              <w:gridCol w:w="2475"/>
              <w:gridCol w:w="2475"/>
            </w:tblGrid>
            <w:tr>
              <w:trPr>
                <w:trHeight w:hRule="exact" w:val="376"/>
              </w:trPr>
              <w:tc>
                <w:tcPr>
                  <w:tcW w:type="dxa" w:w="16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6" w:lineRule="exact" w:before="60" w:after="0"/>
                    <w:ind w:left="100" w:right="0" w:firstLine="0"/>
                    <w:jc w:val="left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333333"/>
                      <w:sz w:val="20"/>
                    </w:rPr>
                    <w:t>Q2 2026</w:t>
                  </w:r>
                </w:p>
              </w:tc>
              <w:tc>
                <w:tcPr>
                  <w:tcW w:type="dxa" w:w="25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6" w:lineRule="exact" w:before="60" w:after="0"/>
                    <w:ind w:left="0" w:right="700" w:firstLine="0"/>
                    <w:jc w:val="right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333333"/>
                      <w:sz w:val="20"/>
                    </w:rPr>
                    <w:t>$1,820,000</w:t>
                  </w:r>
                </w:p>
              </w:tc>
              <w:tc>
                <w:tcPr>
                  <w:tcW w:type="dxa" w:w="23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6" w:lineRule="exact" w:before="60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333333"/>
                      <w:sz w:val="20"/>
                    </w:rPr>
                    <w:t>$940,000</w:t>
                  </w:r>
                </w:p>
              </w:tc>
              <w:tc>
                <w:tcPr>
                  <w:tcW w:type="dxa" w:w="23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6" w:lineRule="exact" w:before="60" w:after="0"/>
                    <w:ind w:left="0" w:right="952" w:firstLine="0"/>
                    <w:jc w:val="right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333333"/>
                      <w:sz w:val="20"/>
                    </w:rPr>
                    <w:t>48.3%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580"/>
        </w:trPr>
        <w:tc>
          <w:tcPr>
            <w:tcW w:type="dxa" w:w="9900"/>
            <w:tcBorders>
              <w:start w:sz="16.0" w:val="single" w:color="#B2B2B2"/>
              <w:top w:sz="16.0" w:val="single" w:color="#B2B2B2"/>
              <w:end w:sz="16.0" w:val="single" w:color="#B2B2B2"/>
              <w:bottom w:sz="16.0" w:val="single" w:color="#B2B2B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80.0" w:type="dxa"/>
            </w:tblPr>
            <w:tblGrid>
              <w:gridCol w:w="2475"/>
              <w:gridCol w:w="2475"/>
              <w:gridCol w:w="2475"/>
              <w:gridCol w:w="2475"/>
            </w:tblGrid>
            <w:tr>
              <w:trPr>
                <w:trHeight w:hRule="exact" w:val="376"/>
              </w:trPr>
              <w:tc>
                <w:tcPr>
                  <w:tcW w:type="dxa" w:w="16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6" w:lineRule="exact" w:before="60" w:after="0"/>
                    <w:ind w:left="100" w:right="0" w:firstLine="0"/>
                    <w:jc w:val="left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333333"/>
                      <w:sz w:val="20"/>
                    </w:rPr>
                    <w:t>Q3 2026</w:t>
                  </w:r>
                </w:p>
              </w:tc>
              <w:tc>
                <w:tcPr>
                  <w:tcW w:type="dxa" w:w="25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6" w:lineRule="exact" w:before="60" w:after="0"/>
                    <w:ind w:left="0" w:right="700" w:firstLine="0"/>
                    <w:jc w:val="right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333333"/>
                      <w:sz w:val="20"/>
                    </w:rPr>
                    <w:t>$2,150,000</w:t>
                  </w:r>
                </w:p>
              </w:tc>
              <w:tc>
                <w:tcPr>
                  <w:tcW w:type="dxa" w:w="24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6" w:lineRule="exact" w:before="60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333333"/>
                      <w:sz w:val="20"/>
                    </w:rPr>
                    <w:t>$1,020,000</w:t>
                  </w:r>
                </w:p>
              </w:tc>
              <w:tc>
                <w:tcPr>
                  <w:tcW w:type="dxa" w:w="22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6" w:lineRule="exact" w:before="60" w:after="0"/>
                    <w:ind w:left="0" w:right="952" w:firstLine="0"/>
                    <w:jc w:val="right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333333"/>
                      <w:sz w:val="20"/>
                    </w:rPr>
                    <w:t>52.5%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528" w:right="154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28"/>
        <w:ind w:left="0" w:right="0"/>
      </w:pPr>
    </w:p>
    <w:p>
      <w:pPr>
        <w:autoSpaceDN w:val="0"/>
        <w:autoSpaceDE w:val="0"/>
        <w:widowControl/>
        <w:spacing w:line="440" w:lineRule="exact" w:before="0" w:after="406"/>
        <w:ind w:left="20" w:right="0" w:firstLine="0"/>
        <w:jc w:val="left"/>
      </w:pPr>
      <w:r>
        <w:rPr>
          <w:rFonts w:ascii="Helvetica" w:hAnsi="Helvetica" w:eastAsia="Helvetica"/>
          <w:b w:val="0"/>
          <w:i w:val="0"/>
          <w:color w:val="1A1A66"/>
          <w:sz w:val="32"/>
        </w:rPr>
        <w:t>Research Paper: Distributed System Resilience</w:t>
      </w:r>
    </w:p>
    <w:p>
      <w:pPr>
        <w:sectPr>
          <w:pgSz w:w="11900" w:h="16840"/>
          <w:pgMar w:top="548" w:right="96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30" w:lineRule="exact" w:before="0" w:after="0"/>
        <w:ind w:left="20" w:right="0" w:firstLine="0"/>
        <w:jc w:val="left"/>
      </w:pPr>
      <w:r>
        <w:rPr>
          <w:rFonts w:ascii="Helvetica" w:hAnsi="Helvetica" w:eastAsia="Helvetica"/>
          <w:b w:val="0"/>
          <w:i w:val="0"/>
          <w:color w:val="333333"/>
          <w:sz w:val="24"/>
        </w:rPr>
        <w:t>1. Introduction &amp; Background</w:t>
      </w:r>
    </w:p>
    <w:p>
      <w:pPr>
        <w:autoSpaceDN w:val="0"/>
        <w:autoSpaceDE w:val="0"/>
        <w:widowControl/>
        <w:spacing w:line="300" w:lineRule="exact" w:before="88" w:after="0"/>
        <w:ind w:left="20" w:right="864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Modern cloud infrastructures require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fault-tolerant consensus protocols.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Our experiments demonstrate linear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scalability across 128 nodes.</w:t>
      </w:r>
    </w:p>
    <w:p>
      <w:pPr>
        <w:sectPr>
          <w:type w:val="continuous"/>
          <w:pgSz w:w="11900" w:h="16840"/>
          <w:pgMar w:top="548" w:right="960" w:bottom="1440" w:left="980" w:header="720" w:footer="720" w:gutter="0"/>
          <w:cols w:num="2" w:equalWidth="0">
            <w:col w:w="4226" w:space="0"/>
            <w:col w:w="5734" w:space="0"/>
          </w:cols>
          <w:docGrid w:linePitch="360"/>
        </w:sectPr>
      </w:pPr>
    </w:p>
    <w:p>
      <w:pPr>
        <w:autoSpaceDN w:val="0"/>
        <w:autoSpaceDE w:val="0"/>
        <w:widowControl/>
        <w:spacing w:line="330" w:lineRule="exact" w:before="0" w:after="0"/>
        <w:ind w:left="994" w:right="0" w:firstLine="0"/>
        <w:jc w:val="left"/>
      </w:pPr>
      <w:r>
        <w:rPr>
          <w:rFonts w:ascii="Helvetica" w:hAnsi="Helvetica" w:eastAsia="Helvetica"/>
          <w:b w:val="0"/>
          <w:i w:val="0"/>
          <w:color w:val="333333"/>
          <w:sz w:val="24"/>
        </w:rPr>
        <w:t>2. Experimental Methodology</w:t>
      </w:r>
    </w:p>
    <w:p>
      <w:pPr>
        <w:autoSpaceDN w:val="0"/>
        <w:autoSpaceDE w:val="0"/>
        <w:widowControl/>
        <w:spacing w:line="300" w:lineRule="exact" w:before="88" w:after="820"/>
        <w:ind w:left="994" w:right="1584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We evaluated latency distribution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under synthetic network partitions.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Results confirm sub-millisecond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recovery time across all partitions.</w:t>
      </w:r>
    </w:p>
    <w:p>
      <w:pPr>
        <w:sectPr>
          <w:type w:val="nextColumn"/>
          <w:pgSz w:w="11900" w:h="16840"/>
          <w:pgMar w:top="548" w:right="960" w:bottom="1440" w:left="980" w:header="720" w:footer="720" w:gutter="0"/>
          <w:cols w:num="2" w:equalWidth="0">
            <w:col w:w="4226" w:space="0"/>
            <w:col w:w="5734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0.0" w:type="dxa"/>
      </w:tblPr>
      <w:tblGrid>
        <w:gridCol w:w="9960"/>
      </w:tblGrid>
      <w:tr>
        <w:trPr>
          <w:trHeight w:hRule="exact" w:val="2380"/>
        </w:trPr>
        <w:tc>
          <w:tcPr>
            <w:tcW w:type="dxa" w:w="9900"/>
            <w:tcBorders>
              <w:start w:sz="16.0" w:val="single" w:color="#337FCC"/>
              <w:top w:sz="16.0" w:val="single" w:color="#337FCC"/>
              <w:end w:sz="16.0" w:val="single" w:color="#337FCC"/>
              <w:bottom w:sz="16.0" w:val="single" w:color="#337FCC"/>
            </w:tcBorders>
            <w:shd w:fill="edf4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94" w:lineRule="exact" w:before="52" w:after="0"/>
              <w:ind w:left="380" w:right="360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A4DB3"/>
                <w:sz w:val="22"/>
              </w:rPr>
              <w:t xml:space="preserve">Figure 1: Consensus Latency Comparison (p99)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Measured p99 latency remained stable at 1.42ms during failovers.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type w:val="continuous"/>
      <w:pgSz w:w="11900" w:h="16840"/>
      <w:pgMar w:top="548" w:right="960" w:bottom="1440" w:left="98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